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Silver Bullet Contracting Ltd. v. Roba Holdings Inc., [2000] B.C.J. No. 1844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R.M.J. Hutchinson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15220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1844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1279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677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Silver Bullet Contracting Ltd., plaintiff, and Roba Holdings Inc. and Her Majesty the Queen in Right of the Province of British Columbia acting on behalf of the Ministry of Transportation and Highways,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Practice — Pleadings — Amendment of pleadings — Adding new cause of action — Circumstances when not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Silver Bullet, to amend its statement of claim to add various new causes of action against the Ministry of Transportation and Highways. Silver Bullet was a sub-contractor on a construction project. It was hired by the general contractor, Roba Holdings, to carry out a contract involving the installation of a culvert under a highway. It encountered a problem with a pre-existing culvert which had corroded. Silver Bullet refused to carry out the work necessary to remove it. The Ministry's contract with Roba required it to restore any culvert which was interfered with. Silver Bullet was not paid, and the monies held by the Minister as the security deposit from Roba were kept and used to pay a new contractor to complete the work. Silver Bullet brought an action for payment of the amount it claimed it was owed under the contract. It had no contractual relationship with the Ministry. It sought to amend its claim by advancing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preparation of the design, breach of fiduciary duty to Silver Bullet and unjust enrichment. It claimed that the security deposit constituted trust funds in the hands of the Minister for its benefit when it was not paid by Roba.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amendments did not disclose a valid claim against the Ministry.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statute-barred, as it was launched more than two years after the Minister's involvement was known to Silver Bullet. The security deposit required under section 51 of the Ministry of Transportation and Highways Act was not a trust fund. There was a sound juristic reason for the Ministry to take a security deposit and to retain it in these circumstances. The Ministry did not benefit from it except to ensure that the project was completed. No claim for breach of trust, fiduciary duty or unjust enrichment was made out. It was not just and convenient to permit Silver Bullet to amend its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s. 3(2)(a).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Ministry of Transportation and Highways Act, R.S.B.C. 1979, c. 280, s. 51, 51(1).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 McInnes, for the plaintiff. L. Shendroff, for the defendant, Ministry of Transportation and Highways.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R.M.J. HUTCHINSON J."/>
            <w:bookmarkEnd w:id="6"/>
            <w:r>
              <w:rPr>
                <w:rFonts w:ascii="arial" w:eastAsia="arial" w:hAnsi="arial" w:cs="arial"/>
                <w:b/>
                <w:color w:val="000000"/>
                <w:sz w:val="30"/>
                <w:lang w:val="en-US" w:eastAsia="en-US" w:bidi="ar-SA"/>
              </w:rPr>
              <w:t>R.M.J. HUTCHINSON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14 February I allowed an application brought by the plaintiff to add C.W. Bullock and Association as a defendant, </w:t>
      </w:r>
      <w:hyperlink r:id="rId11" w:history="1">
        <w:r>
          <w:rPr>
            <w:rFonts w:ascii="arial" w:eastAsia="arial" w:hAnsi="arial" w:cs="arial"/>
            <w:i/>
            <w:color w:val="0077CC"/>
            <w:sz w:val="20"/>
            <w:u w:val="single"/>
            <w:shd w:val="clear" w:color="auto" w:fill="FFFFFF"/>
            <w:lang w:val="en-US" w:eastAsia="en-US" w:bidi="ar-SA"/>
          </w:rPr>
          <w:t>[2000] B.C.J. No. 420</w:t>
        </w:r>
      </w:hyperlink>
      <w:r>
        <w:rPr>
          <w:rFonts w:ascii="arial" w:eastAsia="arial" w:hAnsi="arial" w:cs="arial"/>
          <w:color w:val="000000"/>
          <w:sz w:val="20"/>
          <w:lang w:val="en-US" w:eastAsia="en-US" w:bidi="ar-SA"/>
        </w:rPr>
        <w:t>. The plaintiff made application at the same time for leave to amend its statement of claim by adding fresh causes of action against the defendant Ministry of Transportation and Highways (MOTH).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background to this application is as follows. In 1994 the defendant, Roba, was developing a subdivision hear Qualicum Beach. That development required that a new culvert to drain storm water be constructed under Highway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highway is on Crown land and is maintained by the defendant, MOTH. Before authorizing this work MOTH required a deposit from Roba of $36,782 by way of security to ensure the proper performance of the work when the culvert was installed. A cheque for that sum was delivered by Roba to MOTH on 23 December 1993. On 16 June 1994 MOTH granted Roba a permit to install the culvert. The permit required Roba to maintain any existing culvert under the road, and if an existing culvert was interfered with, it ". . . shall be completely restored to its original condition." The defendant Roba, accepted full responsibility for any damage that may be done to any property caused by that work, and agreed to indemnify and save harmless the Crown from any claims arising out of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25 August 1994 the plaintiff entered into a contract with the defendant Roba to install the culvert for a price of $37,600. The work was completed by 23 September 1994. In the course of installing the new culvert, the soil surrounding an old, corroded culvert nearby was disturbed, causing the old culvert to collapse. The engineers retained by Roba to oversee the work and certify that it had been correctly performed instructed the plaintiff to replace the old, collapsed culvert. The plaintiff refused to do so unless it was paid for that additional work. Roba, acting on the advice of its engineers, refused to do so and the engineers refused to certify the plaintiff's work as complete under the contract. Roba refused to pay the plaintiff for any of its work done pursuant to the contract without the engineer's certificate, and so the defendant MOTH kept the security deposited by Roba.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statement of claim filed 23 December 1996 the allegations regarding the defendant MOTH were as follows: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The Ministry of Transportation and Highways, held monies in the approximate amount of $40,000.00 with respect to work to be completed on the culvert for the Olympic Road Subdivision.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completion of said repairs, the Plaintiff requested the full sum of the monies held by the Defendant, the Ministry of Transportation and Highway, be delivered to the Plaintiff. The Defendant, the Ministry of Transportation and Highways, has refused to do so despite repeated requests by the Plaintiff.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the Ministry of Transportation and Highways, was provided with full particulars of the labour and materials supplied by the Plaintiff and as referred to in invoice Number 94-09-03 dated September 30, 1994, which was, forwarded to the Defendant, Roba Holdings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now seeks leave to amend the statement of claim by adding the following paragraphs: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26, 1994, the Defendant, MOTH, approved the said construction plans of BULLOCK.</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Defendant, MOTH, was the Highway Authority responsible for the repair, maintenance and improvement of Island Highway #19 and drainage works thereto.</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MOTH, had a duty to the Plaintiff to take reasonable care in approving the said construction plans when it knew or ought to have known that the Plaintiff would rely on the same.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collapse of the culvert in that it and/or its employees or agents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Particulars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take any or any adequate measures, by inspection, maintenance, or repair to ensure that the said culvert was in a reasonable condition;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careless in granting its approval of the construction plains of BULLOCK when it knew or ought to have known that it had not ascertained the condition of the culverts;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further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may be disclosed.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breach of duty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MOTH, and/or its servants or agents, the Plaintiff has suffered the following damages: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materials and compensation for remedial work undertaken by the Plaintiff as a result of the culvert's collapse;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particulars of damages as may be disclosed.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monies held by the Defendant, Ministry of Transportation and Highways, (as set out in Paragraph 6 above) were impressed with a trust. The Plaintiff relies on s.51 of the Ministry of Transportation and Highways Act, 1979.</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terms of the said trust, the Defendant, MOTH, had a fiduciary duty to use the said funds for the purpose of implementing the work provided for under the construction plans it had approved.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as the contractor of the said approved plans, was a beneficiary of the said trust.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MOTH, breached its fiduciary duty to the Plaintiff when it appropriated the said trust funds to its own use; i.e. In paying another contractor for work not provided for under the said approved construction plans.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MOTH's breach of fiduciary duty to the Plaintiff, the Plaintiff was deprived of the said trust funds.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Defendant, MOTH, was unjustly enriched in that it obtained the benefit of work and materials supplied by the Plaintiff without compensating the Plaintiff for the same.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correspondingly been deprived of the loss of compensation for its work and materials supplied for the benefit of the Defendant, MOTH.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deciding whether the amendments should be allowed I must assume that the facts alleged in the proposed amendments can be proved. When exercising the court's discretion as to whether leave should be granted many factors must be considered. Finch J.A. in Teal Cedar Products (1977) Ltd. v Dale Intermediaries Ltd. </w:t>
      </w:r>
      <w:hyperlink r:id="rId12"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set them out in paragraph 67 in the following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 Nor do I think that a plaintiff's explanation for delay must necessarily exculpate him from all "fault" or "culpability" before the court may exercise its discretion in his favour. This case is a good example. The plaintiff sought legal advice and accepted a lawyer's opinion to the effect that it did not have a claim against insurers under the policy. The lawyer was subsequently persuaded that his initial opinion was unduly pessimistic and that there was at least some prospect of success in advancing such a claim. Unfortunately, the limitation period has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original statement of claim the plaintiff made a claim against the security deposit held by MOTH but did not specify the cause of action. There was no contractual relationship between the plaintiff and MOTH. The security deposit had been provided by Roba some six months before the plaintiff entered into the contract with Roba, so the only person to make a claim for the security deposit was Roba. That is confirmed by The Ministry of Transportation and Highways Act R.S.B.C. 1979 c 280 which authorizes the Minister to set and receive security for performance of work on a highway; when the work has been performed the security or part of it may be returned to the contractor, in this case Roba. Section 51 of the Act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51.(1) Where a government building, highway or public work is being carried out by contract, and in all other cases, the minister shall take all reasonable care that security is given to Her Majesty, and deposited with the Minister of Finance, for performance of the work within the amount and time specified.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shall not be paid to the contractor or work commenced on a contract until the contract has been signed by all parties named in it and the requisite security given, except as specified above.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minister's recommendation, the Lieutenant Governor in Council may release or surrender </w:t>
      </w:r>
      <w:r>
        <w:rPr>
          <w:rFonts w:ascii="arial" w:eastAsia="arial" w:hAnsi="arial" w:cs="arial"/>
          <w:color w:val="000000"/>
          <w:sz w:val="20"/>
          <w:u w:val="single"/>
          <w:lang w:val="en-US" w:eastAsia="en-US" w:bidi="ar-SA"/>
        </w:rPr>
        <w:t>to the contractor</w:t>
      </w:r>
      <w:r>
        <w:rPr>
          <w:rFonts w:ascii="arial" w:eastAsia="arial" w:hAnsi="arial" w:cs="arial"/>
          <w:color w:val="000000"/>
          <w:sz w:val="20"/>
          <w:lang w:val="en-US" w:eastAsia="en-US" w:bidi="ar-SA"/>
        </w:rPr>
        <w:t xml:space="preserve"> all or part of the security given for the due performance of work.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original statement of claim it is hard to discern the cause of action against MOTH but no application has been made to dismiss the action against it, so I will turn to the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These were first made known to MOTH when the application was filed on 2 November 1999, over five years after the work was done by Roba and the plaintiff. The plaintiff conducted examinations for discovery of a representative of MOTH on 23 July 1997. Then defence counsel in December 1997 suggested that plaintiff's counsel (not counsel on this application) was in a position of conflict; she was unable to find alternative counsel act for the plaintiff, but in July 1999 she was informed by a Bencher of the Law Society, whom she consulted, that there was no conflict so she continued to act and launched this application in November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an affidavit in support of this motion the solicitor for the plaintiff said that from documents produced in July 1997 she learned that neither MOTH nor its agent examined the area prior to construction of the culvert, and that the old culvert probably collapsed because it had corroded and the integrity of the soil around the old culvert had been disturbed leaving the old culvert with no support. These facts were subsequently confirmed by an engineer, and his opinion is contained in my reasons of 14 February 2000. The solicitor for the plaintiff said these facts were not known to her or the plaintiff prior to July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proposed amendments allege: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MOTH owed a duty of care to the plaintiff which it breached (paragraphs 26 and 27);</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security deposit provided by Roba to MOTH was impressed with a trust, and the plaintiff was a beneficiary of that trust (paragraphs 29, 30 and 31);</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MOTH was in breach of a fiduciary duty to the plaintiff (paragraphs 32 and 33);</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MOTH was unjustly enriched when it retained the security deposit (paragraphs 34 and 35).</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facts alleged in the affidavit of the plaintiff's solicitor and in the statement of claim regarding the defendant MOTH's failure to inspect relate to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basis of that claim was known to the plaintiff two years and four months before this application was launched, and three years after the contract. There was no contractual arrangement between the plaintiff and the defendant MOTH so it would seem that this claim is barred by s. 3(2)(a) of The Limitation Act. Even if the running of time were postponed to July 1997, it was still beyond the two year limit when the application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Applying the principles set out in Teal Cedar Products (supra) I conclude that the length of delay, the reasons for delay, the expiry of the limitation period, and the lack of a reasonable connection between the claim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unarticulated claim in the statement of claim and the prejudice to the defendant arising from the delay are all reasons for refusing to exercise my discretion in allowing the amendment. This case is different to that of Teal Cedar Products (supra) as there the plaintiff sought the advice of counsel which was that the action would fail if it proceeded: moreover, the time of delay in that case was far shorter than in this case. In this case I find the plaintiff was dilatory in issuing process, and in prosecuting it once issued. I conclude it would not be just and convenient to allow the amendment and I deny the application with regard to paragraphs 26, 27 and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 and III - Trust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These allegations can only arise through the operation of s.51 of the Ministry of Transportation and Highways Act, set out above. That section does not create a trust in favour of third parties. In this case the defendant MOTH received a security deposit from Roba some six months before the plaintiff contracted with Roba. The security deposit was for the benefit of MOTH to ensure performance of the work, and so has the characteristics of a "performance bond" as opposed to a "payment bond." That distinction was canvassed by Ground J. in Geo A. Kelson Co. v Ellis-Don Construction Ltd. </w:t>
      </w:r>
      <w:hyperlink r:id="rId13" w:history="1">
        <w:r>
          <w:rPr>
            <w:rFonts w:ascii="arial" w:eastAsia="arial" w:hAnsi="arial" w:cs="arial"/>
            <w:i/>
            <w:color w:val="0077CC"/>
            <w:sz w:val="20"/>
            <w:u w:val="single"/>
            <w:shd w:val="clear" w:color="auto" w:fill="FFFFFF"/>
            <w:lang w:val="en-US" w:eastAsia="en-US" w:bidi="ar-SA"/>
          </w:rPr>
          <w:t>(1998), 38 C.L.R. (2d) 215</w:t>
        </w:r>
      </w:hyperlink>
      <w:r>
        <w:rPr>
          <w:rFonts w:ascii="arial" w:eastAsia="arial" w:hAnsi="arial" w:cs="arial"/>
          <w:color w:val="000000"/>
          <w:sz w:val="20"/>
          <w:lang w:val="en-US" w:eastAsia="en-US" w:bidi="ar-SA"/>
        </w:rPr>
        <w:t xml:space="preserve"> at page 241 et seq. He concluded that a sub-contractor cannot make a claim against a performance bond, as it is not a party to the contract that established the bond. (Paragraph 87) I find the facts alleged in the statement of claim do not establish a cause of action based on a breach of trust. It follows that no facts have been alleged which could establish 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 -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MOTH has a duty under s. 51 to take security deposits when work is done which could affect a highway. There is a sound juristic reason for taking and retaining the money under s. 51 of the Act. No facts were alleged to indicate that the defendant benefited from the security deposit: the evidence is that it was used to pay another contractor to replace the old culvert. Lastly, the only deprivation alleged by the plaintiff is that it was not paid for the work it did. That is an issue that will be resolved in this litigation based on the contractual relationship of the plaintiff and Roba, and not based on the security deposit taken by the defendant MOTH. I find no facts alleged in paragraphs 34 and 35 that could establish the claim of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conclude that it would not be just and convenient to grant the plaintiff leave to amend the statement of claim by adding paragraphs 26 to 35 inclusive. The plaintiff's application regarding the defendant MOTH fails and the defendant is entitled to its costs under Scale 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R.M.J. HUTCHINSON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
          <w:headerReference w:type="default" r:id="rId15"/>
          <w:footerReference w:type="even" r:id="rId16"/>
          <w:footerReference w:type="default" r:id="rId17"/>
          <w:headerReference w:type="first" r:id="rId18"/>
          <w:footerReference w:type="first" r:id="rId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 w:history="1">
        <w:r>
          <w:rPr>
            <w:rFonts w:ascii="arial" w:eastAsia="arial" w:hAnsi="arial" w:cs="arial"/>
            <w:b/>
            <w:bCs/>
            <w:i/>
            <w:color w:val="0077CC"/>
            <w:kern w:val="32"/>
            <w:sz w:val="28"/>
            <w:szCs w:val="32"/>
            <w:u w:val="single"/>
            <w:shd w:val="clear" w:color="auto" w:fill="FFFFFF"/>
            <w:lang w:val="en-US" w:eastAsia="en-US" w:bidi="ar-SA"/>
          </w:rPr>
          <w:t>Sophie's Gold &amp; Gift Shop Ltd. v. Lloyd's Underwriters, Lloyd's, London, [2001] B.C.J. No. 1730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Scarth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5 - 9,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C980751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1730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32 C.C.L.I. (3d) 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717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Sophie's Gold &amp; Gift Shop Ltd., plaintiff, and M.J. Oppenheim in his quality as Attorney in Fact in Canada for Lloyd's Underwriters Members of Lloyd's, London, England HSBC Gibbs Limited, Metrix Professional Insurance Brokers Inc., Don Wotherspoon &amp; Associates Ltd. and Gloria Henderson,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 xml:space="preserve">Insurance — Agents — Liability of agent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obtaining adequate coverage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duty of agent to inform and to obtain coverage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apportionment of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Sophie's Gold &amp; Gift Shop against its insurance agent, Don Wotherspoon &amp; Associates, and its employee, Henderson. Kiszel was the owner of Sophie's, which was a jewellery store. She arranged for insurance through Wotherspoon. The insurance contract excluded coverage if there were fewer than two employees in the store. The store was robbed while the second employee was out running an errand. The insurance claim was denied because of this breach. Kiszel claimed that Wotherspoon and Henderson were negligent in failing to inform themselves of her business and knew that she could not comply with the warranty. She stated that they should have obtained coverage for her without the two person warranty. She claimed that they were negligent in failing to inform her of the need to comply strictly with the two person warranty or run the risk of a denial of coverage. She was aware that the insurance policy required that two employees be present in the store during all times that it was open. She gave repeated assurances to Wotherspoon and Henderson that there were always two people in the store.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Wotherspoon and Henderson were negligent in failing to advise Kiszel of the need to comply strictly with the two person warranty or run the risk of a denial of coverage. However, given the repeated assurances to them by Kiszel that she had two employees in the store at all times, they were not negligent in failing to inform themselves about her business or failing to find other coverage. The greatest portion of the blame was attributed to Kiszel. She either forgot the requirement or chose to take a chance and suffered the denial of insurance coverage. Kiszel was 80 per cent liable for the loss and Wotherspoon and Henderson were 20 per cent liable.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Counsel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Wai Cheung, for the plaintiff, Sophie's Gold &amp; Gift Shop Ltd. Donald W. Yule, for the defendants, Don Wotherspoon &amp; Associates Ltd. and Gloria Henderson.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2" style="position:absolute;z-index:2517616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 w:name="SCARTH J."/>
            <w:bookmarkEnd w:id="12"/>
            <w:r>
              <w:rPr>
                <w:rFonts w:ascii="arial" w:eastAsia="arial" w:hAnsi="arial" w:cs="arial"/>
                <w:b/>
                <w:color w:val="000000"/>
                <w:sz w:val="30"/>
                <w:lang w:val="en-US" w:eastAsia="en-US" w:bidi="ar-SA"/>
              </w:rPr>
              <w:t>SCARTH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Sophie's Gold &amp; Gift Shop Ltd. carries on a retail jewellery business at 2550C Shaughnessy Street in Port Coquitlam, British Columbia, under the firm name "Sophie's Gold &amp; Gift Shop". On February 14, 1997 the owner of the plaintiff, Mrs. Sophie Kiszel, was, apart from a customer she was serving, alone in the store whilst her daughter, Monica, who was employed in the business, drove to Port Moody on an errand for the plaintiff. Using a ruse two men, one of whom was armed, persuaded Mrs. Kiszel to let them into the store. They robbed her of approximately $95,000 worth of jewellery. At the time of the robbery the plaintiff was insured under a jewellers' block insurance policy with the defendant Lloyd's against all risk of loss and damage including theft. The policy contained the following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TWO PERSON RESTRICTION CLAUSE -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insurance EXCLUDES all loss or damage occurring at the Insured's premises whilst such premises are open for business and at all times when such premises are being opened or closed for business, unless, at the time such loss or damage occurs there are in attendance at least two persons who are officers and/or employees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Lloyd's has denied all liability to the plaintiff under the policy on the ground the plaintiff was in breach of the Two Person Restriction Clause at the time the loss occurred. The plaintiff has brought this action against, amongst others, Don Wotherspoon &amp; Associates Ltd., through which company the insurance policy in question was issued to the plaintiff, and its employee, Gloria Henderson. As against the defendant Wotherspoon &amp; Associates the plaintiff claims damages for breach of contract and, in the alternative, damages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or breach of contract or breach of fiduciary duty or any of these of its agent, the defendant Henderson. As against the defendant Ms. Henderson the plaintiff claims damages for breach of contract, in the alternative, damages for the said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negligent advice, in the further alternative, damages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the trial of the claims against the defendants Don Wotherspoon &amp; Associates Ltd. and Gloria Henderson. The other named defendants, Lloyd's Underwriters, HSBC Gibbs Limited and Metrix Professional Insurance Brokers, are not before the Court. Moreover, only the question of liability requires determination at this time. If necessary, the issue of damages will be dealt with at a later stage of the proceedings. The facts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owner of Sophie's Gold &amp; Gift Shop Ltd., Mrs. Sophie Kiszel, is 58 years of age. She was born in Romania. In 1949, at the age of seven, she moved to Budapest. She completed four years of high school at the Gymnasium School for pre-university students but, instead of continuing with her studies at the university, she went to work as a bookkeeper in the foreign exchange section of a bank. She worked for the bank from 1961 to 1967, during which time she took courses in English. In 1967 her fianc moved to Canada. Mrs. Kiszel followed six months later. They were married in August, 1967 in Saskatchewan. She worked as a dress maker until February, 1968 and then, until August 1969, for the telephone company. She continued to learn the English language. Her husband worked for a paper company. Their first child, Sophie, was born in February, 1969. After she left the telephone company Mrs. Kiszel and her husband and their infant daughter moved to British Columbia, first to Burnaby and then, in November, 1974, to Coquitlam. Their second daughter, Monica, was born in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have referred to Mrs. Kiszel's efforts to learn the English language both in the old country and in Canada. I note in passing that at the trial in March, 2001 I found Mrs. Kiszel's oral command of English to be excellent. I find she is well able to comprehend both spoken and written English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Until 1976 Mrs. Kiszel worked as an alterationist. During that year, or in 1977, whilst she was at home with Monica, someone came to her house to sell fashion jewellery. The person offered to take her into the company. Mrs. Kiszel knew nothing about the jewellery business, but she and her husband went to the company and obtained a kit to sell jewellery in the neighbourhood. Their business was a success. She sold jewellery for a year or so and then, because she needed more stable employment, got a job as a home seamstress whilst her husband carried on with the jewellery business. They came to realize that it was dangerous keeping jewellery in their home, particularly while Monica was there, and so, on July 2, 1980, they opened a store on McAllister Avenue in Port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Kiszel testified that at that time ten percent of the store's merchandise consisted of jewellery and that ninety percent consisted of gifts. On the advice of their wholesaler they bought a safe. Her husband immediately bought insurance from an agent across the street. She did not look at the policy, she stated, but relied on her husband. She worked in the store. Her husband worked for a paper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1983 Mrs. Kiszel and her husband were divorced. Mrs. Kiszel took control of the store. She changed insurers. She got a good deal for liability insurance for her apartment and the store, she stated. She had no time to read the policy. The agent knew what she needed for the store, she said. The safe was hooked to the alarm, there was tape on the store windows and the two showcases were locked. None of this was required by the policy, according to Mrs. Kiszel. There were no restrictions in the policy. The door was wide open. She continued to buy this insurance until 1989 or 1990. She made no claim under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Then, in 1989 or 1990, the insurer stopped insuring jewellery stores. Don Wotherspoon was recommended to Mrs. Kiszel. She telephoned him in November,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Wotherspoon attended at the store on November 27, 1990. In cross examination Mrs. Kiszel stated that he was there between one-half hour and one hour, but not two hours. Mr. Wotherspoon testified that he was there at least one and one-half hours. According to Mrs. Kiszel, she was there by herself when Mr. Wotherspoon was there. By that time thirty percent of her merchandise consisted of gold, and seventy percent consisted of gifts. She told Mr. Wotherspoon she had jewellery which she wished to insure. Mr. Wotherspoon did an inspection of the premises. He looked at the safe, the showcases and windows, and estimated what she had. He made a diagram of the lay-out of the store. He completed an application for a jewellers' block policy from the information she gave him. One question concerned the number of employees. The questions, with the answers as recorded by Mr. Wotherspoon and indicated by inverted commas,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number of employees: "Self"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1987"/>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Full time:</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"[checked]"</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 Time: "None"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told Mr. Wotherspoon, Mrs. Kiszel testified, that her daughter Monica was not an employee but came in after school and did errands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Wotherspoon testified in chief that he understood Mrs. Kiszel was the only one working in the store but that someone was helping her from time to time. In cross examination he stated that she had help but not enough to be part-time. Mrs. Kiszel was vague about the help she had, Mr. Wotherspoon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second proposal for a jewellers' block policy, to be effected with Lloyd's Underwriters, was filled out in front of her, Mrs. Kiszel stated. It is dated December 24, 1990, and bears her signature. She does not recall whether Mr. Wotherspoon came to her for her signature. She looked at the document to ensure that it was correct. It contains these questions with the answers indicated in inverted commas: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2"/>
        <w:gridCol w:w="1834"/>
        <w:gridCol w:w="236"/>
        <w:gridCol w:w="510"/>
        <w:gridCol w:w="236"/>
        <w:gridCol w:w="6009"/>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 EMPLOYEES:</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many employees have you? "1 Partimer"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least number of employees, officers or owners on your premises at any time during business hours or when opening or closing for business?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"1" in the answer to question 3.b. was herself, Mrs. Kiszel testified in cross examination. The "Partimer" would be Monica, but she would only come in to help out after school from 3:30 to 5:30 in the afternoon. Monica was not paid a salary, and would do her homework in the store. Mrs. Kiszel described this to Mr. Wotherspoon who understood she was there by herself, Mrs. Kiszel stated. She acknowledged that she understood question 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Wotherspoon testified that he went to Mrs. Kiszel on Christmas Eve. He was at the store between 20 minutes and one-half hour. The reason for the second application and a different insurer was that her alarm system was not up to the standard required by the insurer for which the November 27 proposal was intended. According to Mr. Wotherspoon Mrs. Kiszel kept telling him that somebody was coming in. He does not know who that somebody was. But he put on the proposal form that she had "1 Partimer" employee. He believed someone else had been there that day. Asked why the proposal of December 24 indicated one part-time employee whilst the proposal dated November 27 indicated there were no part-time employees, Mr. Wotherspoon said that he had seen someone there, an older woman, and Mrs. Kiszel had mentioned help. He struggled with what to tell the insurer. He had no knowledge, he told the Court, of it being Mrs. Kiszel's 17 year old daughter. It was his interpretation as to what the older woman was doing,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Pursuant to the proposal (or application) for insurance dated December 24, 1990, Lloyd's issued a policy dated January 18, 1991. The policy does not contain a Two Person Restriction Clause; it does contain a "safe warranty" and "locked showcase endorsement" amongst other provisions. Mrs. Kiszel told the Court in cross examination that she understood that the requirement in the policy that the rear door "should remain locked at all times" meant 100 percent of the time, and that if she was robbed when it was not locked she would be unable to recover under the policy. So too with respect to the "safe warranty" and its requirement that 90 percent variable (by value) of the stock be kept in the locked safe "at all times when the said premises are closed" meant 100 percent of the time when the store was closed and that if she did not and was robbed there would be no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March, 1991 the plaintiff moved its premises to the Shaughnessy Street location. In the new store, Mrs. Kiszel testified, she had to "buzz" people in. She had a bigger safe, locked showcases and a video camera. She probably contacted Mr. Wotherspoon about the change of location, she stated. She does not recall if he said anything. She believes he came to the new store, but does not recall much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Kiszel signed a proposal for insurance regarding the new premises on April 12, 1991. She does not recall where the application was made, but "likely it was filled out before me", she stated. Generally for the years 1990 to 1992 Mr. Wotherspoon came to the store to have the application filled out. With respect to the questions concerning employees, the form of questions and the responses recorded on the proposal dated April 12, 1991 are identical to those in the proposal dated December 24, 1990. She did not pay her "1-Partimer"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Wotherspoon testified that he was at the new premises on April 12, 1991 in order to prepare a new application and draw a new diagram. He was there between one and one and one-half hours. He does not recall whether Mrs. Kiszel had questions or concerns regarding the insurance coverage, but she did want to know if the coverage was the same. Mr. Wotherspoon's concern was with respect to the back door and the outside telephone lines. They talked "generalities", 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Under date of June 21, 1991 Mrs. Kiszel received a letter from Wotherspoon &amp; Associates stating that the loss control representative of her insurance company had recently inspected her premises and recommended, in order to improve her location and "help reduce the possibility of a loss", that a fire extinguisher be provided, that the wood door frame of the rear door be replaced with a metal door frame and guard plate at the level of the dead bolt, that the telephone wires from her premises be relocated within the walls or inside her premises, and that the burglar alarm system be upgraded. Mrs. Kiszel complied with those recommendations. No recommendation is indicated regarding the need to have more than one person in the store at all times it was open for business. The evidence does not suggest whether Mrs. Kiszel and her part-time employee were in the premises at the time of the inspection or whether Mrs. Kiszel was there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Mrs. Kiszel was aware her policy expired in January of each year. Mr. Wotherspoon contacted her about renewing it. He asked if a change had been made in the store. Usually it was just the stock that changed,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Wotherspoon came to her store on January 3, 1992. He filled out a different form of proposal. It took him 20 minutes to half an hour to do so. She signed it. Regarding employees, there are in the form the following questions with the responses shown in inverted commas: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18"/>
        <w:gridCol w:w="236"/>
        <w:gridCol w:w="2038"/>
        <w:gridCol w:w="236"/>
        <w:gridCol w:w="6009"/>
        <w:gridCol w:w="10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EMPLOYEES: 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now have "1 Partime" employee"s".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least number of officers or employees on our premises during the policy period will be</w:t>
      </w:r>
    </w:p>
    <w:p>
      <w:pPr>
        <w:numPr>
          <w:numId w:val="3"/>
        </w:numPr>
        <w:tabs>
          <w:tab w:val="clear" w:pos="112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"1" at any time during business hours</w:t>
      </w:r>
    </w:p>
    <w:p>
      <w:pPr>
        <w:numPr>
          <w:numId w:val="4"/>
        </w:numPr>
        <w:tabs>
          <w:tab w:val="clear" w:pos="112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"1" when opening or closing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part-time employee would be her daughter Monica, Mrs. Kiszel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Wotherspoon testified in chief that his visit to Mrs. Kiszel's store in early January, 1992 was preceded by his telephone call to her. It was the end of the day, and there were two people there, Mrs. Kiszel and an older woman. Asked if Mrs. Kiszel had questions or concerns regarding the previous block insurance coverage while he was there Mr. Wotherspoon said: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following year, under date of January 23, 1993, Wotherspoon &amp; Associates wrote the plaintiff and advised Mrs. Kiszel that her present insurers were no longer writing jewellers' block policies and that her coverage had been replaced through another broker with access to Lloyd's brokers. A form of proposal, partially completed, was enclosed with the letter for review, completion and return by Mrs. Kiszel. The answers to the questions regarding the number of employees were not filled in, and Mrs. Kiszel returned the document to Wotherspoon &amp; Associates without providing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the form was received back by Wotherspoon &amp; Associates Mr. Wotherspoon telephoned Mrs. Kiszel in order to complete the proposal, he said. He acknowledged in chief that he was aware the underwriters were proposing a two-person clause. It was crucial, he stated. In cross examination he testified that he telephoned Mrs. Kiszel and said it was important to have two people on the premises at all times. He asked Mrs. Kiszel if there would be a problem. According to Mr. Wotherspoon, Mrs. Kiszel said" "No". There would be two people there all the time she told him. He asked her if she was sure, and she answered: "Yes". She convinced him, he told the Court, that she and another were full-time and that a third person was part-time. He wrote in "2" in answer to the question in the proposal: "How many employees have you?" and also in answer to the question: "What is the least number of employees, officers or owners on your premises at any time during business hours or when opening or closing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One Brent Glanville, an employee of Wotherspoon &amp; Associates, attended upon Mrs. Kiszel at her store to obtain her signature on the proposal. That was on February 19, 1993. Mr. Wotherspoon told the Court that there was a deadline on the 19th to get the proposal to the underwriter. No one went to the store to review it with Mrs. Kiszel. Asked if it was important to do so, Mr. Wotherspoon replied that although a very experienced commercial underwriter with his firm, one April Matticks, who could handle jewellers' block policies, dealt with the matter, it was not the way he would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Monica finished high school in June, 1992. She worked for the plaintiff full-time during the summer. In September she went to college at night. She was hired by the plaintiff as a part-time employee. In February, 1993, Mrs. Kiszel testified, there was Louise Levis, who had started working for the plaintiff part-time in September, 1992, and Monica, who also worked part-time. Monica worked on Tuesdays, Thursdays and Saturdays when Mrs. Levis was not there. She and Monica were paired part of the time, Mrs. Kiszel stated, and part of the time she and Mrs. Levis were paired. In January and February, 1993 the "least number in the store was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Wotherspoon &amp; Associates wrote the plaintiff under date of February 23, 1993. It acknowledged receipt of the proposal form and stated that compliance with two conditions, namely, installation of a dedicated line and rating and certification of the alarm system, had become a condition of insurance. Paragraph 2 of the letter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Confirmation of Insurance is enclosed, pending final agreement of underwriters. Please note the warranty re employees on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enclosed Confirmation of Insurance is dated February 23, 1993 and contains these significant words: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INSURING CONDITIONS: SPECIAL CONDITION/ WARRANTY IT IS WARRANTED THAT TWO EMPLOYEES SHALL BE WORKING IN THE SHOP AT ALL TIMES THE SHOP IS OPEN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Mrs. Kiszel testified that she did not notice the second sentence in paragraph 2 of the letter. Although she admitted in her examination in chief that she received the letter, in cross examination she stated that she could not remember if she had received. Nor, she said, does she recall receiving the Confirmation of Insurance. Had she not received the enclosure with the letter she would have telephoned Mr. Wotherspoon. If she had received it she would have read through it, she said. With regard to the two person warranty, she acknowledged that two people should have worked in the store at all times, but in her type of business it was occasionally necessary to go out to buy postage or go to the bank. As well, there had been no such restriction previously. She did not understand, she said, the need for two people 100 percent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cross examination the following questions and answers from her examination for discovery held on October 26, 1999 were put to Mrs. Kiszel: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439</w:t>
            </w:r>
          </w:p>
        </w:tc>
        <w:tc>
          <w:tcPr>
            <w:tcW w:w="92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Coming back to this confirmation that appears to have been sent with the letter of February 23rd, 1993, do you have any reason to think that you did not receive a confirmation of insurance from Wotherspoon for the 1993 insurance year?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remember that document.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 may have received it and you may not, you simply don't remember one way are or the other,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that's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is because it's six years ago?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that is the kind of document that if you did get it, because it was setting out the insurance that you were acquiring for the next year, that you would ordinarily have read it,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would ordinarily read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read the, what is in fact highlighted on this copy of the document relating to the two person restriction, would you have understood that you had to have two people in the store at all times when it was open for business in order for your insurance to be valid?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Probably I would understand.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Mrs. Kiszel then told the Court that she "guessed" that the warranty in the Confirmation of Insurance meant 100 percent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Wotherspoon said in chief that he knows the letter of February 23, 1993 was sent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Kiszel testified that she received no explanation from Mr. Wotherspoon. She does not remember, she said, a telephone call from Mr. Wotherspoon between February 23rd and the end of March in which he told her it was important that she have two people on the premises all the time the store was open and at opening and closing. She was then working full-time and Mrs. Levis and Monica were both working part-time on an alternating basis. Sometimes three people were in the store at the same time, but not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1994 Monica finished college. She then worked full-time at the store, five or six days each week. The proposals dated January 13, 1994 and January 4, 1995 both indicate that the plaintiff had two employees and that the least number of employees, officers or owners on the premises at any time during business hours or when opening or closing for business was two. Mrs. Kiszel stated that she does not recall if anyone from Wotherspoon &amp; Associates came to the store to have the applications filled out. She testified that she does not recall any discussion about the number of employees, but was happy to tell them she had two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following questions and answers were put to Mrs. Kiszel from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is it fair to say that -- I understand Gloria Henderson was involved in the application in 1994, is that possible that that was one of the years that she was involved?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Could be, yeah. I think I dealt with her in the last two, three years, or four -- four years. I'm not sure, you know, when she started.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But is it fair to say that if Gloria Henderson had asked you in January of 1994 whether the minimum number of employees on the premises at any time during business hours, or when opening or closing would be two you would have said 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 would have said, yeah, two works, but it was never pointed out that one of them can't leave the store. It was just casually mentioned how many employees you have, I said, two at a time in the store.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understood what the least number meant the smallest number?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understood what "at any time" meant at any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468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understood what during business hours, that's when the store was open?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469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you understood when opening or closing for business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always had two people then in any event?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have to say "yes" for the reporter?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Mrs. Kiszel told the Court that the answers to those questions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Wotherspoon was not involved with the proposals dated January 13, 1994 and January 4, 1995; nor with the ones for 1996 or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Gloria Henderson joined Wotherspoon &amp; Associates in August, 1993. When she joined the company she had the equivalent of a level 4 licence, the top licence to sell insurance and be nominee for the office, which she had obtained in Saskatchewan. Her line at Wotherspoon &amp; Associates was commercial marketing, selling and arranging for all kinds of insurance, for retail stores, restaurants and automotive businesses. Prior to joining Wotherspoon &amp; Associates she had written three or four jewellers' block policies in Saskatchewan.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Henderson became involved with the plaintiff's insurance around January, 1994, she testified. She reviewed the previous applications and policies to determine the limits and nature of the plaintiff's insurance. Then she made an appointment with Mrs. Kiszel regarding the 1994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Henderson testified that she visited the plaintiff's premises on January 13, 1994. There were two people in the store. She believes that it was first thing in the morning. She had with her a form of proposal which she had partially completed in her own handwriting. She was at the premises for about an hour, although she did not have Mrs. Kiszel's undivided attention during that time because Mrs. Kiszel would go off to attend a customer. She asked Mrs. Kiszel questions and confirmed the answers were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With respect to the questions regarding the number of employees, Ms. Henderson stated that she would read the questions as they were written in the proposal and record the answers. They discussed on that occasion the locked case and two person warranties. Ms. Henderson stated that she read the Two Person Warranty and asked Mrs. Kiszel if two people were on at all times. Mrs. Kiszel replied, Ms. Henderson said, that if one person had to go out she would put up a sign, lock the store and go to the back. Mrs. Kiszel expressed no concern about the existing policy, Ms. Henderson stated. Nor did they have any other discussion about the contents of the application or her insurance requirements. Mrs. Kiszel signed the application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Henderson testified that she completed in her own handwriting all the questions in the proposal dated December 14, 1995 and went to the plaintiff's premises on that date to go over the application with Mrs. Kiszel, put down her answers and obtain her signature. Mrs. Kiszel confirmed that the coverage was "okay per the previous policy". The 1996 policy, for the period January 19, 1996 to January 19, 1997, and containing amongst other things the Two Person Restriction Clause, was mailed to the plaintiff, shortly after its receipt from the broker on or about February 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cross examination, however, Ms. Henderson testified that for the one year, 1996, she faxed the application to Mrs. Kiszel because "she had no time to see us". She was uncertain whether she sent to Mrs. Kiszel the previous year's application with a blank form for Mrs. Kiszel to complete or whether she, Ms. Henderson, sent the form completed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Henderson testified in cross examination that for the year 1997 she faxed the form to Mrs. Kiszel so she would have the information for the inventory, and then went out to see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proposal form for 1997 was signed by Mrs. Kiszel on January 20, 1997. According to Ms. Henderson she telephoned Mrs. Kiszel and arranged with her to meet at the premises on that date at the time of opening for the completion of the application. Two people were in the store. She was there approximately one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Henderson testified that Mrs. Kiszel told her that her daughter was full-time and that there were two on the premises all the time. The proposal contains these statements: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now have ............. employees.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least number of officers or employees on our premises during the policy period will be:</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..."2"... at any time during business hours.</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..."2" ... when opening or closing for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have indicated the answers to questions 3.b.(i) and (ii) in inverted commas.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copy of the policy for the period January 19, 1997 to January 18, 1998 was sent to the plaintiff following its receipt by Wotherspoon &amp; Associates from the broker on or about April 7, 1997. The policy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TWO PERSON RESTRICTION CLAUSE -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Insurance EXCLUDES all loss or damage occurring at the Insured's premises whilst such premises are open for business and at all times when such premises are being opened or closed for business, unless, at the time such loss or damage occurs there are in attendance at least two persons who are officers and/or employees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pause at this point to record my assessment of the credibility of the principals in this litigation, Mrs. Kiszel, Mr. Wotherspoon and Ms.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Each of these witnesses was convincing in the stand. I tend, however, to prefer the evidence of Mr. Wotherspoon where it is in conflict with the evidence of Mrs. Kiszel. In saying this I do not suggest that Mrs. Kiszel tried in any way to deceive the Court. Nonetheless, her inability to remember critical matters, such as whether she received the letter from Wotherspoon &amp; Associates and Confirmation of Insurance dated February 23, 1993, or had a telephone call from Mr. Wotherspoon between February 23rd and the end of March, 1993 regarding the importance of having two people in the premises at all times, must be weighed against Mr. Wotherspoon's assured manner whilst testifying. An assessment of demeanour alone is not the test, however. As Mr. Justice O'Halloran wrote in Faryna v. Chorney </w:t>
      </w:r>
      <w:hyperlink r:id="rId21" w:history="1">
        <w:r>
          <w:rPr>
            <w:rFonts w:ascii="arial" w:eastAsia="arial" w:hAnsi="arial" w:cs="arial"/>
            <w:i/>
            <w:color w:val="0077CC"/>
            <w:sz w:val="20"/>
            <w:u w:val="single"/>
            <w:shd w:val="clear" w:color="auto" w:fill="FFFFFF"/>
            <w:lang w:val="en-US" w:eastAsia="en-US" w:bidi="ar-SA"/>
          </w:rPr>
          <w:t>(1951), 4 W.W.R. (N.S.) 171</w:t>
        </w:r>
      </w:hyperlink>
      <w:r>
        <w:rPr>
          <w:rFonts w:ascii="arial" w:eastAsia="arial" w:hAnsi="arial" w:cs="arial"/>
          <w:color w:val="000000"/>
          <w:sz w:val="20"/>
          <w:lang w:val="en-US" w:eastAsia="en-US" w:bidi="ar-SA"/>
        </w:rPr>
        <w:t xml:space="preserve"> (B.C.C.A.), at p. 174: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Although I found the personal demeanour of Ms. Henderson more convincing than that of Mrs. Kiszel, it is necessary to subject Ms. Henderson's evidence to the same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Overall, it must be borne in mind, as Mrs. Kiszel pointed out, that the events preceding the robbery occurred more than four years ago and at a time when their relative importance so far as the three witnesses are concerned was no doubt much less than it became following the robbery.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circumstances surrounding the robbery are not in dispute. It was St. Valentine's Day, February 14, 1997. Mrs. Kiszel and her daughter, Monica, got to the store at 9:00 in the morning, went in together, put the gold out and opened the store at 10:00. Mrs. Kiszel was expecting a loose ruby which had to be set and ready for a customer by 4:00 p.m. that day. The ruby arrived. She called the goldsmith who told her to bring it to Port Moody or he could not finish it. So Monica left about 2:30 in the afternoon to drive to Port Moody. Monica testified that she expected to be away for one and one-half to two hours. She had to wait for two jobs to be done by the goldsmith. Upon her return the police were at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Mrs. Kiszel testified that after Monica left she kept the store open. Significantly, however, the front door was locked and had to be released from inside the store in order to admit someone. Around 4:20 or 4:30 in the afternoon, whilst Monica was driving back from Port Moody after attending to her errands, a lady from a nearby bakery came to the store. Mrs. Kiszel was showing her some identification bracelets. A man, whom Mrs. Kiszel did not know, came to the door. He had "B.C. Tel" on his chest. She had a lot of customers from the B.C. Telephone Company, she stated, and admitted him to the store. He told Mrs. Kiszel she had a problem with her telephone. She picked the telephone up. It worked. He said he would check it from the Dairy Queen and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Five minutes later he returned and knocked. She admitted him to the store. He ran toward the showcases. A second man with a gun entered. The two men scooped over 100 rings from the showcases as well as some chains from the outside showcases. Mrs. Kiszel pushed the panic button. When she refused to open the door for them to leave she was threatened. They left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not in dispute that at the time the robbery took place there were "not at least two persons who are officers and/or employees of the Insured" on the premises. There was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An issue is whether the plaintiff's premises were "open for business" at the time the loss occurred. In cross examination Mr. Wotherspoon, according to my notes, gave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Yesterday you said that Sophie explained to you that at times she would leave the store and she would put up a clock?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she did she would leave one person in the store?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check with the insurer or the wholesaler if this would be covered under the policy?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because the premises would be closed.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However, in this situation the lights would be left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jewellery would be left out?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they were robbed your understanding would be that they would still be covered?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the door's locked. They're not in business if it's locked and nobody's coming 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understanding is that the door is always locked though?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someone broke in there would be only one person in the store. At this time you would understand that they would be covered?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 would have to look at the policy. I mean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never questioned the insurer?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Once the door was locked and the place was secured then it's not open for business.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would be your own interpretation?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at this time this was the first time you ever dealt with a two-person warranty?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Mrs. Kiszel, on the other hand, testified that after Monica left for Port Moody on the day of the robbery she "kept the store open". She was evidently serving a customer, the lady from the bakery, and admitted into the store the man with "B.C. Tel" emblazoned on his chest because she thought he was a customer. Notwithstanding the security system by which people were "buzzed" into the locked store, I find that at the time the loss occurred the "premises [were] open for business" within the meaning of the plaintiff's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Mrs. Kiszel denied in cross examination that she knew that two had to be in the store if it was open for business. Her evidence in this regard, I find, does not accord with the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Although Mr. Wotherspoon and Ms. Henderson had both dealt with about half a dozen jewellers' block insurance policies prior to 1993, that was the first year in which in their experience such policies contained a Two Employee Warranty. It stands to reason that those careful agents, faced with a change in the industry requirements, would ensure such a term was not a problem for Mrs. Kiszel and that she was aware of the need to have two people in the store at all times when it was open for business or being opened or closed. Mr. Wotherspoon was asked in chief whether Mrs. Kiszel had ever indicated she had a difficulty complying with the requirement for two persons. His response was: "Definitely not". He acknowledged in cross examination that his answers to the following questions on his examination for discovery held on October 27, 1999 are correct "to the best of his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tell her that nobody could go out for lunch, did you tell her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said it had to be two people there at all times and she agreed that this -- they would 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want you to tell me everything you can about the conversation you had with Sophie about the two person?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one of about three things that I had to talk to her about because there was a restriction on the alarm system.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there was a restriction on the amount of jewelry being left out. There was a number of things, but the two person one was the most important thing that I had to talk to her about at that time so that I could confirm that back to the insurance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Tell me what you can recall specifically about that conversation?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phoned her and reiterated and asked her about her alarm system, would it be, you know -- would it comply with what we were looking for and she said it would.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403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I talked to her about the two person and said that they had to have two persons at all times and she said, you know, that's no problem.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680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do you mean at the bottom of the first paragraph "and two people warranty is in place"?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she understands and she confirmed that with us that she had two people on the premises at all times.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Wotherspoon also said in cross examination that he does not recall telling Mrs. Kiszel that "at all times" meant 100 percent of the time without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Following the robbery, on February 28, 1997, Mr. Wotherspoon and Ms. Henderson attended upon Mrs. Kiszel at the plaintiff's premises. They discussed the details of the robbery and the fact that Mrs. Kiszel was the only employee in the store at the time. Mr. Wotherspoon said to her: "You know, this could affect your insurance." Although Mrs. Kiszel was understandably distraught, she did not say she was not aware there was a two person restriction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Under date of May 5, 1997 the insurance adjusters wrote Mrs. Kiszel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Ms. Kiszel: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now heard from your Insurance Company and we have been instructed to deny your claim based on the Two Person Restriction Clause which states that, "This insurance excludes all loss or damage occurring at the Insured's premises while such premises are open for business and at all times when such premises are being opened or closed for business, unless, at the time such loss or damage occurs, there are in attendance at least two persons who are Officers and/or Employees of the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we regret to inform you that Coverage will not apply. Should you have any questions or concerns, please contact this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was not until January 14, 1998 that Mrs. Kiszel first raised, by her response to the adjuster's letter, a question as to her awareness of the Two Person Restriction clause. She wrote to the adjusters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regards to your letter of May 5, 1997 and in accordance with the Terms and Conditions of policy number HC97AAAP818, please find enclosed a fully completed, signed and notarized Proof of Loss. We are submitting this document, along with all supporting documents as we reject the denial of our loss for the following reasons: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 were unaware our policy contained a Two Person Restriction Clause or we would have objected to it.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store is usually staffed by two persons, there were times when only one person was in the store. A fact we know the Broker, the Wholesaler, Lloyd's Broker and Lloyd's were aware of. If not all of them, for sure some.</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previously mentioned group that handled my policy are supposed to be Insurance Professionals and are assumed to have the knowledge and experience to handle my policy. If they did not, they should have.</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 believe it is unreasonable to expect us to fully understand all the conditions of our policy. For this, we relied on a Professional. How are we to know without their advice?</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your letter, we have done some checking and find that putting a Two Person Restriction on basically a two person store is not usual. In fact, we found out the two largest Canadian Jewellers Insurance either do not have one or it is not as stringent.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the above in mind, we will be instructing our lawyers to prepare a Writ and have it filed prior to February 14, 1998.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Mrs. Kiszel's actions prior to the robbery were consistent with her knowledge of the requirements of the Two Person Warranty. She made every effort to ensure two persons were in the premises at all times when the store was open for business. If one of them had to leave it would be for a short period of time, perhaps 5 minutes. The other would retire to the back of the store where people attempting to gain access could be observed unobtrusively and admitted at the will of Mrs. Kiszel or the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following questions and answers from her examination for discovery were put to Mrs. Kiszel in cross examination and acknowledged by her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when, for example, to use the example of running to get wrapping paper, bows or something, and there was only one person left in the store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would that person open the door if there were what appeared to be a customer at the door?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they would open the store and sometimes I even told them that when I wasn't, you know, here every time. You turn on the radio you hear that this store get robbed or that store got robbed then I sometime told them just go in the back office because we have a window and we have blinds on it so we can see out now but they can't see in, and many times I told them to stay in here. And if it's a regular customer that you know well that, you know, maybe picks up the rings, let him in and by the time, you know, she was finished dealing with them I was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on those days when Monica was working over the lunchtime did she usually bring a lunch and eat it on the premises?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and many times we go over to the bakery and buy it 8:30 in the morning so we don't have to go out during the day. I mean what else I can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All that is before the store opens, the store usually opens at what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were getting food in so that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have to go 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so that you can have two people in the store all during your regular hours when you are open for business?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Louise comes in at nine. I usually go in usually 8, 8:30. I clean the windows outside, if I have to the buy the food I buy the food and then I lock myself in like a prisoner.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'93 until the time of this robbery to the best of your recollection there had never been an occasion when the store was open for business that there had only been one person in the store for as long as a couple of hours?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Never and I'm many times I do like I go to the goldsmith after six o'clock because I live in Coquitlam, he lives in Port Moody. So, I go down or and I go home or I go down 8:30 in the morning and I pick up things and then I go to the store at nine o'clock. Like we try to do everything that it's always covered.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806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try to organize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your trips so that they are done outside of ordinary business hours so that you can have two people in the store?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Henderson testified in chief that on visits to Mrs. Kiszel, Mrs. Kiszel told her that she left one person in the store whilst she went to the bank and that she locked the store and would not open it until she returned. Asked if she told Mrs. Kiszel that it was "okay to have one in the store when it was open for business" Ms. Henderson replied: "Absolutely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Mrs. Kiszel made an awful mistake on February 14, 1997 by having Monica leave the store for two hours whilst it was open for business without making any attempt to get her part-time employee, Mrs. Levis, to come in during that period. I do not find her statements in cross examination that she was not aware that she had to have two people in the store all the time when it was open for business in accordance with the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Nor do I find Mrs. Kiszel's assertion that on occasions prior to the robbery she was away from the store only briefly out of concern for the employees' comfort or because she had to be there to run the business and make decisions, and not for the insurance, accords with the common sense realities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following questions and answers from her examination for discovery were put to Mrs. Kiszel in cross examination. She agreed the answers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508</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1995 in this application under question three for "employees" there is the same question "we now have" and the number "two" is written for employees and that was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second part of that question 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"The least number of officers or employees on our premises during the policy period will be" -- and then the number "two" in written in -- "at any time during business hours" and then also "two" is written in "when opening or closing".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 you would have seen that on the application before you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was there anything about that that you did not understand?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understood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Wotherspoon admitted in cross examination that he did not tell Mrs. Kiszel he could not find a policy without a two person restriction in it. He acknowledged that from 1993 to 1997 he was not aware of other policies being available which did not require a two person warranty. Nor did he ask the broker to shop around for a policy without a two person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Henderson testified that when the two person restriction came into effect she investigated the market to get the best premium. She found no policy without such a clause. Asked if, prior to 1997, she negotiated with Lloyd's to get out of the two person restriction, she replied that that was not available. She was told by the broker that Lloyd's would not remove the clause. She was not aware of what other insurers issued, she said, because Wotherspoon &amp; Associates had no contract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called as an expert witness in jewellers' block policies Shaun McLoughlin. His evidence is that prior to February 14, 1997 such policies were available that did not have a two person warranty or used a modified two person warranty. As well, although Lloyd's had always insisted on a two person warranty, Mr. McLoughlin stated, it was possible over the years to negotiate changes to the warranty which in effect negated 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did Mr. Wotherspoon, Ms. Henderson testified that she told Mrs. Kiszel that there had to be two persons in the store at all times that it was open for business and when it was being opened or closed. I accept their evidence in that regard. Nonetheless, neither Mr. Wotherspoon nor Ms. Henderson told Mrs. Kiszel that if there were not two persons in the store at those times she would be in breach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This, it seems to me, is fundamental. The Two Person Restriction Clause was first included in Mrs. Kiszel's policy in 1993. It represented a significant change in the policy. Mr. Wotherspoon was aware of the change at the time he completed the proposal for the policy during his telephone discussion with Mrs. Kiszel and at the time he dispatched his employee, Mr. Glanville, to obtain her signature on the proposal. He also had this fax message dated February 11, 1993 to Wotherspoon &amp; Associates from the brokers, N.G. Williams and Associates Ltd.,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UWRS have now reviewed the inspection report and require compliance by the assured with the recommendations within 30 days. The recommendations are as follows: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Installation of a dedicated line.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alarm system UL rated and certified.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also stress again that it is a warranty in the policy that there be two employees in the premises at all times. The assured should be fully aware of this as the inspector indicates in his report that there are occasions when the assured does not comply with this at the opening of the business day. Any loss occurring when there are not two people present would likely be denied.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Lastly, the return of the completed proposal form is required by Feb. 19th.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So too in June, 1996 Wotherspoon &amp; Associates received a letter dated June 26, 1996 from Crawford &amp; Company regarding a jewellers' block inspection report they had prepared for N.G. Williams &amp; Associates Ltd. in February, 1993 but for which they had not been paid. They enclosed a copy of the report. It is dated February 1, 1993, and contains this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Sophie Kiszel is the only person in possession of keys to gain entry into the premises and therefore is the first one to arrive to open up the store. Normally Mrs. Louise Levis is present when the store is opened, however, there are occasions when Ms. Sophie Kiszel is unaccompanied.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Henderson testified that she called Mrs. Kiszel about payment of the account. Mrs. Kiszel told her that she thought it had been paid but would look it up. Ms. Henderson stated that Mrs. Kiszel told her there were two people in the premises at all times. According to Ms. Henderson they discussed the concern in the previous report about that. There is no suggestion that Ms. Henderson pointed out to Mrs. Kiszel that failure on her part to have two in the store in compliance with the warranty would result in a breach of the policy and denial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the other hand, Mrs. Kiszel acknowledged on her examination for discovery (Q. 443, above) that she "(p)robably ... would understand" if she had read the Confirmation of Insurance dated February 23, 1993 that she had to have two people in the store at all times when it was open for business in order for her insurance to be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judgment the defendants Wotherspoon &amp; Associates and Ms. Henderson had an obligation to Mrs. Kiszel, as the insurance agents upon whom she relied to provide the necessary coverage for the plaintiff's business, to inform her fully of the coverage, of the limitations and of the exclusions.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Fine's Flowers Ltd. v. General Accident Assur. Co. </w:t>
      </w:r>
      <w:hyperlink r:id="rId22" w:history="1">
        <w:r>
          <w:rPr>
            <w:rFonts w:ascii="arial" w:eastAsia="arial" w:hAnsi="arial" w:cs="arial"/>
            <w:i/>
            <w:color w:val="0077CC"/>
            <w:sz w:val="20"/>
            <w:u w:val="single"/>
            <w:shd w:val="clear" w:color="auto" w:fill="FFFFFF"/>
            <w:lang w:val="en-US" w:eastAsia="en-US" w:bidi="ar-SA"/>
          </w:rPr>
          <w:t>(1997), 17 O.R. (2d) 529</w:t>
        </w:r>
      </w:hyperlink>
      <w:r>
        <w:rPr>
          <w:rFonts w:ascii="arial" w:eastAsia="arial" w:hAnsi="arial" w:cs="arial"/>
          <w:color w:val="000000"/>
          <w:sz w:val="20"/>
          <w:lang w:val="en-US" w:eastAsia="en-US" w:bidi="ar-SA"/>
        </w:rPr>
        <w:t xml:space="preserve">, Wilson J.A. (as she then was), writing for the majority of the Ontario Court of Appeal, quoted with approval this statement from the judgment of Mr. Justice Haines in Lahey v. Hartford Fire Ins. Co., </w:t>
      </w:r>
      <w:hyperlink r:id="rId23" w:history="1">
        <w:r>
          <w:rPr>
            <w:rFonts w:ascii="arial" w:eastAsia="arial" w:hAnsi="arial" w:cs="arial"/>
            <w:i/>
            <w:color w:val="0077CC"/>
            <w:sz w:val="20"/>
            <w:u w:val="single"/>
            <w:shd w:val="clear" w:color="auto" w:fill="FFFFFF"/>
            <w:lang w:val="en-US" w:eastAsia="en-US" w:bidi="ar-SA"/>
          </w:rPr>
          <w:t>[1968] 1 O.R. 727</w:t>
        </w:r>
      </w:hyperlink>
      <w:r>
        <w:rPr>
          <w:rFonts w:ascii="arial" w:eastAsia="arial" w:hAnsi="arial" w:cs="arial"/>
          <w:color w:val="000000"/>
          <w:sz w:val="20"/>
          <w:lang w:val="en-US" w:eastAsia="en-US" w:bidi="ar-SA"/>
        </w:rPr>
        <w:t>, at p. 729: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solution lies in the intelligent insurance agent who inspects the risks when he insures them, knows what his insurer is providing, discovers the area that may give rise to dispute and either arranges for the coverage or makes certain the purchaser is aware of the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New Forty Four Mines Ltd. v. St. Paul Fire &amp; Marine Ins. Co. (1984), </w:t>
      </w:r>
      <w:hyperlink r:id="rId24" w:history="1">
        <w:r>
          <w:rPr>
            <w:rFonts w:ascii="arial" w:eastAsia="arial" w:hAnsi="arial" w:cs="arial"/>
            <w:i/>
            <w:color w:val="0077CC"/>
            <w:sz w:val="20"/>
            <w:u w:val="single"/>
            <w:shd w:val="clear" w:color="auto" w:fill="FFFFFF"/>
            <w:lang w:val="en-US" w:eastAsia="en-US" w:bidi="ar-SA"/>
          </w:rPr>
          <w:t>34 Alta. L.R. (2d) 28</w:t>
        </w:r>
      </w:hyperlink>
      <w:r>
        <w:rPr>
          <w:rFonts w:ascii="arial" w:eastAsia="arial" w:hAnsi="arial" w:cs="arial"/>
          <w:color w:val="000000"/>
          <w:sz w:val="20"/>
          <w:lang w:val="en-US" w:eastAsia="en-US" w:bidi="ar-SA"/>
        </w:rPr>
        <w:t xml:space="preserve"> (Alta. Q.B.); appeal by insurance broker allowed, </w:t>
      </w:r>
      <w:hyperlink r:id="rId25" w:history="1">
        <w:r>
          <w:rPr>
            <w:rFonts w:ascii="arial" w:eastAsia="arial" w:hAnsi="arial" w:cs="arial"/>
            <w:i/>
            <w:color w:val="0077CC"/>
            <w:sz w:val="20"/>
            <w:u w:val="single"/>
            <w:shd w:val="clear" w:color="auto" w:fill="FFFFFF"/>
            <w:lang w:val="en-US" w:eastAsia="en-US" w:bidi="ar-SA"/>
          </w:rPr>
          <w:t>[1987] 5 W.W.R. 673</w:t>
        </w:r>
      </w:hyperlink>
      <w:r>
        <w:rPr>
          <w:rFonts w:ascii="arial" w:eastAsia="arial" w:hAnsi="arial" w:cs="arial"/>
          <w:color w:val="000000"/>
          <w:sz w:val="20"/>
          <w:lang w:val="en-US" w:eastAsia="en-US" w:bidi="ar-SA"/>
        </w:rPr>
        <w:t xml:space="preserve"> (Alta. C.A.), Mr. Justice Moshansky wrote in para. 41 of his reasons in the trial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find that this defendant [the broker] was negligent in failing to bring the said warranty to the attention of the plaintiff, once it had been given, so as to ensure compliance by the plaintiff with the warranty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And in Siemens et al. v. Unrau et al. </w:t>
      </w:r>
      <w:hyperlink r:id="rId26" w:history="1">
        <w:r>
          <w:rPr>
            <w:rFonts w:ascii="arial" w:eastAsia="arial" w:hAnsi="arial" w:cs="arial"/>
            <w:i/>
            <w:color w:val="0077CC"/>
            <w:sz w:val="20"/>
            <w:u w:val="single"/>
            <w:shd w:val="clear" w:color="auto" w:fill="FFFFFF"/>
            <w:lang w:val="en-US" w:eastAsia="en-US" w:bidi="ar-SA"/>
          </w:rPr>
          <w:t>(1989), 44 C.C.L.I. 99</w:t>
        </w:r>
      </w:hyperlink>
      <w:r>
        <w:rPr>
          <w:rFonts w:ascii="arial" w:eastAsia="arial" w:hAnsi="arial" w:cs="arial"/>
          <w:color w:val="000000"/>
          <w:sz w:val="20"/>
          <w:lang w:val="en-US" w:eastAsia="en-US" w:bidi="ar-SA"/>
        </w:rPr>
        <w:t xml:space="preserve"> (B.C.S.C.), Mr. Justice Callaghan wrote, at p. 103: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an insured is fully apprised of the coverage and the limitations thereof, as is the case here, and thereafter accepts the policy without indicating that the coverage falls short of what he seeks, then the agent has fulfilled his duty and consequently cannot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It was incumbent on the defendant agents to inform Mrs. Kiszel, particularly in the face of advice in the form of inspection reports that she was in breach of the two person warranty, of the serious consequences of non-compliance with the warranty, namely, a denial of coverage. There is no doubt in my mind that those two experienced agents were aware of the law as set out by Mr. Justice Fauteux (as he then was) in Auto Prod. Co. v. Ins. Co. of North Amer., </w:t>
      </w:r>
      <w:hyperlink r:id="rId27" w:history="1">
        <w:r>
          <w:rPr>
            <w:rFonts w:ascii="arial" w:eastAsia="arial" w:hAnsi="arial" w:cs="arial"/>
            <w:i/>
            <w:color w:val="0077CC"/>
            <w:sz w:val="20"/>
            <w:u w:val="single"/>
            <w:shd w:val="clear" w:color="auto" w:fill="FFFFFF"/>
            <w:lang w:val="en-US" w:eastAsia="en-US" w:bidi="ar-SA"/>
          </w:rPr>
          <w:t>[1969] S.C.R. 824</w:t>
        </w:r>
      </w:hyperlink>
      <w:r>
        <w:rPr>
          <w:rFonts w:ascii="arial" w:eastAsia="arial" w:hAnsi="arial" w:cs="arial"/>
          <w:color w:val="000000"/>
          <w:sz w:val="20"/>
          <w:lang w:val="en-US" w:eastAsia="en-US" w:bidi="ar-SA"/>
        </w:rPr>
        <w:t>, at 834, quoting from Aero Ins. Co. v. Obalski Chibougamau Mining Co. (1931), 51 B.R. 145 (Que. C.A.)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essential characteristic of a warranty is that it must be strictly complied with, whether it be material to the risk or not. If it be not complied with, then, subject to any express provision in the policy, the insurer is discharged from liability from the date of the breach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the defendant Wotherspoon &amp; Associates in breach of their contract with Mrs. Kiszel and the defendant Ms. Henderson negligent in failing to inform Mrs. Kiszel of the need to comply strictly with the two person warranty or run the risk of a denial of coverage by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find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on the basis, as alleged by the plaintiff, that they failed to inform themselves of the plaintiff's business and know she could not comply with the warranty, or obtain coverage without the two person warranty. Mrs. Kiszel informed them she had two persons in the store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However, by far the greater portion of the blame must be attributed to Mrs. Kiszel. She gave repeated assurances to both Mr. Wotherspoon and Ms. Henderson that two people were in the store at all times. Plainly she was aware of the two person requirement. On the day of the robbery she either forgot that requirement or chose to take a chance and keep the store open with only one person in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loss Mrs. Kiszel sustained was the denial of her insurance coverage by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attribute 20 percent of the liability to the defendants Wotherspoon &amp; Associates and Ms. Henderson and 80 percent to Mrs. Kiszel.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SCARTH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
          <w:headerReference w:type="default" r:id="rId29"/>
          <w:footerReference w:type="even" r:id="rId30"/>
          <w:footerReference w:type="default" r:id="rId31"/>
          <w:headerReference w:type="first" r:id="rId32"/>
          <w:footerReference w:type="first" r:id="rId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 w:history="1">
        <w:r>
          <w:rPr>
            <w:rFonts w:ascii="arial" w:eastAsia="arial" w:hAnsi="arial" w:cs="arial"/>
            <w:b/>
            <w:bCs/>
            <w:i/>
            <w:color w:val="0077CC"/>
            <w:kern w:val="32"/>
            <w:sz w:val="28"/>
            <w:szCs w:val="32"/>
            <w:u w:val="single"/>
            <w:shd w:val="clear" w:color="auto" w:fill="FFFFFF"/>
            <w:lang w:val="en-US" w:eastAsia="en-US" w:bidi="ar-SA"/>
          </w:rPr>
          <w:t>SunOil Ltd. v. Big Snowy Resources L.P., [2015] B.C.J. No. 190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Harper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S141392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SunOil Ltd., Plaintiff, and Big Snowy Resources, L.P., Antelope Resources, Inc. Crazy Mountain Group LLC, Bouda LLC, 648564 B.C. Ltd., Western Sun Exploration Inc., Jake Oil &amp; Gas Consultants LLC, John Campbell, Robert Gardner, Robert Stuart Angus, Brian Smith, Wayne Moorehouse and Michael Farley,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 w:name="Keywords_1"/>
      <w:bookmarkEnd w:id="13"/>
      <w:r>
        <w:rPr>
          <w:rFonts w:ascii="arial" w:eastAsia="arial" w:hAnsi="arial" w:cs="arial"/>
          <w:b/>
          <w:color w:val="000000"/>
          <w:sz w:val="20"/>
          <w:lang w:val="en-US" w:eastAsia="en-US" w:bidi="ar-SA"/>
        </w:rPr>
        <w:t xml:space="preserve">Civil litigation — Civil procedure — Parties — Adding or substituting — Necessary or proper — Application by plaintiff for order adding its wholly owned subsidiary Stealth USA as plaintiff and adding Magna Management, company controlled by defendant Gardner, as defendant allowed — Proposed parties were so closely connected to existing claims that they ought to be added — Their participation was necessary to ensure all matters were effectively adjudicated on — Deficient corporate claim for aggravated damages was not of itself sufficient to deny application — Generous reading of plaintiff's notice of civil claim supported claims for fraud, misrepresentation, unilateral mistake, breach of fiduciary duty, conspiracy,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Supreme Court Civil Rules, Rule 6-2(7).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 w:name="Case Summary_1"/>
            <w:bookmarkEnd w:id="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an order adding its wholly owned subsidiary Stealth USA as a plaintiff and adding Magna Management, a company controlled by the defendant Gardner, as a defendant. In 2008, the plaintiff, through Stealth USA, acquired an oilfield from the defendant Crazy Mountain. At the time, Magna was a shareholder in Crazy Mountain and a director of the plaintiff. The plaintiff alleged it paid too much for the oilfield based on an appraisal Gardner urged upon the directors of the plaintiff. Gardner received his profit from the sale through Magna. The plaintiff claimed aggravated and punitive damages for fraud and misrepresentation. It further claimed unilateral mistake, breach of fiduciary duty, conspiracy, knowing assistance and knowing receipt,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 w:name="Holdings of Court_1"/>
            <w:bookmarkEnd w:id="1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parties were so closely connected to the existing claims that they ought to be added. Their participation was necessary to ensure all matters in the proceeding were effectively adjudicated on. The deficient corporate claim for aggravated damages was not of itself sufficient to deny the application. A generous reading of the plaintiff's notice of civil claim supported the claims. It adequately set out the case the defendants had to meet. It was not plain and obvious that the notice of civil claim disclosed no reasonable cause of action. There was no prejudice to Gardner if Magna was added as a defendant. Any limitation defence by Magna was preserved.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 w:name="Legislation Cited_0"/>
      <w:bookmarkEnd w:id="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5"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3-1(1), Rule 3-7, Rule 3-7(1), Rule 3-7(9), Rule 3-7(10), Rule 3-7(18), Rule 6-1(1), Rule 6-2(7), Rule 6-2(7)(b), Rule 6-2(7)(c),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 w:name="Counsel_1"/>
      <w:bookmarkEnd w:id="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 Legge, G. Hoekstra.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Robert Gardner, and Bouda LLC: J.D. Shields.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 w:name="Judgment_1"/>
      <w:bookmarkEnd w:id="18"/>
      <w:r>
        <w:pict>
          <v:line id="_x0000_s1037"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 w:name="MASTER HARPER"/>
            <w:bookmarkEnd w:id="19"/>
            <w:r>
              <w:rPr>
                <w:rFonts w:ascii="arial" w:eastAsia="arial" w:hAnsi="arial" w:cs="arial"/>
                <w:b/>
                <w:color w:val="000000"/>
                <w:sz w:val="30"/>
                <w:lang w:val="en-US" w:eastAsia="en-US" w:bidi="ar-SA"/>
              </w:rPr>
              <w:t>MASTER HARPER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SunOil Ltd. (the "plaintiff") applies for orders adding as a plaintiff its wholly owned subsidiary Stealth Energy USA Inc. ("Stealth USA") and as a defendant Magna Management Ltd. ("Magna"), a company controlled by the defendant Robert Gardner ("Gardner"). The plaintiff also seeks an order amending the notice of civil claim as a consequence of the addition of the new parties. The proposed notice of civil claim is attached as Schedule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proposed plaintiff Stealth USA consents to being added as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Gardner and Bouda LLC oppose the application. I will refer to these defendants for convenience as "the defendants". No other defendants have responded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2008, the plaintiff acquired, through its subsidiary Stealth USA, an oilfield in Wyoming, referred to as the "East Teapot Property" from the defendant Crazy Mountain Group LLC ("Crazy Mountain"). Magna was a shareholder in Crazy Mountain and a director of the plaintiff at the material time (the material time being between January and March, 2008 according to the plaintiff). Gardner did not vote on the acquisition. The plaintiff alleges that it paid too much for the East Teapot Property based on an appraisal that Gardner (among others) urged upon the directors of the plaintiff. The plaintiff alleges Magna and, hence, Gardner improperly profited from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have applied for a summary trial which is set for hearing February 26 and 27,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RULES REGARDING ADDITION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 party can be added if that person ought to have been joined as a party; that person's participation is necessary to ensure that all matters in the proceeding may be effectively adjudicated on; or there may exist between the person and any party a question or issue relating to or connected with any relief claimed in the proceeding, or the subject matter of the proceeding that it would be just and convenient to determine in the proceeding: Rule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general principles that the court should apply when determining whether to grant an application to add parties are set out in </w:t>
      </w:r>
      <w:r>
        <w:rPr>
          <w:rFonts w:ascii="arial" w:eastAsia="arial" w:hAnsi="arial" w:cs="arial"/>
          <w:i/>
          <w:color w:val="000000"/>
          <w:sz w:val="20"/>
          <w:lang w:val="en-US" w:eastAsia="en-US" w:bidi="ar-SA"/>
        </w:rPr>
        <w:t>Meade v. Armstrong (City)</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2011 BCSC 1591</w:t>
        </w:r>
      </w:hyperlink>
      <w:r>
        <w:rPr>
          <w:rFonts w:ascii="arial" w:eastAsia="arial" w:hAnsi="arial" w:cs="arial"/>
          <w:color w:val="000000"/>
          <w:sz w:val="20"/>
          <w:lang w:val="en-US" w:eastAsia="en-US" w:bidi="ar-SA"/>
        </w:rPr>
        <w:t xml:space="preserve"> at para. 16:</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party should be added where that party's participation is necessary for the proper determination of the case: </w:t>
      </w:r>
      <w:r>
        <w:rPr>
          <w:rFonts w:ascii="arial" w:eastAsia="arial" w:hAnsi="arial" w:cs="arial"/>
          <w:i/>
          <w:color w:val="000000"/>
          <w:sz w:val="20"/>
          <w:lang w:val="en-US" w:eastAsia="en-US" w:bidi="ar-SA"/>
        </w:rPr>
        <w:t>Van de Perre v. Edwards</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[2001] 2 S.C.R. 1014</w:t>
        </w:r>
      </w:hyperlink>
      <w:r>
        <w:rPr>
          <w:rFonts w:ascii="arial" w:eastAsia="arial" w:hAnsi="arial" w:cs="arial"/>
          <w:color w:val="000000"/>
          <w:sz w:val="20"/>
          <w:lang w:val="en-US" w:eastAsia="en-US" w:bidi="ar-SA"/>
        </w:rPr>
        <w:t xml:space="preserve"> at para. 48;</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discretion to add parties should be generously exercised so as to enable effective adjudication upon all matters: </w:t>
      </w:r>
      <w:r>
        <w:rPr>
          <w:rFonts w:ascii="arial" w:eastAsia="arial" w:hAnsi="arial" w:cs="arial"/>
          <w:i/>
          <w:color w:val="000000"/>
          <w:sz w:val="20"/>
          <w:lang w:val="en-US" w:eastAsia="en-US" w:bidi="ar-SA"/>
        </w:rPr>
        <w:t>Northern Construction Co. v. British Columbia Hydro and Power Authority</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[1970] B.C.J. No. 26</w:t>
        </w:r>
      </w:hyperlink>
      <w:r>
        <w:rPr>
          <w:rFonts w:ascii="arial" w:eastAsia="arial" w:hAnsi="arial" w:cs="arial"/>
          <w:color w:val="000000"/>
          <w:sz w:val="20"/>
          <w:lang w:val="en-US" w:eastAsia="en-US" w:bidi="ar-SA"/>
        </w:rPr>
        <w:t xml:space="preserve"> at para. 14;</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exercising the discretion to add a party, the court should not concern itself as to whether the action will be successful other than to be satisfied that there may exist an issue or question between the applicant and the party being joined: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[1981] B.C.J. No. 1611</w:t>
        </w:r>
      </w:hyperlink>
      <w:r>
        <w:rPr>
          <w:rFonts w:ascii="arial" w:eastAsia="arial" w:hAnsi="arial" w:cs="arial"/>
          <w:color w:val="000000"/>
          <w:sz w:val="20"/>
          <w:lang w:val="en-US" w:eastAsia="en-US" w:bidi="ar-SA"/>
        </w:rPr>
        <w:t xml:space="preserve"> at para. 12;</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is not required in support of a joinder application. The pleadings may be sufficient to establish that there is a question to be tried between the parties: </w:t>
      </w:r>
      <w:r>
        <w:rPr>
          <w:rFonts w:ascii="arial" w:eastAsia="arial" w:hAnsi="arial" w:cs="arial"/>
          <w:i/>
          <w:color w:val="000000"/>
          <w:sz w:val="20"/>
          <w:lang w:val="en-US" w:eastAsia="en-US" w:bidi="ar-SA"/>
        </w:rPr>
        <w:t>Lasik Vision Canada Inc. v. TLC Vancouver Optometric Group Inc.,</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[1999] B.C.J. No. 2796</w:t>
        </w:r>
      </w:hyperlink>
      <w:r>
        <w:rPr>
          <w:rFonts w:ascii="arial" w:eastAsia="arial" w:hAnsi="arial" w:cs="arial"/>
          <w:color w:val="000000"/>
          <w:sz w:val="20"/>
          <w:lang w:val="en-US" w:eastAsia="en-US" w:bidi="ar-SA"/>
        </w:rPr>
        <w:t xml:space="preserve"> at para. 15;</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applicant relies on pleadings alone, the facts alleged, which if assumed to be true, must disclose a cause of action: </w:t>
      </w:r>
      <w:r>
        <w:rPr>
          <w:rFonts w:ascii="arial" w:eastAsia="arial" w:hAnsi="arial" w:cs="arial"/>
          <w:i/>
          <w:color w:val="000000"/>
          <w:sz w:val="20"/>
          <w:lang w:val="en-US" w:eastAsia="en-US" w:bidi="ar-SA"/>
        </w:rPr>
        <w:t>Harrington (Guardian ad litem) v. Pappachristos,</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[1992] B.C.J. No. 2600</w:t>
        </w:r>
      </w:hyperlink>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Unless there is prejudice, amendments should be granted liberally to enable the issues to be tried: </w:t>
      </w:r>
      <w:r>
        <w:rPr>
          <w:rFonts w:ascii="arial" w:eastAsia="arial" w:hAnsi="arial" w:cs="arial"/>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[1996] B.C.J. No. 550</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As for adding a defendant, the Court of Appeal in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described the general principles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 two requirements that an applicant must prove to succeed in joining a new defendant. First, it must show that there is a question or issue between the plaintiff and proposed defendant that relates to the relief, remedy, or subject matter of the proceeding. The threshold is low. ... If evidence is provided, the court is not to weigh it and assess whether the plaintiff could prove the allegations.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If this first requirement is met, the court must next determine whether it would be just and convenient to decide the issue between the parties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argues that Stealth USA should be added as a plaintiff pursuant to Rule 6-2(7)(b) for the following reasons: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Stealth USA is a wholly owned subsidiary of the plaintiff;</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East Teapot Property was registered in the name of the Stealth USA after it was acquired by the plaintiff pursuant to the East Teapot Agreement. All defendants were aware that this was going to occur;</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remedies the plaintiff has requested is the East Teapot Agreement be rescinded. The result of this would be that the East Teapot Property would be returned by Crazy Mountain and Crazy Mountain would repay the US$6.5 million purchase price it was paid for the property;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Stealth USA is the registered owner of the East Teapot Property (and was since it was transferred to the Plaintiffs pursuant to the East Teapot Agreement) it ought to have been joined as a party (Rule 6-2(7) (b)) and its participation is necessary to ensure that all matters in the proceeding may be effectively adjudicated on (Rule 6-2(7)(c)).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Additionally, the plaintiff argues that Stealth USA should be added as a plaintiff and Magna as a defendant pursuant to Rule 6-2(7)(c) for the following reasons:</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Stealth USA is a wholly owned subsidiary of the plaintiff;</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East Teapot Property was registered in the name of the Stealth USA after it was acquired by the plaintiff pursuant to the East Teapot Agreement. All Defendants were aware that this was going to occur;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Magna is a controlled by Gardner;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Magna is a shareholder in Crazy Mountain;</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paid Crazy Mountain US$6.5 million for the East Teapot Property;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Magna received a portion of these proceeds;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alleged by the plaintiff that as a result of various breaches (including Gardner's breach of his fiduciary obligations to the company) it is entitled to trace any of the US$6.5 million which Magna received from the sale of the East Teapot Property;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exists between Stealth USA and Magna and the other parties to the proceedings questions or issues relating to our connected with the subjected matter or relief claimed in the proceedings;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just and convenient to add Stealth USA as a plaintiff and Magna as a defendant to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oppose the application on the basis that the notice of civil claim is deficient; new parties should not be added to an action in which the pleadings fail to set out material facts in support of the claim and which fail to disclose a cause of action; the plaintiff has had time to amend its notice of civil claim since the filing of the response to civil claim in March, 2014; the plaintiff must be content with the notice of civil claim as it is and will have to take its chances at the summary trial without the addition of the new parties; and the court should not assist the plaintiff in further vexing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HAS THERE BEEN UNDUE DELAY IN BRINGING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also argue there has been undue delay on the part of the plaintiff in bringing this application. The application was filed in September 2014 but a court date was difficult to obtain. The plaintiff says the litigation is less than a year old and has proceeded in a somewhat disjointed fashion. Some defendants have filed jurisdictional responses that have yet to be adjudicated upon and the plaintiff is waiting for further document production from Gardner and Bouda LLC. It is certainly awkward for this application to be heard so close to the date set for the summary trial, however, I do not fault the plaintiff for that timing problem. I find there has not been undue delay on the part of the plaintiff in bringing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NOTICE OF CIVIL CLAIM - ADEQUATE OR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proposed amendments to the notice of civil claim are straightforward consequential amendments setting out the facts of who the new parties are and their relationship to the existing action. The amendments themselves do not raise any concerns and therefore the application does not engage directly the principles concerning amendment of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If the defendants were not relying on the argument that the notice of civil claim is so deficient that new parties should not be added, I would have no hesitation in granting the orders sought. The proposed parties are so closely connected to the existing claims that they ought to be added. Stealth USA is the owner of the East Teapot Property and Magna is the corporate vehicle through which Gardner received his profit from the sale. Both parties ought to have been joined as parties, their participation is necessary to ensure that all matters in the proceeding may be effectively adjudicated on and there exists between the proposed parties and the existing parties a close connection to the relief claimed and the subject matter of the proceeding such that it would be convenient to add them. Convenience, however, is not enough. It must also be just to add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opposition to the application is that the notice of civil claim would not withstand an application to strike, therefore, the orders should not be granted. The defendants emphasize in particular the claims based on fraud which require pleading full particulars. Essentially, the defendants argue that in all the circumstances it would not be just to add the new parties. The difficulty with the defendants' position is that if the new parties are not added, the action will go to trial (either a summary trial or conventional trial) without the participation of proper and necessary parties. The notice of civil claim in its present form, therefore, would have to be so inadequate as to counter the otherwise compelling reasons to add the new parties. The adequacy of the notice of civil claim, therefore, is the central issue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notice of civil claim must do the following in accordance with Rule 3-1(1):</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relief sought by the plaintiff against each named defendant;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summary of the legal basis for the relief sought;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otherwise comply with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the purposes of this application, the relevant provisions of Rule 3-7 are that the notice of civil claim must not contain the evidence by which the facts alleged are to be proved (Rule 3-7(1)); conclusions of law must not be pleaded unless the material facts supporting them are pleaded (Rule 3-7(9)); and if a party relies on misrepresentation or fraud full particulars, with dates and times if applicable, must be pleaded (Rule 3-7(18)).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Mr. Justice Voith set out the requirements of a notice of civil claim as serving two foundational purposes: efficiency and fairness (para. 17). A proper notice of civil claim enables a defendant to identify the claim he or she must address and meet and will confine the ambit of examinations for discovery and of the issues addressed at the trial itself (para. 18). A defendant should not have to guess what it is they are alleged to have done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Pleadings can be amended, and often are, by using the "free" amendment pursuant to Rule 6-1(1) which does not require a court order or, when that option is used up, on an application to court. As a case evolves, documents are produced, examinations for discovery are conducted, counsel and their clients consider the case in more depth and the claims evolve and gel. Counsel for the plaintiff concedes that the notice of civil claim is not perfect, but he intends to amend it "later" using the "free" amendment available pursuant to Rule 6-1(1). He says the plaintiff intends to "clean up the pleadings". The difficulty with the plaintiff's position is that the defendants are entitled to know they case they have to meet before examinations for discovery and before the exchange of lists of documents. They are entitled to know the case they have to meet when they first read the pleadings. As the Supreme Court of Canada put it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 A claimant is not entitled to rely on the possibility that new facts may turn up as the case progresses. The claimant may not be in a position to prove the facts pleaded at the time of the motion [to strike]. It may only hope to be able to prove them. But plead them it must. The facts pleaded are the firm basis upon which the possibility of success of the claim must be evaluated. If they are not pleaded, the exercise cannot be properly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strenuously argue that the notice of civil claim in its current form is insufficient to support the addition of new parties. The response to civil claim does address the claims directly, but also objects to the notice of civil claim as failing to disclose causes of action and failing to state material facts. The defendants, however, have not applied to strike any portions of the notice of civil claim and have chosen instead to pursue a summary trial. The plaintiff has not filed a Reply to the response to civil claim so its position on the defendants' defences is unknown except to the extent that the issues are joined.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response to the defendants' argument that this application should be considered in the same way as an application to strike pleadings, the plaintiff says that the court should give a generous interpretation to the pleadings and consider whether if the pleadings are deficient, they can be cured by an amendment. If so, then the pleadings should not be struck. They say further that if the defendants thought the pleadings (or any portion of them) should be struck, then they should have made an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make the following complaints about the notice of civil claim:</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Bouda LLC was not incorporated until 2010, therefore cannot be implicated in the timeframe of the action;</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Western Sun Exploration Inc. ("Western Sun") was not incorporated until April, 2008, therefore cannot be implicated;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period has expired;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legal basis for a claim by a corporation for aggravated damages;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does not allege any conduct that is described as high-handed, malicious, arbitrary or highly reprehensible, therefore the claim for punitive damages cannot succeed;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failed to particularize the allegations of fraud and misrepresentation as required by Rule 3-7(18);</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has failed to plead material facts to support a claim of unilateral mistake, breach of fiduciary duty, conspiracy, knowing assistance and knowing receipt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punitive damages and has failed to claim any loss or damage except in the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will address the first three complaints as a group. For the purposes of this application, the facts set out in the notice of civil claim are assumed to be true. Therefore, even if the defendants are correct that Bouda LLC and Western Sun were incorporated outside the material timeframe of the allegations, that is an issue that will be decided on the evidence at trial. As for the limitation defence, I am unable to determine in this application whether or not the limitation period has expired. Therefore, I do not give effect to the defendants' arguments on the first three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for the claim for aggravated damages, the defendants provided case authority in support of the proposition that a company, not being a person with feelings, cannot recover aggravated damages. The plaintiff did not refute this argument. If the defendants' position is correct, the claim for aggravated damages should be struck. However, since the application before me was not an application to strike, this deficiency in and of itself is not sufficient to tip the balance against the plaintiff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argument, the plaintiff did not specifically refute the defendants' position that in failing to allege conduct that is high-handed, malicious, arbitrary or highly reprehensible, the claim for punitive damages cannot succeed. However, and again interpreting generously, I take the claim for punitive damages to flow from the facts pleaded which describe the defendants' conduct generally. The complaints that are of more concern are the ones based on failure to particularize the claims in fraud and misrepresentation and failure to plead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material fact is one that is essential in order to formulate a complete cause of action. If a material fact is omitted, a cause of action is not effectively pled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Evidence should not be pleaded. As an example, I note that the defendants have pleaded evidence which I doubt is correct. For instance, in para. 23 of the response to civil claim, the defendants quote a news release of the plaintiff which states, in part, "the negotiation and approval of the transaction has been carried out by the independent directors of the Company." The material fact is contained within the news release, however, the news release is evidence and in my view, should not be referred to in the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says that the facts supporting the claim of fraud against Gardner are concisely set out in the facts section of the notice of civil claim as follows (and I paraphrase): that Gardner was a director of the plaintiff, he obtained a false valuation report, he gave that report to the plaintiff to induce it to buy the East Teapot Property and he profited from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format of a notice of civil claim is prescribed. Part 1 contains a concise statement of the material facts giving rise to the plaintiff's claim. Part 2 is the relief sought. Part 3 is the legal basis which is to set out a concise summary of the legal bases on which the plaintiff intends to rely in support of the relief sought and specify any rule or other enactment relied on. The structure of a notice of civil claim requires a separation between the statement of material facts and the summary of the legal bases. There does need to be a connection drawn between the facts pleaded and the legal bases relied up to support the relief sought. Whether the connections are clear enough for the purposes of this application is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Here is an example of the dispute between the parties on this point. Paragraph 56(b) of the response to civil claim is in response to para. 47(a) of the notice of civil claim in which the plaintiff alleges a misrepresentation. The defendants say that the plaintiff does not plead what the alleged misrepresentation was or to whom it was made. However, para. 47(a) of the notice of civil claim is in the legal basis section, not the statement of facts section. The facts underpinning the claim of misrepresentation are found in the factual basis section of the notice of civil claim. The facts do not need to be repeated in the legal basis section and, in fact, probably should not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agree with the plaintiff's position that the "legal basis" in a notice of civil claim is not required to set out a detailed legal argument. Nor should the "legal basis" plead evidence. In fact, Rule 3-7(1) states that a pleading must not contain the evidence by which the facts alleged in it are to be proved. However, because the plaintiff in this case alleges misrepresentation and fraud, full particulars must be stated in the pleading, including dates and times if applicable (Rule 3-7(10)).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distinctions between material facts, evidentiary facts and particulars guide my interpretation of the pleadings. The distinctions can be difficult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Teachers' Federation v. British Columbia</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2012 BCSC 1722</w:t>
        </w:r>
      </w:hyperlink>
      <w:r>
        <w:rPr>
          <w:rFonts w:ascii="arial" w:eastAsia="arial" w:hAnsi="arial" w:cs="arial"/>
          <w:color w:val="000000"/>
          <w:sz w:val="20"/>
          <w:lang w:val="en-US" w:eastAsia="en-US" w:bidi="ar-SA"/>
        </w:rPr>
        <w:t xml:space="preserve">, paras. 16-17, Madam Justice Griffin reviewed the distinction between a material fact and evidentiary fact citing </w:t>
      </w:r>
      <w:r>
        <w:rPr>
          <w:rFonts w:ascii="arial" w:eastAsia="arial" w:hAnsi="arial" w:cs="arial"/>
          <w:i/>
          <w:color w:val="000000"/>
          <w:sz w:val="20"/>
          <w:lang w:val="en-US" w:eastAsia="en-US" w:bidi="ar-SA"/>
        </w:rPr>
        <w:t>Jones v. Donaghey</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2011 BCCA 6</w:t>
        </w:r>
      </w:hyperlink>
      <w:r>
        <w:rPr>
          <w:rFonts w:ascii="arial" w:eastAsia="arial" w:hAnsi="arial" w:cs="arial"/>
          <w:color w:val="000000"/>
          <w:sz w:val="20"/>
          <w:lang w:val="en-US" w:eastAsia="en-US" w:bidi="ar-SA"/>
        </w:rPr>
        <w:t xml:space="preserve"> in which Mr. Justice K.C. Smith described "material fact" as one that, when resolved, will have legal consequence as between the parties to the dispute. Facts that tend to prove the fact in issue, or to prove another fact that tends to prove the fact is issue are evidentiary or "relevant"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Does the requirement to plead full particulars of the claim of fraud require the drafter to plead evidentiary facts? Particulars are not material facts. Particulars are provided to disclose what the pleader intends to prove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 xml:space="preserve">, para. 27 citing McLachlin and Taylor, </w:t>
      </w:r>
      <w:r>
        <w:rPr>
          <w:rFonts w:ascii="arial" w:eastAsia="arial" w:hAnsi="arial" w:cs="arial"/>
          <w:i/>
          <w:color w:val="000000"/>
          <w:sz w:val="20"/>
          <w:lang w:val="en-US" w:eastAsia="en-US" w:bidi="ar-SA"/>
        </w:rPr>
        <w:t>British Columbia Practice</w:t>
      </w:r>
      <w:r>
        <w:rPr>
          <w:rFonts w:ascii="arial" w:eastAsia="arial" w:hAnsi="arial" w:cs="arial"/>
          <w:color w:val="000000"/>
          <w:sz w:val="20"/>
          <w:lang w:val="en-US" w:eastAsia="en-US" w:bidi="ar-SA"/>
        </w:rPr>
        <w:t>, 3d ed., vol. 1). Stripped to the most simplistic level, particulars are details facts which might come close to, but not cross, the line into evidence. The requirement in Rule 3-7(18) for dates and times if applicable illustrates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alleged misrepresentations are about the value of the East Teapot Property. The misrepresentations were made to the directors of the plaintiff between February 1 and 28, 2008 and the loss claimed is rescission and damages for the loss it suffered. Admittedly, reliance by the plaintiff on the misrepresentations appears missing from the pleading. The plaintiff does allege that the appraisal was prepared to induce the Outside Director Defendants to purchase the property. Interpreting the pleading generously, I take the plaintiff's assertion to its logical next step which is that the Outside Director Defendants were in fact induced to approve the purchase. What loss the plaintiff sustained is not entirely clear, but a generous interpretation for the purposes of this application points to a claim for lost profits and the inflated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summary, a generous reading of the claim in fraud and misrepresentation set out in the proposed notice of civil claim, including the particulars provided by the plaintiff pursuant to the demand, supports those claims. It is not plain and obvious that the notice of civil claim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defendants' complaint that material facts are not pleaded to support the claims of unilateral mistake, breach of fiduciary duty, conspiracy, knowing assistance and knowing receipt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met by interpreting the notice of civil claim as a whole. Again, I read the notice of civil claim generously and conclude that the facts pleaded in the notice of civil claim support more than one outcome as set out in the "legal basis" section of the notice of civil claim. The material facts are not repeated in the "legal basis" section of the notice of civil claim, nor should they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It is my conclusion that the notice of civil claim in its present form is flawed, but not fatally so. Read generously and as a whole, the notice of civil claim adequately sets out the case the defendants have to meet. The claims made by the plaintiff are not certain to fail (see </w:t>
      </w:r>
      <w:r>
        <w:rPr>
          <w:rFonts w:ascii="arial" w:eastAsia="arial" w:hAnsi="arial" w:cs="arial"/>
          <w:i/>
          <w:color w:val="000000"/>
          <w:sz w:val="20"/>
          <w:lang w:val="en-US" w:eastAsia="en-US" w:bidi="ar-SA"/>
        </w:rPr>
        <w:t>Horton Bay Holdings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Wilks</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1991 CanLII 1156</w:t>
        </w:r>
      </w:hyperlink>
      <w:r>
        <w:rPr>
          <w:rFonts w:ascii="arial" w:eastAsia="arial" w:hAnsi="arial" w:cs="arial"/>
          <w:color w:val="000000"/>
          <w:sz w:val="20"/>
          <w:lang w:val="en-US" w:eastAsia="en-US" w:bidi="ar-SA"/>
        </w:rPr>
        <w:t xml:space="preserve"> (BCCA)), with one exception which is the claim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Returning to the "convenience" factor, there are practical reasons to grant the application. If a plaintiff is unsuccessful in applying to join parties to an existing action, the doctrine of abuse of process does not preclude it from commencing a separate action against those parties that claims the same relief (see </w:t>
      </w:r>
      <w:r>
        <w:rPr>
          <w:rFonts w:ascii="arial" w:eastAsia="arial" w:hAnsi="arial" w:cs="arial"/>
          <w:i/>
          <w:color w:val="000000"/>
          <w:sz w:val="20"/>
          <w:lang w:val="en-US" w:eastAsia="en-US" w:bidi="ar-SA"/>
        </w:rPr>
        <w:t>The Owners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 xml:space="preserve"> at para. 29). If the two new parties were not added, Stealth USA could start its own action against the existing parties and Magna. A parallel action arising out of the same subject matter would not be an economical use of court proceedings and would offend the rule against multiplicity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no prejudice to Gardner if Magna is added as a defendant. Gardner solely controls Magna and he will be in no worse position than he is now if Magna is added or if Magna had been named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Turning to the upcoming summary trial application, it is not desirable to leave the summary trial to proceed in the absence of proper and necessary parties. As the court put it in </w:t>
      </w:r>
      <w:r>
        <w:rPr>
          <w:rFonts w:ascii="arial" w:eastAsia="arial" w:hAnsi="arial" w:cs="arial"/>
          <w:i/>
          <w:color w:val="000000"/>
          <w:sz w:val="20"/>
          <w:lang w:val="en-US" w:eastAsia="en-US" w:bidi="ar-SA"/>
        </w:rPr>
        <w:t>Northern Construction Co. v. British Columbia Hydro and Power Authority</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12 D.L.R. (3d) 730</w:t>
        </w:r>
      </w:hyperlink>
      <w:r>
        <w:rPr>
          <w:rFonts w:ascii="arial" w:eastAsia="arial" w:hAnsi="arial" w:cs="arial"/>
          <w:color w:val="000000"/>
          <w:sz w:val="20"/>
          <w:lang w:val="en-US" w:eastAsia="en-US" w:bidi="ar-SA"/>
        </w:rPr>
        <w:t xml:space="preserve"> at 738: "One does not like to contemplate the situation of this application being refused and the trial Judge or an appellate Court finally concluding that [the proposed new party] should have been a party." I have contemplated that same situation in this case and I do not like it either. Further, if I did not make the order adding Stealth USA as a plaintiff and if the defendants argued at trial that the court should not grant judgment in favour of the plaintiff because Stealth USA is the correct plaintiff, that would be unfair to Stealth USA. Similarly, if I did not make the order adding Magna as a defendant and if the defendants argued at trial that the court should not grant judgment against the defendants or either or them because Magna was the correct defendant, that would be unfair to the plaintiff and to Stealth USA. The material facts set out in the notice of civil claim establish that there are real issues, not frivolous ones, between the proposed parties. The new parties should be added to enable the issues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hearing of a summary trial application, the court may grant judgment in favour of any party, either on an issue or generally (Rule 9-7(15)). "All parties to an action must come to a summary trial hearing prepared to prove their claim, or defence, as judgment may be granted in favour of any party, regardless of which party has brought the application, unless the judge concludes that he or she is unable to find the facts necessary to decide the issues or is of the view that it would be unjust to decide the issues in this manner"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judge presiding at the summary trial may decide that the action is suitable for determination at a summary trial or, alternatively, that a conventional trial is required. The plaintiff will have to come to the summary trial hearing prepared to prove its case against the defendants or risk having it dismissed. By the same token, since the defendants are pursuing a summary trial (thus, obviously not arguing that the action is not suitable for determination at a summary trial), they run the risk of the court finding liability against them at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seems to be assuming that it can wait to improve the notice of civil claim by amending it after the summary trial when further information will be obtained by way of discovery and further fact-gathering. The plaintiffs (and I include Stealth USA) may decide that the time to amend the notice of civil claim is now, rather than later. I have read the notice of civil claim for the purposes of this application generously, but there is certainly room for improvement. Thus far, the plaintiff appears content with the notice of civil claim in its present form. That form, including the amendments sought in this application, unless further amended, will go before the judge presiding at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There is insufficient evidence before me to determine whether Magna has a limitation defence which would be extinguished if Magna is added as a defendant. Counsel for the plaintiff says that it agrees that if Magna is added, it should be without prejudice to Magna's right to claim a limitation defence. I adopt the approach of the court in </w:t>
      </w:r>
      <w:r>
        <w:rPr>
          <w:rFonts w:ascii="arial" w:eastAsia="arial" w:hAnsi="arial" w:cs="arial"/>
          <w:i/>
          <w:color w:val="000000"/>
          <w:sz w:val="20"/>
          <w:lang w:val="en-US" w:eastAsia="en-US" w:bidi="ar-SA"/>
        </w:rPr>
        <w:t>The Owners, Strata Plan VIS3578</w:t>
      </w:r>
      <w:r>
        <w:rPr>
          <w:rFonts w:ascii="arial" w:eastAsia="arial" w:hAnsi="arial" w:cs="arial"/>
          <w:color w:val="000000"/>
          <w:sz w:val="20"/>
          <w:lang w:val="en-US" w:eastAsia="en-US" w:bidi="ar-SA"/>
        </w:rPr>
        <w:t xml:space="preserve"> (see para. 48) and permit joinder on terms that any limitation defence is preserved and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make the following orders: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Stealth Energy USA, Inc. is added as a plaintiff in this proceeding;</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Magna Management Ltd. is added as a defendant in this proceeding;</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granted leave to amend the notice of civil claim as set out in its Notice of Application as Schedule "A";</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limitation defence claimed by Magna is preserved;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HARPER</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Original filed February 24, 2014 Amended pursuant to Rule 6-2(7)</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color w:val="000000"/>
          <w:sz w:val="20"/>
          <w:u w:val="single"/>
          <w:lang w:val="en-US" w:eastAsia="en-US" w:bidi="ar-SA"/>
        </w:rPr>
        <w:t>S-141392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Vancouver Registry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SUNOIL LTD. </w:t>
      </w:r>
      <w:r>
        <w:rPr>
          <w:rFonts w:ascii="arial" w:eastAsia="arial" w:hAnsi="arial" w:cs="arial"/>
          <w:color w:val="000000"/>
          <w:sz w:val="20"/>
          <w:u w:val="single"/>
          <w:lang w:val="en-US" w:eastAsia="en-US" w:bidi="ar-SA"/>
        </w:rPr>
        <w:t>and STEALTH ENERGY USA. INC.</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PLAINTIFF</w:t>
      </w:r>
      <w:r>
        <w:rPr>
          <w:rFonts w:ascii="arial" w:eastAsia="arial" w:hAnsi="arial" w:cs="arial"/>
          <w:b/>
          <w:color w:val="000000"/>
          <w:sz w:val="20"/>
          <w:u w:val="single"/>
          <w:lang w:val="en-US" w:eastAsia="en-US" w:bidi="ar-SA"/>
        </w:rPr>
        <w: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BIG SNOWY RESOURCES. L.P., ANTELOPE RESOURCES, INC.,</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CRAZY MOUNTAIN GROUP LLC, BOUDA LLC,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MAGNA MANAGEMENT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648564 B.C. LTD., WESTERN SUN EXPLORATION. INC., JAKE OIL &amp; GAS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CONSULTANTS LLC, JOHN CAMPBELL. ROBERT GARDNER. ROBERT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STUART ANGUS. BRIAN SMITH. WAYNE MOOREHOUSE and MICHAEL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FARLEY</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DEFENDANTS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This action has been started by the plaintiff(s) for the relief set out in Part 2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intend to respond to this action, you or your lawyer must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in the above-named registry of this court within the time for response to civil claim described below,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on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intend to make a counterclaim, you or your lawyer must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and a counterclaim in Form 3 in the above-named registry of this court within the time for response to civil claim described below,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and counterclaim on the plaintiff and on any new parties named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 MAY BE PRONOUNCED AGAINST YOU IF YOU FAIL to file the response to civil claim within the time for response to civil claim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Time for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response to civil claim must be filed and served on the plaintiff(s),</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anywhere in Canada, within 21 days after the date on which a copy of the filed notice of civil claim was served on you,</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in the United States of America, within 35 days after the date on which a copy of the filed notice of civil claim was served on you,</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elsewhere, within 49 days after the date on which a copy of the filed notice of civil claim was served on you. or</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for response to civil claim has been set by order of the court, within that time.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 OF THE PLAINTIFF</w:t>
      </w:r>
      <w:r>
        <w:rPr>
          <w:rFonts w:ascii="arial" w:eastAsia="arial" w:hAnsi="arial" w:cs="arial"/>
          <w:b/>
          <w:color w:val="000000"/>
          <w:sz w:val="20"/>
          <w:u w:val="single"/>
          <w:lang w:val="en-US" w:eastAsia="en-US" w:bidi="ar-SA"/>
        </w:rPr>
        <w: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1:</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STATEMENT OF 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 THE PARTIES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[Plaintiff] </w:t>
      </w:r>
      <w:r>
        <w:rPr>
          <w:rFonts w:ascii="arial" w:eastAsia="arial" w:hAnsi="arial" w:cs="arial"/>
          <w:b/>
          <w:color w:val="000000"/>
          <w:sz w:val="18"/>
          <w:lang w:val="en-US" w:eastAsia="en-US" w:bidi="ar-SA"/>
        </w:rPr>
        <w:t>[Editor's note: Text in brackets is struck out in the original]</w:t>
      </w:r>
      <w:r>
        <w:rPr>
          <w:rFonts w:ascii="arial" w:eastAsia="arial" w:hAnsi="arial" w:cs="arial"/>
          <w:b/>
          <w:color w:val="000000"/>
          <w:sz w:val="20"/>
          <w:lang w:val="en-US" w:eastAsia="en-US" w:bidi="ar-SA"/>
        </w:rPr>
        <w:t xml:space="preserve"> </w:t>
      </w:r>
      <w:r>
        <w:rPr>
          <w:rFonts w:ascii="arial" w:eastAsia="arial" w:hAnsi="arial" w:cs="arial"/>
          <w:b/>
          <w:color w:val="000000"/>
          <w:sz w:val="20"/>
          <w:u w:val="single"/>
          <w:lang w:val="en-US" w:eastAsia="en-US" w:bidi="ar-SA"/>
        </w:rPr>
        <w:t>Plaintiffs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SunOil Limited (formerly known as Stealth Energy Inc.) [(the </w:t>
      </w:r>
      <w:r>
        <w:rPr>
          <w:rFonts w:ascii="arial" w:eastAsia="arial" w:hAnsi="arial" w:cs="arial"/>
          <w:b/>
          <w:color w:val="000000"/>
          <w:sz w:val="20"/>
          <w:lang w:val="en-US" w:eastAsia="en-US" w:bidi="ar-SA"/>
        </w:rPr>
        <w:t>"Plaintiff"</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"SunOil"</w:t>
      </w:r>
      <w:r>
        <w:rPr>
          <w:rFonts w:ascii="arial" w:eastAsia="arial" w:hAnsi="arial" w:cs="arial"/>
          <w:color w:val="000000"/>
          <w:sz w:val="20"/>
          <w:lang w:val="en-US" w:eastAsia="en-US" w:bidi="ar-SA"/>
        </w:rPr>
        <w:t>) is a public company incorporated under the laws of the Province of British Columbia. Its head office is located at 550 - 999 West Hastings Street, Vancouver,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 The Plaintiff Stealth Energy USA, Ltd. ("Stealth USA") is a company organized under the laws of the State of Montana. Stealth USA is a wholly owned subsidiary of SunOil.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w:t>
      </w:r>
      <w:r>
        <w:rPr>
          <w:rFonts w:ascii="arial" w:eastAsia="arial" w:hAnsi="arial" w:cs="arial"/>
          <w:color w:val="000000"/>
          <w:sz w:val="20"/>
          <w:lang w:val="en-US" w:eastAsia="en-US" w:bidi="ar-SA"/>
        </w:rPr>
        <w:t>[2.]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[is] </w:t>
      </w:r>
      <w:r>
        <w:rPr>
          <w:rFonts w:ascii="arial" w:eastAsia="arial" w:hAnsi="arial" w:cs="arial"/>
          <w:color w:val="000000"/>
          <w:sz w:val="20"/>
          <w:u w:val="single"/>
          <w:lang w:val="en-US" w:eastAsia="en-US" w:bidi="ar-SA"/>
        </w:rPr>
        <w:t>are</w:t>
      </w:r>
      <w:r>
        <w:rPr>
          <w:rFonts w:ascii="arial" w:eastAsia="arial" w:hAnsi="arial" w:cs="arial"/>
          <w:color w:val="000000"/>
          <w:sz w:val="20"/>
          <w:lang w:val="en-US" w:eastAsia="en-US" w:bidi="ar-SA"/>
        </w:rPr>
        <w:t xml:space="preserve"> in the business of oil and gas exploration and development.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w:t>
      </w:r>
      <w:r>
        <w:rPr>
          <w:rFonts w:ascii="arial" w:eastAsia="arial" w:hAnsi="arial" w:cs="arial"/>
          <w:color w:val="000000"/>
          <w:sz w:val="20"/>
          <w:lang w:val="en-US" w:eastAsia="en-US" w:bidi="ar-SA"/>
        </w:rPr>
        <w:t xml:space="preserve">[3.] The [Plaintiff owns] </w:t>
      </w:r>
      <w:r>
        <w:rPr>
          <w:rFonts w:ascii="arial" w:eastAsia="arial" w:hAnsi="arial" w:cs="arial"/>
          <w:color w:val="000000"/>
          <w:sz w:val="20"/>
          <w:u w:val="single"/>
          <w:lang w:val="en-US" w:eastAsia="en-US" w:bidi="ar-SA"/>
        </w:rPr>
        <w:t>Plaintiffs own</w:t>
      </w:r>
      <w:r>
        <w:rPr>
          <w:rFonts w:ascii="arial" w:eastAsia="arial" w:hAnsi="arial" w:cs="arial"/>
          <w:color w:val="000000"/>
          <w:sz w:val="20"/>
          <w:lang w:val="en-US" w:eastAsia="en-US" w:bidi="ar-SA"/>
        </w:rPr>
        <w:t xml:space="preserve"> an oil and gas producing property located in Natrona County, Wyoming known as the East Teapot Dome Oil Field, and the related royalty, mineral rights and equipment (the </w:t>
      </w:r>
      <w:r>
        <w:rPr>
          <w:rFonts w:ascii="arial" w:eastAsia="arial" w:hAnsi="arial" w:cs="arial"/>
          <w:b/>
          <w:color w:val="000000"/>
          <w:sz w:val="20"/>
          <w:lang w:val="en-US" w:eastAsia="en-US" w:bidi="ar-SA"/>
        </w:rPr>
        <w:t>"East Teapot Property"</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Outside Director Defendants</w:t>
      </w:r>
      <w:r>
        <w:rPr>
          <w:rFonts w:ascii="arial" w:eastAsia="arial" w:hAnsi="arial" w:cs="arial"/>
          <w:sz w:val="20"/>
          <w:lang w:val="en-US" w:eastAsia="en-US" w:bidi="ar-SA"/>
        </w:rPr>
        <w:cr/>
      </w:r>
    </w:p>
    <w:p>
      <w:pPr>
        <w:spacing w:line="24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w:t>
      </w:r>
      <w:r>
        <w:rPr>
          <w:rFonts w:ascii="arial" w:eastAsia="arial" w:hAnsi="arial" w:cs="arial"/>
          <w:color w:val="000000"/>
          <w:sz w:val="20"/>
          <w:lang w:val="en-US" w:eastAsia="en-US" w:bidi="ar-SA"/>
        </w:rPr>
        <w:t>[4.] The Defendants Wayne Moorhousc (</w:t>
      </w:r>
      <w:r>
        <w:rPr>
          <w:rFonts w:ascii="arial" w:eastAsia="arial" w:hAnsi="arial" w:cs="arial"/>
          <w:b/>
          <w:color w:val="000000"/>
          <w:sz w:val="20"/>
          <w:lang w:val="en-US" w:eastAsia="en-US" w:bidi="ar-SA"/>
        </w:rPr>
        <w:t>"Moorhouse"</w:t>
      </w:r>
      <w:r>
        <w:rPr>
          <w:rFonts w:ascii="arial" w:eastAsia="arial" w:hAnsi="arial" w:cs="arial"/>
          <w:color w:val="000000"/>
          <w:sz w:val="20"/>
          <w:lang w:val="en-US" w:eastAsia="en-US" w:bidi="ar-SA"/>
        </w:rPr>
        <w:t>), Robert Stuart Angus (also known as Tookie Angus) (</w:t>
      </w:r>
      <w:r>
        <w:rPr>
          <w:rFonts w:ascii="arial" w:eastAsia="arial" w:hAnsi="arial" w:cs="arial"/>
          <w:b/>
          <w:color w:val="000000"/>
          <w:sz w:val="20"/>
          <w:lang w:val="en-US" w:eastAsia="en-US" w:bidi="ar-SA"/>
        </w:rPr>
        <w:t>"Angus"</w:t>
      </w:r>
      <w:r>
        <w:rPr>
          <w:rFonts w:ascii="arial" w:eastAsia="arial" w:hAnsi="arial" w:cs="arial"/>
          <w:color w:val="000000"/>
          <w:sz w:val="20"/>
          <w:lang w:val="en-US" w:eastAsia="en-US" w:bidi="ar-SA"/>
        </w:rPr>
        <w:t>), Brian R.D. Smith (</w:t>
      </w:r>
      <w:r>
        <w:rPr>
          <w:rFonts w:ascii="arial" w:eastAsia="arial" w:hAnsi="arial" w:cs="arial"/>
          <w:b/>
          <w:color w:val="000000"/>
          <w:sz w:val="20"/>
          <w:lang w:val="en-US" w:eastAsia="en-US" w:bidi="ar-SA"/>
        </w:rPr>
        <w:t>"Smith"</w:t>
      </w:r>
      <w:r>
        <w:rPr>
          <w:rFonts w:ascii="arial" w:eastAsia="arial" w:hAnsi="arial" w:cs="arial"/>
          <w:color w:val="000000"/>
          <w:sz w:val="20"/>
          <w:lang w:val="en-US" w:eastAsia="en-US" w:bidi="ar-SA"/>
        </w:rPr>
        <w:t>), Michael Farley (</w:t>
      </w:r>
      <w:r>
        <w:rPr>
          <w:rFonts w:ascii="arial" w:eastAsia="arial" w:hAnsi="arial" w:cs="arial"/>
          <w:b/>
          <w:color w:val="000000"/>
          <w:sz w:val="20"/>
          <w:lang w:val="en-US" w:eastAsia="en-US" w:bidi="ar-SA"/>
        </w:rPr>
        <w:t>"Farley"</w:t>
      </w:r>
      <w:r>
        <w:rPr>
          <w:rFonts w:ascii="arial" w:eastAsia="arial" w:hAnsi="arial" w:cs="arial"/>
          <w:color w:val="000000"/>
          <w:sz w:val="20"/>
          <w:lang w:val="en-US" w:eastAsia="en-US" w:bidi="ar-SA"/>
        </w:rPr>
        <w:t xml:space="preserve">) are former directors </w:t>
      </w:r>
      <w:r>
        <w:rPr>
          <w:rFonts w:ascii="arial" w:eastAsia="arial" w:hAnsi="arial" w:cs="arial"/>
          <w:color w:val="000000"/>
          <w:sz w:val="20"/>
          <w:u w:val="single"/>
          <w:lang w:val="en-US" w:eastAsia="en-US" w:bidi="ar-SA"/>
        </w:rPr>
        <w:t>and/or officers</w:t>
      </w:r>
      <w:r>
        <w:rPr>
          <w:rFonts w:ascii="arial" w:eastAsia="arial" w:hAnsi="arial" w:cs="arial"/>
          <w:color w:val="000000"/>
          <w:sz w:val="20"/>
          <w:lang w:val="en-US" w:eastAsia="en-US" w:bidi="ar-SA"/>
        </w:rPr>
        <w:t xml:space="preserve"> of [the Plaintiff]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 xml:space="preserve"> and were at all material times (and to the best of [the Plaintiff's] </w:t>
      </w:r>
      <w:r>
        <w:rPr>
          <w:rFonts w:ascii="arial" w:eastAsia="arial" w:hAnsi="arial" w:cs="arial"/>
          <w:color w:val="000000"/>
          <w:sz w:val="20"/>
          <w:u w:val="single"/>
          <w:lang w:val="en-US" w:eastAsia="en-US" w:bidi="ar-SA"/>
        </w:rPr>
        <w:t>SunOil's</w:t>
      </w:r>
      <w:r>
        <w:rPr>
          <w:rFonts w:ascii="arial" w:eastAsia="arial" w:hAnsi="arial" w:cs="arial"/>
          <w:color w:val="000000"/>
          <w:sz w:val="20"/>
          <w:lang w:val="en-US" w:eastAsia="en-US" w:bidi="ar-SA"/>
        </w:rPr>
        <w:t xml:space="preserve"> knowledge, still are) individuals residing in the Province of British Columbia. </w:t>
      </w:r>
      <w:r>
        <w:rPr>
          <w:rFonts w:ascii="arial" w:eastAsia="arial" w:hAnsi="arial" w:cs="arial"/>
          <w:color w:val="000000"/>
          <w:sz w:val="18"/>
          <w:lang w:val="en-US" w:eastAsia="en-US" w:bidi="ar-SA"/>
        </w:rPr>
        <w:t>[Editor's note: Text in brackets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w:t>
      </w:r>
      <w:r>
        <w:rPr>
          <w:rFonts w:ascii="arial" w:eastAsia="arial" w:hAnsi="arial" w:cs="arial"/>
          <w:color w:val="000000"/>
          <w:sz w:val="20"/>
          <w:lang w:val="en-US" w:eastAsia="en-US" w:bidi="ar-SA"/>
        </w:rPr>
        <w:t xml:space="preserve">[5.]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Moorhouse, Angus, Smith and Farley are collectively referred to herein as the </w:t>
      </w:r>
      <w:r>
        <w:rPr>
          <w:rFonts w:ascii="arial" w:eastAsia="arial" w:hAnsi="arial" w:cs="arial"/>
          <w:b/>
          <w:color w:val="000000"/>
          <w:sz w:val="20"/>
          <w:lang w:val="en-US" w:eastAsia="en-US" w:bidi="ar-SA"/>
        </w:rPr>
        <w:t>"Outside Director Defendants"</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Campbell and Gardner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7.</w:t>
      </w:r>
      <w:r>
        <w:rPr>
          <w:rFonts w:ascii="arial" w:eastAsia="arial" w:hAnsi="arial" w:cs="arial"/>
          <w:color w:val="000000"/>
          <w:sz w:val="20"/>
          <w:lang w:val="en-US" w:eastAsia="en-US" w:bidi="ar-SA"/>
        </w:rPr>
        <w:t xml:space="preserve">[6.]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John Campbell (</w:t>
      </w:r>
      <w:r>
        <w:rPr>
          <w:rFonts w:ascii="arial" w:eastAsia="arial" w:hAnsi="arial" w:cs="arial"/>
          <w:b/>
          <w:color w:val="000000"/>
          <w:sz w:val="20"/>
          <w:lang w:val="en-US" w:eastAsia="en-US" w:bidi="ar-SA"/>
        </w:rPr>
        <w:t>"Campbell"</w:t>
      </w:r>
      <w:r>
        <w:rPr>
          <w:rFonts w:ascii="arial" w:eastAsia="arial" w:hAnsi="arial" w:cs="arial"/>
          <w:color w:val="000000"/>
          <w:sz w:val="20"/>
          <w:lang w:val="en-US" w:eastAsia="en-US" w:bidi="ar-SA"/>
        </w:rPr>
        <w:t>) and Robert Gardner (</w:t>
      </w:r>
      <w:r>
        <w:rPr>
          <w:rFonts w:ascii="arial" w:eastAsia="arial" w:hAnsi="arial" w:cs="arial"/>
          <w:b/>
          <w:color w:val="000000"/>
          <w:sz w:val="20"/>
          <w:lang w:val="en-US" w:eastAsia="en-US" w:bidi="ar-SA"/>
        </w:rPr>
        <w:t>"Gardner"</w:t>
      </w:r>
      <w:r>
        <w:rPr>
          <w:rFonts w:ascii="arial" w:eastAsia="arial" w:hAnsi="arial" w:cs="arial"/>
          <w:color w:val="000000"/>
          <w:sz w:val="20"/>
          <w:lang w:val="en-US" w:eastAsia="en-US" w:bidi="ar-SA"/>
        </w:rPr>
        <w:t xml:space="preserve">) are individuals residing in the Province of British Columbia and former directors </w:t>
      </w:r>
      <w:r>
        <w:rPr>
          <w:rFonts w:ascii="arial" w:eastAsia="arial" w:hAnsi="arial" w:cs="arial"/>
          <w:color w:val="000000"/>
          <w:sz w:val="20"/>
          <w:u w:val="single"/>
          <w:lang w:val="en-US" w:eastAsia="en-US" w:bidi="ar-SA"/>
        </w:rPr>
        <w:t>and officers</w:t>
      </w:r>
      <w:r>
        <w:rPr>
          <w:rFonts w:ascii="arial" w:eastAsia="arial" w:hAnsi="arial" w:cs="arial"/>
          <w:color w:val="000000"/>
          <w:sz w:val="20"/>
          <w:lang w:val="en-US" w:eastAsia="en-US" w:bidi="ar-SA"/>
        </w:rPr>
        <w:t xml:space="preserve"> of the </w:t>
      </w:r>
      <w:r>
        <w:rPr>
          <w:rFonts w:ascii="arial" w:eastAsia="arial" w:hAnsi="arial" w:cs="arial"/>
          <w:color w:val="000000"/>
          <w:sz w:val="20"/>
          <w:u w:val="single"/>
          <w:lang w:val="en-US" w:eastAsia="en-US" w:bidi="ar-SA"/>
        </w:rPr>
        <w:t>Plaintiffs.</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Campbell is also a former officer of the Plaintiff.] </w:t>
      </w:r>
      <w:r>
        <w:rPr>
          <w:rFonts w:ascii="arial" w:eastAsia="arial" w:hAnsi="arial" w:cs="arial"/>
          <w:color w:val="000000"/>
          <w:sz w:val="18"/>
          <w:lang w:val="en-US" w:eastAsia="en-US" w:bidi="ar-SA"/>
        </w:rPr>
        <w:t>[Editor's note: Text in brackets is struck out in the original]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Corporate Defendants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Antelope Resources, Inc. (</w:t>
      </w:r>
      <w:r>
        <w:rPr>
          <w:rFonts w:ascii="arial" w:eastAsia="arial" w:hAnsi="arial" w:cs="arial"/>
          <w:b/>
          <w:color w:val="000000"/>
          <w:sz w:val="20"/>
          <w:lang w:val="en-US" w:eastAsia="en-US" w:bidi="ar-SA"/>
        </w:rPr>
        <w:t>"Antelope"</w:t>
      </w:r>
      <w:r>
        <w:rPr>
          <w:rFonts w:ascii="arial" w:eastAsia="arial" w:hAnsi="arial" w:cs="arial"/>
          <w:color w:val="000000"/>
          <w:sz w:val="20"/>
          <w:lang w:val="en-US" w:eastAsia="en-US" w:bidi="ar-SA"/>
        </w:rPr>
        <w:t>) is a company incorporated under the laws of the State of Montana.</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Big Snowy Resources LP (</w:t>
      </w:r>
      <w:r>
        <w:rPr>
          <w:rFonts w:ascii="arial" w:eastAsia="arial" w:hAnsi="arial" w:cs="arial"/>
          <w:b/>
          <w:color w:val="000000"/>
          <w:sz w:val="20"/>
          <w:lang w:val="en-US" w:eastAsia="en-US" w:bidi="ar-SA"/>
        </w:rPr>
        <w:t>"Big Snowy"</w:t>
      </w:r>
      <w:r>
        <w:rPr>
          <w:rFonts w:ascii="arial" w:eastAsia="arial" w:hAnsi="arial" w:cs="arial"/>
          <w:color w:val="000000"/>
          <w:sz w:val="20"/>
          <w:lang w:val="en-US" w:eastAsia="en-US" w:bidi="ar-SA"/>
        </w:rPr>
        <w:t>) is a limited partnership formed under the laws of the State of Montana. The partners of Big Snowy are Antelope and the Defendant Western Sun Exploration, Inc. (</w:t>
      </w:r>
      <w:r>
        <w:rPr>
          <w:rFonts w:ascii="arial" w:eastAsia="arial" w:hAnsi="arial" w:cs="arial"/>
          <w:b/>
          <w:color w:val="000000"/>
          <w:sz w:val="20"/>
          <w:lang w:val="en-US" w:eastAsia="en-US" w:bidi="ar-SA"/>
        </w:rPr>
        <w:t>"Western Sun"</w:t>
      </w:r>
      <w:r>
        <w:rPr>
          <w:rFonts w:ascii="arial" w:eastAsia="arial" w:hAnsi="arial" w:cs="arial"/>
          <w:color w:val="000000"/>
          <w:sz w:val="20"/>
          <w:lang w:val="en-US" w:eastAsia="en-US" w:bidi="ar-SA"/>
        </w:rPr>
        <w: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Western Sun is a company incorporated under the laws of Montana.</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Crazy Mountain Group, LLC (</w:t>
      </w:r>
      <w:r>
        <w:rPr>
          <w:rFonts w:ascii="arial" w:eastAsia="arial" w:hAnsi="arial" w:cs="arial"/>
          <w:b/>
          <w:color w:val="000000"/>
          <w:sz w:val="20"/>
          <w:lang w:val="en-US" w:eastAsia="en-US" w:bidi="ar-SA"/>
        </w:rPr>
        <w:t>"Crazy Mountain"</w:t>
      </w:r>
      <w:r>
        <w:rPr>
          <w:rFonts w:ascii="arial" w:eastAsia="arial" w:hAnsi="arial" w:cs="arial"/>
          <w:color w:val="000000"/>
          <w:sz w:val="20"/>
          <w:lang w:val="en-US" w:eastAsia="en-US" w:bidi="ar-SA"/>
        </w:rPr>
        <w:t>) is a limited liability company incorporated under the laws of the State of Montana.</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648564 B.C. Ltd. (</w:t>
      </w:r>
      <w:r>
        <w:rPr>
          <w:rFonts w:ascii="arial" w:eastAsia="arial" w:hAnsi="arial" w:cs="arial"/>
          <w:b/>
          <w:color w:val="000000"/>
          <w:sz w:val="20"/>
          <w:lang w:val="en-US" w:eastAsia="en-US" w:bidi="ar-SA"/>
        </w:rPr>
        <w:t>"648564 Ltd."</w:t>
      </w:r>
      <w:r>
        <w:rPr>
          <w:rFonts w:ascii="arial" w:eastAsia="arial" w:hAnsi="arial" w:cs="arial"/>
          <w:color w:val="000000"/>
          <w:sz w:val="20"/>
          <w:lang w:val="en-US" w:eastAsia="en-US" w:bidi="ar-SA"/>
        </w:rPr>
        <w:t>) is a company incorporated under the laws of the Province of British Columbia.</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Bouda LLC (</w:t>
      </w:r>
      <w:r>
        <w:rPr>
          <w:rFonts w:ascii="arial" w:eastAsia="arial" w:hAnsi="arial" w:cs="arial"/>
          <w:b/>
          <w:color w:val="000000"/>
          <w:sz w:val="20"/>
          <w:lang w:val="en-US" w:eastAsia="en-US" w:bidi="ar-SA"/>
        </w:rPr>
        <w:t>"Bouda"</w:t>
      </w:r>
      <w:r>
        <w:rPr>
          <w:rFonts w:ascii="arial" w:eastAsia="arial" w:hAnsi="arial" w:cs="arial"/>
          <w:color w:val="000000"/>
          <w:sz w:val="20"/>
          <w:lang w:val="en-US" w:eastAsia="en-US" w:bidi="ar-SA"/>
        </w:rPr>
        <w:t>) is a limited liability company formed under the laws of the State of Montana.</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w:t>
      </w:r>
      <w:r>
        <w:rPr>
          <w:rFonts w:ascii="arial" w:eastAsia="arial" w:hAnsi="arial" w:cs="arial"/>
          <w:color w:val="000000"/>
          <w:sz w:val="20"/>
          <w:lang w:val="en-US" w:eastAsia="en-US" w:bidi="ar-SA"/>
        </w:rPr>
        <w:t xml:space="preserve"> Jake Oil &amp; Gas Consultants LLC (</w:t>
      </w:r>
      <w:r>
        <w:rPr>
          <w:rFonts w:ascii="arial" w:eastAsia="arial" w:hAnsi="arial" w:cs="arial"/>
          <w:b/>
          <w:color w:val="000000"/>
          <w:sz w:val="20"/>
          <w:lang w:val="en-US" w:eastAsia="en-US" w:bidi="ar-SA"/>
        </w:rPr>
        <w:t>"Jake Consultants"</w:t>
      </w:r>
      <w:r>
        <w:rPr>
          <w:rFonts w:ascii="arial" w:eastAsia="arial" w:hAnsi="arial" w:cs="arial"/>
          <w:color w:val="000000"/>
          <w:sz w:val="20"/>
          <w:lang w:val="en-US" w:eastAsia="en-US" w:bidi="ar-SA"/>
        </w:rPr>
        <w:t>) is a limited liability company formed under the laws of the State of Montana.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15. The Defendant Magna Management Ltd. (</w:t>
      </w:r>
      <w:r>
        <w:rPr>
          <w:rFonts w:ascii="arial" w:eastAsia="arial" w:hAnsi="arial" w:cs="arial"/>
          <w:b/>
          <w:color w:val="000000"/>
          <w:sz w:val="20"/>
          <w:u w:val="single"/>
          <w:lang w:val="en-US" w:eastAsia="en-US" w:bidi="ar-SA"/>
        </w:rPr>
        <w:t>"Magna"</w:t>
      </w:r>
      <w:r>
        <w:rPr>
          <w:rFonts w:ascii="arial" w:eastAsia="arial" w:hAnsi="arial" w:cs="arial"/>
          <w:color w:val="000000"/>
          <w:sz w:val="20"/>
          <w:u w:val="single"/>
          <w:lang w:val="en-US" w:eastAsia="en-US" w:bidi="ar-SA"/>
        </w:rPr>
        <w:t>) is a corporation incorporated under the laws of the Province of British Columbia. Magna is a former partner of Crazy Mountain.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16.</w:t>
      </w:r>
      <w:r>
        <w:rPr>
          <w:rFonts w:ascii="arial" w:eastAsia="arial" w:hAnsi="arial" w:cs="arial"/>
          <w:color w:val="000000"/>
          <w:sz w:val="20"/>
          <w:lang w:val="en-US" w:eastAsia="en-US" w:bidi="ar-SA"/>
        </w:rPr>
        <w:t xml:space="preserve">[15]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Antelope, Big Snowy, Crazy Mountain, 648564, Western, Sun, Bouda, </w:t>
      </w:r>
      <w:r>
        <w:rPr>
          <w:rFonts w:ascii="arial" w:eastAsia="arial" w:hAnsi="arial" w:cs="arial"/>
          <w:color w:val="000000"/>
          <w:sz w:val="20"/>
          <w:u w:val="single"/>
          <w:lang w:val="en-US" w:eastAsia="en-US" w:bidi="ar-SA"/>
        </w:rPr>
        <w:t>Magna</w:t>
      </w:r>
      <w:r>
        <w:rPr>
          <w:rFonts w:ascii="arial" w:eastAsia="arial" w:hAnsi="arial" w:cs="arial"/>
          <w:color w:val="000000"/>
          <w:sz w:val="20"/>
          <w:lang w:val="en-US" w:eastAsia="en-US" w:bidi="ar-SA"/>
        </w:rPr>
        <w:t xml:space="preserve"> and Jake Consultants are collectively referred to herein as the </w:t>
      </w:r>
      <w:r>
        <w:rPr>
          <w:rFonts w:ascii="arial" w:eastAsia="arial" w:hAnsi="arial" w:cs="arial"/>
          <w:b/>
          <w:color w:val="000000"/>
          <w:sz w:val="20"/>
          <w:lang w:val="en-US" w:eastAsia="en-US" w:bidi="ar-SA"/>
        </w:rPr>
        <w:t>"Corporate Defendants"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17.</w:t>
      </w:r>
      <w:r>
        <w:rPr>
          <w:rFonts w:ascii="arial" w:eastAsia="arial" w:hAnsi="arial" w:cs="arial"/>
          <w:color w:val="000000"/>
          <w:sz w:val="20"/>
          <w:lang w:val="en-US" w:eastAsia="en-US" w:bidi="ar-SA"/>
        </w:rPr>
        <w:t xml:space="preserve">[16.]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At all material times, the Corporate Defendants (with the exception of Jake Consultants) operated under common ownership, management and control, particulars of which include the following:</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Campbell and Gardner were the controlling minds and managers of the Corporate Defendants;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Antelope was a wholly owned subsidiary of 648564 Ltd., whose sole shareholder was Campbell;</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Antelope and Western Sun are the partners of Big Snowy;</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Antelope, </w:t>
      </w:r>
      <w:r>
        <w:rPr>
          <w:rFonts w:ascii="arial" w:eastAsia="arial" w:hAnsi="arial" w:cs="arial"/>
          <w:color w:val="000000"/>
          <w:sz w:val="20"/>
          <w:u w:val="single"/>
          <w:lang w:val="en-US" w:eastAsia="en-US" w:bidi="ar-SA"/>
        </w:rPr>
        <w:t>Magna</w:t>
      </w:r>
      <w:r>
        <w:rPr>
          <w:rFonts w:ascii="arial" w:eastAsia="arial" w:hAnsi="arial" w:cs="arial"/>
          <w:color w:val="000000"/>
          <w:sz w:val="20"/>
          <w:lang w:val="en-US" w:eastAsia="en-US" w:bidi="ar-SA"/>
        </w:rPr>
        <w:t xml:space="preserve"> and/</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Bouda were the only shareholders of Crazy Mountain;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Gardner was the sole shareholder of Bouda.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PURCHASE OF THE EAST TEAPOT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18.</w:t>
      </w:r>
      <w:r>
        <w:rPr>
          <w:rFonts w:ascii="arial" w:eastAsia="arial" w:hAnsi="arial" w:cs="arial"/>
          <w:color w:val="000000"/>
          <w:sz w:val="20"/>
          <w:lang w:val="en-US" w:eastAsia="en-US" w:bidi="ar-SA"/>
        </w:rPr>
        <w:t xml:space="preserve">[17.]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Prior to May 18, 2004, the East Teapot Property was jointly owned by Teapot Oil &amp; Refining Company (</w:t>
      </w:r>
      <w:r>
        <w:rPr>
          <w:rFonts w:ascii="arial" w:eastAsia="arial" w:hAnsi="arial" w:cs="arial"/>
          <w:b/>
          <w:color w:val="000000"/>
          <w:sz w:val="20"/>
          <w:lang w:val="en-US" w:eastAsia="en-US" w:bidi="ar-SA"/>
        </w:rPr>
        <w:t>"Teapot Oil"</w:t>
      </w:r>
      <w:r>
        <w:rPr>
          <w:rFonts w:ascii="arial" w:eastAsia="arial" w:hAnsi="arial" w:cs="arial"/>
          <w:color w:val="000000"/>
          <w:sz w:val="20"/>
          <w:lang w:val="en-US" w:eastAsia="en-US" w:bidi="ar-SA"/>
        </w:rPr>
        <w:t>) and Teapot Production Inc. (</w:t>
      </w:r>
      <w:r>
        <w:rPr>
          <w:rFonts w:ascii="arial" w:eastAsia="arial" w:hAnsi="arial" w:cs="arial"/>
          <w:b/>
          <w:color w:val="000000"/>
          <w:sz w:val="20"/>
          <w:lang w:val="en-US" w:eastAsia="en-US" w:bidi="ar-SA"/>
        </w:rPr>
        <w:t>"Teapot Production"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19.</w:t>
      </w:r>
      <w:r>
        <w:rPr>
          <w:rFonts w:ascii="arial" w:eastAsia="arial" w:hAnsi="arial" w:cs="arial"/>
          <w:color w:val="000000"/>
          <w:sz w:val="20"/>
          <w:lang w:val="en-US" w:eastAsia="en-US" w:bidi="ar-SA"/>
        </w:rPr>
        <w:t xml:space="preserve">[18.]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On or about May 18, 2004, Antelope purchased Teapot Oil's interest in the East Teapot Property and the shares of Teapot Production for a total purchase price of US $960,000.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20.</w:t>
      </w:r>
      <w:r>
        <w:rPr>
          <w:rFonts w:ascii="arial" w:eastAsia="arial" w:hAnsi="arial" w:cs="arial"/>
          <w:color w:val="000000"/>
          <w:sz w:val="20"/>
          <w:lang w:val="en-US" w:eastAsia="en-US" w:bidi="ar-SA"/>
        </w:rPr>
        <w:t xml:space="preserve">[19.]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Antelope held the East Teapot Property in trust and as agent for Big Snowy, particulars of which include the following:</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Big Snowy was not qualified to hold oil and gas leases issued by the government regulator;</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Antelope would enter into contracts to purchase oil and gas properties and other assets or businesses related to the exploration, operation and production of oil and natural gas (the </w:t>
      </w:r>
      <w:r>
        <w:rPr>
          <w:rFonts w:ascii="arial" w:eastAsia="arial" w:hAnsi="arial" w:cs="arial"/>
          <w:b/>
          <w:color w:val="000000"/>
          <w:sz w:val="20"/>
          <w:lang w:val="en-US" w:eastAsia="en-US" w:bidi="ar-SA"/>
        </w:rPr>
        <w:t>"Oil and Gas Assets"</w:t>
      </w:r>
      <w:r>
        <w:rPr>
          <w:rFonts w:ascii="arial" w:eastAsia="arial" w:hAnsi="arial" w:cs="arial"/>
          <w:color w:val="000000"/>
          <w:sz w:val="20"/>
          <w:lang w:val="en-US" w:eastAsia="en-US" w:bidi="ar-SA"/>
        </w:rPr>
        <w:t>);</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Big Snowy would provide the consideration required to enable Antelope to purchase the Oil and Gas Assets; and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Antelope was Big Snowy's agent and trustee with respect to the Oil and Gas Assets pursuant to an agency agreement dated October 31, 2002 (the </w:t>
      </w:r>
      <w:r>
        <w:rPr>
          <w:rFonts w:ascii="arial" w:eastAsia="arial" w:hAnsi="arial" w:cs="arial"/>
          <w:b/>
          <w:color w:val="000000"/>
          <w:sz w:val="20"/>
          <w:lang w:val="en-US" w:eastAsia="en-US" w:bidi="ar-SA"/>
        </w:rPr>
        <w:t>"Agency Agreement"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21.</w:t>
      </w:r>
      <w:r>
        <w:rPr>
          <w:rFonts w:ascii="arial" w:eastAsia="arial" w:hAnsi="arial" w:cs="arial"/>
          <w:color w:val="000000"/>
          <w:sz w:val="20"/>
          <w:lang w:val="en-US" w:eastAsia="en-US" w:bidi="ar-SA"/>
        </w:rPr>
        <w:t xml:space="preserve">[20.]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In early 2008, with Gardner and Campbell's knowledge and consent. Big Snowy retained Jake Consultants to prepare a report that evaluated the oil and gas reserves and future net revenue of the East Teapot Property (the </w:t>
      </w:r>
      <w:r>
        <w:rPr>
          <w:rFonts w:ascii="arial" w:eastAsia="arial" w:hAnsi="arial" w:cs="arial"/>
          <w:b/>
          <w:color w:val="000000"/>
          <w:sz w:val="20"/>
          <w:lang w:val="en-US" w:eastAsia="en-US" w:bidi="ar-SA"/>
        </w:rPr>
        <w:t>"Jake Report"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22.</w:t>
      </w:r>
      <w:r>
        <w:rPr>
          <w:rFonts w:ascii="arial" w:eastAsia="arial" w:hAnsi="arial" w:cs="arial"/>
          <w:color w:val="000000"/>
          <w:sz w:val="20"/>
          <w:lang w:val="en-US" w:eastAsia="en-US" w:bidi="ar-SA"/>
        </w:rPr>
        <w:t xml:space="preserve">[21.]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The Jake Report: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deliberately prepared for the purpose of inducing the Outside Director Defendants to approve the [Plaintiff's]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Plaintiffs'</w:t>
      </w:r>
      <w:r>
        <w:rPr>
          <w:rFonts w:ascii="arial" w:eastAsia="arial" w:hAnsi="arial" w:cs="arial"/>
          <w:color w:val="000000"/>
          <w:sz w:val="20"/>
          <w:lang w:val="en-US" w:eastAsia="en-US" w:bidi="ar-SA"/>
        </w:rPr>
        <w:t xml:space="preserve"> purchase of the East Teapot Property;</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alternatively, was negligently prepared;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adhere to the applicable securities reporting requirements for oil and gas properties;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based on data provided by Big Snowy with respect to interest, oil prices, operating expenses, investments, well information and current operating conditions, rather than an independent analysis of the East Teapot Property; and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Assessed the fair market value of the East Teapot Property to be US$16,699,000, which was significantly in excess of the actual fair market value of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23.</w:t>
      </w:r>
      <w:r>
        <w:rPr>
          <w:rFonts w:ascii="arial" w:eastAsia="arial" w:hAnsi="arial" w:cs="arial"/>
          <w:color w:val="000000"/>
          <w:sz w:val="20"/>
          <w:lang w:val="en-US" w:eastAsia="en-US" w:bidi="ar-SA"/>
        </w:rPr>
        <w:t xml:space="preserve">[22.] Campbell and Gardner presented the Jake Report to the Outside Director Defendants and proposed that they approve a transaction wherein [the Plaintiff]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 xml:space="preserve"> would acquire the East Teapot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24.</w:t>
      </w:r>
      <w:r>
        <w:rPr>
          <w:rFonts w:ascii="arial" w:eastAsia="arial" w:hAnsi="arial" w:cs="arial"/>
          <w:color w:val="000000"/>
          <w:sz w:val="20"/>
          <w:lang w:val="en-US" w:eastAsia="en-US" w:bidi="ar-SA"/>
        </w:rPr>
        <w:t xml:space="preserve">[23.]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At all material times Campbell and Gardner were aware or willfully blind to the fact that the Jake Report significantly overstated the fair market value of the East Teapot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25.</w:t>
      </w:r>
      <w:r>
        <w:rPr>
          <w:rFonts w:ascii="arial" w:eastAsia="arial" w:hAnsi="arial" w:cs="arial"/>
          <w:color w:val="000000"/>
          <w:sz w:val="20"/>
          <w:lang w:val="en-US" w:eastAsia="en-US" w:bidi="ar-SA"/>
        </w:rPr>
        <w:t xml:space="preserve">[24.] Campbell and Gardner also provided the Outside Director Defendants with a draft agreement, in which [the Plaintiff]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 xml:space="preserve"> would agree to lease and option to purchase the East Teapot Property from Crazy Mountain (the </w:t>
      </w:r>
      <w:r>
        <w:rPr>
          <w:rFonts w:ascii="arial" w:eastAsia="arial" w:hAnsi="arial" w:cs="arial"/>
          <w:b/>
          <w:color w:val="000000"/>
          <w:sz w:val="20"/>
          <w:lang w:val="en-US" w:eastAsia="en-US" w:bidi="ar-SA"/>
        </w:rPr>
        <w:t>"East Teapot Agreement"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26.</w:t>
      </w:r>
      <w:r>
        <w:rPr>
          <w:rFonts w:ascii="arial" w:eastAsia="arial" w:hAnsi="arial" w:cs="arial"/>
          <w:color w:val="000000"/>
          <w:sz w:val="20"/>
          <w:lang w:val="en-US" w:eastAsia="en-US" w:bidi="ar-SA"/>
        </w:rPr>
        <w:t xml:space="preserve">[25.]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At that time:</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proposal to acquire the East Teapot Property was a material transaction for [the Plaintiff]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Campbell was the President and Chief Executive Officer and a director of [the Plaintiff]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Gardner was Chairman of [the Plaintiff's]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SunOil's</w:t>
      </w:r>
      <w:r>
        <w:rPr>
          <w:rFonts w:ascii="arial" w:eastAsia="arial" w:hAnsi="arial" w:cs="arial"/>
          <w:color w:val="000000"/>
          <w:sz w:val="20"/>
          <w:lang w:val="en-US" w:eastAsia="en-US" w:bidi="ar-SA"/>
        </w:rPr>
        <w:t xml:space="preserve"> board of directors;</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Gardner and Campbell were each officers, directors, managers or agents of and had financial interests in Big Snowy and Crazy Mountain;</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Outside Director Defendants, and each of them:</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aware, or ought to have been aware, of Gardner and Campbell's personal involvement and financial interest in Big Snowy and Crazy Mountain;</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a duty to carefully consider the value of the East Teapot Property and terms of the proposal to acquire it; and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Were aware, or ought to have been aware, that the Jake Report, on its own, was not a sufficient basis on which to approve the [Plaintiff's]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Plaintiffs'</w:t>
      </w:r>
      <w:r>
        <w:rPr>
          <w:rFonts w:ascii="arial" w:eastAsia="arial" w:hAnsi="arial" w:cs="arial"/>
          <w:color w:val="000000"/>
          <w:sz w:val="20"/>
          <w:lang w:val="en-US" w:eastAsia="en-US" w:bidi="ar-SA"/>
        </w:rPr>
        <w:t xml:space="preserve"> acquisition of the East Teapot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27.</w:t>
      </w:r>
      <w:r>
        <w:rPr>
          <w:rFonts w:ascii="arial" w:eastAsia="arial" w:hAnsi="arial" w:cs="arial"/>
          <w:color w:val="000000"/>
          <w:sz w:val="20"/>
          <w:lang w:val="en-US" w:eastAsia="en-US" w:bidi="ar-SA"/>
        </w:rPr>
        <w:t xml:space="preserve">[26.]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On or about February 28, 2008, Crazy Mountain entered into an agreement with Big Snowy to purchase the East Teapot Property for a purchase price of US $4,000,000.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28.</w:t>
      </w:r>
      <w:r>
        <w:rPr>
          <w:rFonts w:ascii="arial" w:eastAsia="arial" w:hAnsi="arial" w:cs="arial"/>
          <w:color w:val="000000"/>
          <w:sz w:val="20"/>
          <w:lang w:val="en-US" w:eastAsia="en-US" w:bidi="ar-SA"/>
        </w:rPr>
        <w:t xml:space="preserve">[27.] One day later, on February 29, 2008, the Outside Director Defendants authorized [the Plaintiff]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 xml:space="preserve"> to enter into the East Teapot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29.</w:t>
      </w:r>
      <w:r>
        <w:rPr>
          <w:rFonts w:ascii="arial" w:eastAsia="arial" w:hAnsi="arial" w:cs="arial"/>
          <w:color w:val="000000"/>
          <w:sz w:val="20"/>
          <w:lang w:val="en-US" w:eastAsia="en-US" w:bidi="ar-SA"/>
        </w:rPr>
        <w:t xml:space="preserve">[28.]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The following were,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terms of the East Teapot Agreement: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Crazy Mountain agreed to lease the East Teapot Property to [the Plaintiff]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term of the lease would commence on March 1, 2008 and end on September 1, 2013 (the </w:t>
      </w:r>
      <w:r>
        <w:rPr>
          <w:rFonts w:ascii="arial" w:eastAsia="arial" w:hAnsi="arial" w:cs="arial"/>
          <w:b/>
          <w:color w:val="000000"/>
          <w:sz w:val="20"/>
          <w:lang w:val="en-US" w:eastAsia="en-US" w:bidi="ar-SA"/>
        </w:rPr>
        <w:t>"Term"</w:t>
      </w:r>
      <w:r>
        <w:rPr>
          <w:rFonts w:ascii="arial" w:eastAsia="arial" w:hAnsi="arial" w:cs="arial"/>
          <w:color w:val="000000"/>
          <w:sz w:val="20"/>
          <w:lang w:val="en-US" w:eastAsia="en-US" w:bidi="ar-SA"/>
        </w:rPr>
        <w: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 2008, the Plaintiff would pay Crazy Mountain US $750,000, which was allocated as US $150,000 for the initial monthly lease payment, and US $600,000 as consideration for an option to purchase the East Teapot Property:</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 in its sole discretion, could either:</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 US $ 150,000 monthly lease payments on the first of each month of the Term; or</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any time prior to June 1, 2008, pay an amount of US $6,000,000 in full satisfaction of all monthly lease payments (the </w:t>
      </w:r>
      <w:r>
        <w:rPr>
          <w:rFonts w:ascii="arial" w:eastAsia="arial" w:hAnsi="arial" w:cs="arial"/>
          <w:b/>
          <w:color w:val="000000"/>
          <w:sz w:val="20"/>
          <w:lang w:val="en-US" w:eastAsia="en-US" w:bidi="ar-SA"/>
        </w:rPr>
        <w:t>"Prepayment Amount"</w:t>
      </w:r>
      <w:r>
        <w:rPr>
          <w:rFonts w:ascii="arial" w:eastAsia="arial" w:hAnsi="arial" w:cs="arial"/>
          <w:color w:val="000000"/>
          <w:sz w:val="20"/>
          <w:lang w:val="en-US" w:eastAsia="en-US" w:bidi="ar-SA"/>
        </w:rPr>
        <w: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 xml:space="preserve">. had an option to purchase the East Teapot Property from Crazy Mountain (the </w:t>
      </w:r>
      <w:r>
        <w:rPr>
          <w:rFonts w:ascii="arial" w:eastAsia="arial" w:hAnsi="arial" w:cs="arial"/>
          <w:b/>
          <w:color w:val="000000"/>
          <w:sz w:val="20"/>
          <w:lang w:val="en-US" w:eastAsia="en-US" w:bidi="ar-SA"/>
        </w:rPr>
        <w:t>"Option to Purchase"</w:t>
      </w:r>
      <w:r>
        <w:rPr>
          <w:rFonts w:ascii="arial" w:eastAsia="arial" w:hAnsi="arial" w:cs="arial"/>
          <w:color w:val="000000"/>
          <w:sz w:val="20"/>
          <w:lang w:val="en-US" w:eastAsia="en-US" w:bidi="ar-SA"/>
        </w:rPr>
        <w: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 could, at any time during the Term, exercise the Option provided that: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monthly lease payments had been paid;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paid an exercise price of US $500,000;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paid an additional amount of US $6,000,000, if it had not paid the Prepayment Amount on or before June 1,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30. The Defendants were aware, at all material times, that Stealth USA would be the registered owner of the East Teapot Property.</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31.</w:t>
      </w:r>
      <w:r>
        <w:rPr>
          <w:rFonts w:ascii="arial" w:eastAsia="arial" w:hAnsi="arial" w:cs="arial"/>
          <w:color w:val="000000"/>
          <w:sz w:val="20"/>
          <w:lang w:val="en-US" w:eastAsia="en-US" w:bidi="ar-SA"/>
        </w:rPr>
        <w:t xml:space="preserve">[29.] On or about May 30, 2008, Campbell, in his capacity as President and Chief Executive Officer of [the Plaintiff]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 xml:space="preserve">. authorized [the Plaintiff]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 xml:space="preserve"> to exercise the Option to Purchase. When Campbell authorized [the Plaintiff]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 xml:space="preserve"> to exercise the Option to Purchase, he was an officer, manager, director or agent of and had a financial interest in Crazy Mountain. </w:t>
      </w:r>
      <w:r>
        <w:rPr>
          <w:rFonts w:ascii="arial" w:eastAsia="arial" w:hAnsi="arial" w:cs="arial"/>
          <w:color w:val="000000"/>
          <w:sz w:val="18"/>
          <w:lang w:val="en-US" w:eastAsia="en-US" w:bidi="ar-SA"/>
        </w:rPr>
        <w:t>[Editor's note: Text in brackets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32.</w:t>
      </w:r>
      <w:r>
        <w:rPr>
          <w:rFonts w:ascii="arial" w:eastAsia="arial" w:hAnsi="arial" w:cs="arial"/>
          <w:color w:val="000000"/>
          <w:sz w:val="20"/>
          <w:lang w:val="en-US" w:eastAsia="en-US" w:bidi="ar-SA"/>
        </w:rPr>
        <w:t xml:space="preserve">[30.] On or about May 30, 2008, [the Plaintiff]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SunOil</w:t>
      </w:r>
      <w:r>
        <w:rPr>
          <w:rFonts w:ascii="arial" w:eastAsia="arial" w:hAnsi="arial" w:cs="arial"/>
          <w:color w:val="000000"/>
          <w:sz w:val="20"/>
          <w:lang w:val="en-US" w:eastAsia="en-US" w:bidi="ar-SA"/>
        </w:rPr>
        <w:t xml:space="preserve"> paid Crazy Mountain a total of $6.5 million to purchase the East Teapot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33. Stealth USA has been the registered owner of the East Teapot Property since May 30.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DISCOVERY OF THE DEFENDANTS' MISCONDUCT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34.</w:t>
      </w:r>
      <w:r>
        <w:rPr>
          <w:rFonts w:ascii="arial" w:eastAsia="arial" w:hAnsi="arial" w:cs="arial"/>
          <w:color w:val="000000"/>
          <w:sz w:val="20"/>
          <w:lang w:val="en-US" w:eastAsia="en-US" w:bidi="ar-SA"/>
        </w:rPr>
        <w:t xml:space="preserve">[31.] On or about May 16, 2011. [the Plaintiff]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SunOil appointed a new Chief Executive Officer, Kevin Sun (</w:t>
      </w:r>
      <w:r>
        <w:rPr>
          <w:rFonts w:ascii="arial" w:eastAsia="arial" w:hAnsi="arial" w:cs="arial"/>
          <w:b/>
          <w:color w:val="000000"/>
          <w:sz w:val="20"/>
          <w:lang w:val="en-US" w:eastAsia="en-US" w:bidi="ar-SA"/>
        </w:rPr>
        <w:t>"Sun"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35.</w:t>
      </w:r>
      <w:r>
        <w:rPr>
          <w:rFonts w:ascii="arial" w:eastAsia="arial" w:hAnsi="arial" w:cs="arial"/>
          <w:color w:val="000000"/>
          <w:sz w:val="20"/>
          <w:lang w:val="en-US" w:eastAsia="en-US" w:bidi="ar-SA"/>
        </w:rPr>
        <w:t xml:space="preserve">[32.]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By October 25, 2011:</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Outside Director Defendants had resigned from the Board;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Gardner had resigned as Chairman and director; and</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Campbell had resigned as an officer.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36.</w:t>
      </w:r>
      <w:r>
        <w:rPr>
          <w:rFonts w:ascii="arial" w:eastAsia="arial" w:hAnsi="arial" w:cs="arial"/>
          <w:color w:val="000000"/>
          <w:sz w:val="20"/>
          <w:lang w:val="en-US" w:eastAsia="en-US" w:bidi="ar-SA"/>
        </w:rPr>
        <w:t xml:space="preserve">[33.]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Following this change of control,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discovered that the fair market value of the East Teapot Property was and is far below what had been reported in the Jake Report, particulars of which include the following:</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August 2011, at Sun's request, the Plaintiffs retained Chapman Petroleum Engineering (</w:t>
      </w:r>
      <w:r>
        <w:rPr>
          <w:rFonts w:ascii="arial" w:eastAsia="arial" w:hAnsi="arial" w:cs="arial"/>
          <w:b/>
          <w:color w:val="000000"/>
          <w:sz w:val="20"/>
          <w:lang w:val="en-US" w:eastAsia="en-US" w:bidi="ar-SA"/>
        </w:rPr>
        <w:t>"Chapman"</w:t>
      </w:r>
      <w:r>
        <w:rPr>
          <w:rFonts w:ascii="arial" w:eastAsia="arial" w:hAnsi="arial" w:cs="arial"/>
          <w:color w:val="000000"/>
          <w:sz w:val="20"/>
          <w:lang w:val="en-US" w:eastAsia="en-US" w:bidi="ar-SA"/>
        </w:rPr>
        <w:t xml:space="preserve">) to prepare an evaluation of the oil and gas reserves and future net revenue of the [Plaintiff's]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Plaintiffs'</w:t>
      </w:r>
      <w:r>
        <w:rPr>
          <w:rFonts w:ascii="arial" w:eastAsia="arial" w:hAnsi="arial" w:cs="arial"/>
          <w:color w:val="000000"/>
          <w:sz w:val="20"/>
          <w:lang w:val="en-US" w:eastAsia="en-US" w:bidi="ar-SA"/>
        </w:rPr>
        <w:t xml:space="preserve"> oil and gas properties, including the East Teapot Property, as of July 31, 2011 (the </w:t>
      </w:r>
      <w:r>
        <w:rPr>
          <w:rFonts w:ascii="arial" w:eastAsia="arial" w:hAnsi="arial" w:cs="arial"/>
          <w:b/>
          <w:color w:val="000000"/>
          <w:sz w:val="20"/>
          <w:lang w:val="en-US" w:eastAsia="en-US" w:bidi="ar-SA"/>
        </w:rPr>
        <w:t>"Chapman Report"</w:t>
      </w:r>
      <w:r>
        <w:rPr>
          <w:rFonts w:ascii="arial" w:eastAsia="arial" w:hAnsi="arial" w:cs="arial"/>
          <w:color w:val="000000"/>
          <w:sz w:val="20"/>
          <w:lang w:val="en-US" w:eastAsia="en-US" w:bidi="ar-SA"/>
        </w:rPr>
        <w:t>); and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the Chapman Report: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estimated reserves and future net revenue of all of the [Plaintiff's]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Plaintiffs'</w:t>
      </w:r>
      <w:r>
        <w:rPr>
          <w:rFonts w:ascii="arial" w:eastAsia="arial" w:hAnsi="arial" w:cs="arial"/>
          <w:color w:val="000000"/>
          <w:sz w:val="20"/>
          <w:lang w:val="en-US" w:eastAsia="en-US" w:bidi="ar-SA"/>
        </w:rPr>
        <w:t xml:space="preserve"> oil and gas reserves (including the East Teapot Property) was $3,543,000; and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estimated reserves and future net revenue of the East Teapot Property was $1,743,000;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37.</w:t>
      </w:r>
      <w:r>
        <w:rPr>
          <w:rFonts w:ascii="arial" w:eastAsia="arial" w:hAnsi="arial" w:cs="arial"/>
          <w:color w:val="000000"/>
          <w:sz w:val="20"/>
          <w:lang w:val="en-US" w:eastAsia="en-US" w:bidi="ar-SA"/>
        </w:rPr>
        <w:t xml:space="preserve">[34.]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After receiving the Chapman report,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became concerned that Chapman's analysis of the fair market value of the East Teapot Property ($1,743,000) was so significantly below what had been reported in the Jake Report ($16,699,000).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38.</w:t>
      </w:r>
      <w:r>
        <w:rPr>
          <w:rFonts w:ascii="arial" w:eastAsia="arial" w:hAnsi="arial" w:cs="arial"/>
          <w:color w:val="000000"/>
          <w:sz w:val="20"/>
          <w:lang w:val="en-US" w:eastAsia="en-US" w:bidi="ar-SA"/>
        </w:rPr>
        <w:t xml:space="preserve">[35.]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In late 2011,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also discovered that Crazy Mountain (a company in which Campbell and Gardner were officers, managers, directors or agents and </w:t>
      </w:r>
      <w:r>
        <w:rPr>
          <w:rFonts w:ascii="arial" w:eastAsia="arial" w:hAnsi="arial" w:cs="arial"/>
          <w:color w:val="000000"/>
          <w:sz w:val="20"/>
          <w:u w:val="single"/>
          <w:lang w:val="en-US" w:eastAsia="en-US" w:bidi="ar-SA"/>
        </w:rPr>
        <w:t>had</w:t>
      </w:r>
      <w:r>
        <w:rPr>
          <w:rFonts w:ascii="arial" w:eastAsia="arial" w:hAnsi="arial" w:cs="arial"/>
          <w:color w:val="000000"/>
          <w:sz w:val="20"/>
          <w:lang w:val="en-US" w:eastAsia="en-US" w:bidi="ar-SA"/>
        </w:rPr>
        <w:t xml:space="preserve"> financial interests) had significantly profited from its purchase and immediate sale the East Teapot Property on February 28 to 29, 2008, at the expense of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(as described in paragraphs 15 to 26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2:</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RELIEF SOUGHT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39.</w:t>
      </w:r>
      <w:r>
        <w:rPr>
          <w:rFonts w:ascii="arial" w:eastAsia="arial" w:hAnsi="arial" w:cs="arial"/>
          <w:color w:val="000000"/>
          <w:sz w:val="20"/>
          <w:lang w:val="en-US" w:eastAsia="en-US" w:bidi="ar-SA"/>
        </w:rPr>
        <w:t xml:space="preserve">[36.]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Rescission of the East Teapot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40.</w:t>
      </w:r>
      <w:r>
        <w:rPr>
          <w:rFonts w:ascii="arial" w:eastAsia="arial" w:hAnsi="arial" w:cs="arial"/>
          <w:color w:val="000000"/>
          <w:sz w:val="20"/>
          <w:lang w:val="en-US" w:eastAsia="en-US" w:bidi="ar-SA"/>
        </w:rPr>
        <w:t xml:space="preserve">[37.]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 declaration that the proceeds of the East Teapot Agreement are held as a constructive trust for the benefit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41.</w:t>
      </w:r>
      <w:r>
        <w:rPr>
          <w:rFonts w:ascii="arial" w:eastAsia="arial" w:hAnsi="arial" w:cs="arial"/>
          <w:color w:val="000000"/>
          <w:sz w:val="20"/>
          <w:lang w:val="en-US" w:eastAsia="en-US" w:bidi="ar-SA"/>
        </w:rPr>
        <w:t xml:space="preserve">[38.]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Tracing of the funds paid to Crazy Mountain pursuant to the East Teapot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42.</w:t>
      </w:r>
      <w:r>
        <w:rPr>
          <w:rFonts w:ascii="arial" w:eastAsia="arial" w:hAnsi="arial" w:cs="arial"/>
          <w:color w:val="000000"/>
          <w:sz w:val="20"/>
          <w:lang w:val="en-US" w:eastAsia="en-US" w:bidi="ar-SA"/>
        </w:rPr>
        <w:t xml:space="preserve">[39.]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An accounting of and disgorgement of profits made by the Gardner. Campbell and Corporate Defendants (and each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43.</w:t>
      </w:r>
      <w:r>
        <w:rPr>
          <w:rFonts w:ascii="arial" w:eastAsia="arial" w:hAnsi="arial" w:cs="arial"/>
          <w:color w:val="000000"/>
          <w:sz w:val="20"/>
          <w:lang w:val="en-US" w:eastAsia="en-US" w:bidi="ar-SA"/>
        </w:rPr>
        <w:t xml:space="preserve">[40.]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In the alternative, aggravated, exemplary, and punitive damages payable jointly and severally by Gardner, Campbell and the Corporate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44.</w:t>
      </w:r>
      <w:r>
        <w:rPr>
          <w:rFonts w:ascii="arial" w:eastAsia="arial" w:hAnsi="arial" w:cs="arial"/>
          <w:color w:val="000000"/>
          <w:sz w:val="20"/>
          <w:lang w:val="en-US" w:eastAsia="en-US" w:bidi="ar-SA"/>
        </w:rPr>
        <w:t xml:space="preserve">[41.]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In the further alternative, damages payable jointly and severally;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45.</w:t>
      </w:r>
      <w:r>
        <w:rPr>
          <w:rFonts w:ascii="arial" w:eastAsia="arial" w:hAnsi="arial" w:cs="arial"/>
          <w:color w:val="000000"/>
          <w:sz w:val="20"/>
          <w:lang w:val="en-US" w:eastAsia="en-US" w:bidi="ar-SA"/>
        </w:rPr>
        <w:t xml:space="preserve">[42.]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Interest pursuant to the </w:t>
      </w:r>
      <w:r>
        <w:rPr>
          <w:rFonts w:ascii="arial" w:eastAsia="arial" w:hAnsi="arial" w:cs="arial"/>
          <w:i/>
          <w:color w:val="000000"/>
          <w:sz w:val="20"/>
          <w:lang w:val="en-US" w:eastAsia="en-US" w:bidi="ar-SA"/>
        </w:rPr>
        <w:t>Court Order Interest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46.</w:t>
      </w:r>
      <w:r>
        <w:rPr>
          <w:rFonts w:ascii="arial" w:eastAsia="arial" w:hAnsi="arial" w:cs="arial"/>
          <w:color w:val="000000"/>
          <w:sz w:val="20"/>
          <w:lang w:val="en-US" w:eastAsia="en-US" w:bidi="ar-SA"/>
        </w:rPr>
        <w:t xml:space="preserve">[43.]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Costs on a solicitor and own client basis;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47.</w:t>
      </w:r>
      <w:r>
        <w:rPr>
          <w:rFonts w:ascii="arial" w:eastAsia="arial" w:hAnsi="arial" w:cs="arial"/>
          <w:color w:val="000000"/>
          <w:sz w:val="20"/>
          <w:lang w:val="en-US" w:eastAsia="en-US" w:bidi="ar-SA"/>
        </w:rPr>
        <w:t xml:space="preserve">[44.]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Such further and other relief as the court may deem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2:</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LEGAL BASIS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 CLAIMS AGAINST CAMPBELL, GARDNER AND THE CORPORATE DEFENDANTS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Deceit and Fraud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48.</w:t>
      </w:r>
      <w:r>
        <w:rPr>
          <w:rFonts w:ascii="arial" w:eastAsia="arial" w:hAnsi="arial" w:cs="arial"/>
          <w:color w:val="000000"/>
          <w:sz w:val="20"/>
          <w:lang w:val="en-US" w:eastAsia="en-US" w:bidi="ar-SA"/>
        </w:rPr>
        <w:t xml:space="preserve">[45.]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The conduct of Campbell. Gardner and the Corporate Defendants constituted deceit and fraud.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49.</w:t>
      </w:r>
      <w:r>
        <w:rPr>
          <w:rFonts w:ascii="arial" w:eastAsia="arial" w:hAnsi="arial" w:cs="arial"/>
          <w:color w:val="000000"/>
          <w:sz w:val="20"/>
          <w:lang w:val="en-US" w:eastAsia="en-US" w:bidi="ar-SA"/>
        </w:rPr>
        <w:t xml:space="preserve">[46.]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Campbell. Gardner and the Corporate Defendants (except Jake Consultants) and each of them:</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Retained Jake Consultants to prepare the Jake Report for the sole purpose of inducing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to purchase the East Teapot Property; and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Knew or ought to have known that the Jake Report significantly overstated the fair market value of the East Teapot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50.</w:t>
      </w:r>
      <w:r>
        <w:rPr>
          <w:rFonts w:ascii="arial" w:eastAsia="arial" w:hAnsi="arial" w:cs="arial"/>
          <w:color w:val="000000"/>
          <w:sz w:val="20"/>
          <w:lang w:val="en-US" w:eastAsia="en-US" w:bidi="ar-SA"/>
        </w:rPr>
        <w:t xml:space="preserve">[47.]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Campbell, Gardner and the Corporate Defendants and each of them:</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Knowingly, fraudulently and deceitfully misrepresented the value of the East Teapot Property for the purpose of inducing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to enter into the East Teapot Agreement; and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Failed to disclose the significant profit each would cam as a result of the [Plaintiff's]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Plaintiffs'</w:t>
      </w:r>
      <w:r>
        <w:rPr>
          <w:rFonts w:ascii="arial" w:eastAsia="arial" w:hAnsi="arial" w:cs="arial"/>
          <w:color w:val="000000"/>
          <w:sz w:val="20"/>
          <w:lang w:val="en-US" w:eastAsia="en-US" w:bidi="ar-SA"/>
        </w:rPr>
        <w:t xml:space="preserve"> acquisition of the East Teapot Property pursuant to the East Teapot Agreement.</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51.</w:t>
      </w:r>
      <w:r>
        <w:rPr>
          <w:rFonts w:ascii="arial" w:eastAsia="arial" w:hAnsi="arial" w:cs="arial"/>
          <w:color w:val="000000"/>
          <w:sz w:val="20"/>
          <w:lang w:val="en-US" w:eastAsia="en-US" w:bidi="ar-SA"/>
        </w:rPr>
        <w:t xml:space="preserve">[48.] As a result of this deceitful and fraudulent conduct, the [Plaintiff was] </w:t>
      </w:r>
      <w:r>
        <w:rPr>
          <w:rFonts w:ascii="arial" w:eastAsia="arial" w:hAnsi="arial" w:cs="arial"/>
          <w:color w:val="000000"/>
          <w:sz w:val="20"/>
          <w:u w:val="single"/>
          <w:lang w:val="en-US" w:eastAsia="en-US" w:bidi="ar-SA"/>
        </w:rPr>
        <w:t>Plaintiffs were</w:t>
      </w:r>
      <w:r>
        <w:rPr>
          <w:rFonts w:ascii="arial" w:eastAsia="arial" w:hAnsi="arial" w:cs="arial"/>
          <w:color w:val="000000"/>
          <w:sz w:val="20"/>
          <w:lang w:val="en-US" w:eastAsia="en-US" w:bidi="ar-SA"/>
        </w:rPr>
        <w:t xml:space="preserve"> induced to enter into the East Teapot Agreement and acquire the East Teapot Property. </w:t>
      </w:r>
      <w:r>
        <w:rPr>
          <w:rFonts w:ascii="arial" w:eastAsia="arial" w:hAnsi="arial" w:cs="arial"/>
          <w:color w:val="000000"/>
          <w:sz w:val="18"/>
          <w:lang w:val="en-US" w:eastAsia="en-US" w:bidi="ar-SA"/>
        </w:rPr>
        <w:t>[Editor's note: Text in brackets is struck out in the original]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Unilateral Mistake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52.</w:t>
      </w:r>
      <w:r>
        <w:rPr>
          <w:rFonts w:ascii="arial" w:eastAsia="arial" w:hAnsi="arial" w:cs="arial"/>
          <w:color w:val="000000"/>
          <w:sz w:val="20"/>
          <w:lang w:val="en-US" w:eastAsia="en-US" w:bidi="ar-SA"/>
        </w:rPr>
        <w:t xml:space="preserve">[49.]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entered into the East Teapot Agreement based on the fraudulent representations made by Campbell, Gardner and the Corporate Defendants, and in particular, the representation that the fair market value of the East Teapot Property was in excess of $16 million.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53.</w:t>
      </w:r>
      <w:r>
        <w:rPr>
          <w:rFonts w:ascii="arial" w:eastAsia="arial" w:hAnsi="arial" w:cs="arial"/>
          <w:color w:val="000000"/>
          <w:sz w:val="20"/>
          <w:lang w:val="en-US" w:eastAsia="en-US" w:bidi="ar-SA"/>
        </w:rPr>
        <w:t xml:space="preserve">[50.]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In these circumstances, the East Teapot Agreement is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or in the alternative, voidable by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because:</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Campbell, Gardner and the Corporate Defendants was unconscionable and akin to fraud; and</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did not have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 xml:space="preserve"> on the terms of the East Teapot Agreement due to a unilateral mistake.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Fiduciary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54.</w:t>
      </w:r>
      <w:r>
        <w:rPr>
          <w:rFonts w:ascii="arial" w:eastAsia="arial" w:hAnsi="arial" w:cs="arial"/>
          <w:color w:val="000000"/>
          <w:sz w:val="20"/>
          <w:lang w:val="en-US" w:eastAsia="en-US" w:bidi="ar-SA"/>
        </w:rPr>
        <w:t xml:space="preserve">[51.]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At all material times, Campbell and Gardner owed common law and statutory fiduciary duties to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to act honestly and in the utmost good faith, with a view to the best interests of the company.</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55.</w:t>
      </w:r>
      <w:r>
        <w:rPr>
          <w:rFonts w:ascii="arial" w:eastAsia="arial" w:hAnsi="arial" w:cs="arial"/>
          <w:color w:val="000000"/>
          <w:sz w:val="20"/>
          <w:lang w:val="en-US" w:eastAsia="en-US" w:bidi="ar-SA"/>
        </w:rPr>
        <w:t xml:space="preserve">[52.] The [Plaintiff pleads] </w:t>
      </w:r>
      <w:r>
        <w:rPr>
          <w:rFonts w:ascii="arial" w:eastAsia="arial" w:hAnsi="arial" w:cs="arial"/>
          <w:color w:val="000000"/>
          <w:sz w:val="20"/>
          <w:u w:val="single"/>
          <w:lang w:val="en-US" w:eastAsia="en-US" w:bidi="ar-SA"/>
        </w:rPr>
        <w:t>Plaintiffs plead</w:t>
      </w:r>
      <w:r>
        <w:rPr>
          <w:rFonts w:ascii="arial" w:eastAsia="arial" w:hAnsi="arial" w:cs="arial"/>
          <w:color w:val="000000"/>
          <w:sz w:val="20"/>
          <w:lang w:val="en-US" w:eastAsia="en-US" w:bidi="ar-SA"/>
        </w:rPr>
        <w:t xml:space="preserve"> and [relies] </w:t>
      </w:r>
      <w:r>
        <w:rPr>
          <w:rFonts w:ascii="arial" w:eastAsia="arial" w:hAnsi="arial" w:cs="arial"/>
          <w:color w:val="000000"/>
          <w:sz w:val="20"/>
          <w:u w:val="single"/>
          <w:lang w:val="en-US" w:eastAsia="en-US" w:bidi="ar-SA"/>
        </w:rPr>
        <w:t>rely</w:t>
      </w:r>
      <w:r>
        <w:rPr>
          <w:rFonts w:ascii="arial" w:eastAsia="arial" w:hAnsi="arial" w:cs="arial"/>
          <w:color w:val="000000"/>
          <w:sz w:val="20"/>
          <w:lang w:val="en-US" w:eastAsia="en-US" w:bidi="ar-SA"/>
        </w:rPr>
        <w:t xml:space="preserve"> on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56.</w:t>
      </w:r>
      <w:r>
        <w:rPr>
          <w:rFonts w:ascii="arial" w:eastAsia="arial" w:hAnsi="arial" w:cs="arial"/>
          <w:color w:val="000000"/>
          <w:sz w:val="20"/>
          <w:lang w:val="en-US" w:eastAsia="en-US" w:bidi="ar-SA"/>
        </w:rPr>
        <w:t xml:space="preserve">[53.]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Campbell and Gardner breached their fiduciary duties to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by profiting personally from the sale of the East Teapot Property at the expense of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Knowing Receipt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57.</w:t>
      </w:r>
      <w:r>
        <w:rPr>
          <w:rFonts w:ascii="arial" w:eastAsia="arial" w:hAnsi="arial" w:cs="arial"/>
          <w:color w:val="000000"/>
          <w:sz w:val="20"/>
          <w:lang w:val="en-US" w:eastAsia="en-US" w:bidi="ar-SA"/>
        </w:rPr>
        <w:t xml:space="preserve">[54.]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Campbell, Gardner and the Corporate Defendants each knowingly assisted in the fraud and breach of fiduciary duty to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or in the further alternative, were in knowing receipt of monies rightfully belonging to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Conspiracy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58.</w:t>
      </w:r>
      <w:r>
        <w:rPr>
          <w:rFonts w:ascii="arial" w:eastAsia="arial" w:hAnsi="arial" w:cs="arial"/>
          <w:color w:val="000000"/>
          <w:sz w:val="20"/>
          <w:lang w:val="en-US" w:eastAsia="en-US" w:bidi="ar-SA"/>
        </w:rPr>
        <w:t xml:space="preserve">[55]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The conduct of Campbell, Gardner and the Corporate Defendants were unlawful acts directed toward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which unlawful acts they knew in the circumstances would likely cause injury to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As such, the Campbell, Gardner and the Corporate Defendants are jointly and severally liable for the tort of civil conspiracy.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59.</w:t>
      </w:r>
      <w:r>
        <w:rPr>
          <w:rFonts w:ascii="arial" w:eastAsia="arial" w:hAnsi="arial" w:cs="arial"/>
          <w:color w:val="000000"/>
          <w:sz w:val="20"/>
          <w:lang w:val="en-US" w:eastAsia="en-US" w:bidi="ar-SA"/>
        </w:rPr>
        <w:t xml:space="preserve"> [56.]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In the alternative, Campbell, Gardner, the Corporate Defendants and each of them:</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Owed a duty of care to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and</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negligent in allowing the Jake Report to be presented to the Outside Director Defendants for the purpose of convincing them to approve the East Teapot Agreement without taking reasonable care to determine the fair market value of the East Teapot Property, which included but not limited to, relying on the Jake Report in circumstances where they knew or ought to have known that it was not a reliable assessment of the East Teapot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60.</w:t>
      </w:r>
      <w:r>
        <w:rPr>
          <w:rFonts w:ascii="arial" w:eastAsia="arial" w:hAnsi="arial" w:cs="arial"/>
          <w:color w:val="000000"/>
          <w:sz w:val="20"/>
          <w:lang w:val="en-US" w:eastAsia="en-US" w:bidi="ar-SA"/>
        </w:rPr>
        <w:t xml:space="preserve">[57.]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Jake Consultants: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Knew or ought to have known that Campbell, Gardner or Big Snowy would use the Jake Report to convince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(or in the alternative, a third party like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to purchase the East Teapot Property;</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Owed a duty of care to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and</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Were</w:t>
      </w:r>
      <w:r>
        <w:rPr>
          <w:rFonts w:ascii="arial" w:eastAsia="arial" w:hAnsi="arial" w:cs="arial"/>
          <w:color w:val="000000"/>
          <w:sz w:val="20"/>
          <w:lang w:val="en-US" w:eastAsia="en-US" w:bidi="ar-SA"/>
        </w:rPr>
        <w:t xml:space="preserve"> negligent in its preparation of the Jake Report, which included but was not limited to, failing to independently verify the information provided by Big Snowy.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61.</w:t>
      </w:r>
      <w:r>
        <w:rPr>
          <w:rFonts w:ascii="arial" w:eastAsia="arial" w:hAnsi="arial" w:cs="arial"/>
          <w:color w:val="000000"/>
          <w:sz w:val="20"/>
          <w:lang w:val="en-US" w:eastAsia="en-US" w:bidi="ar-SA"/>
        </w:rPr>
        <w:t xml:space="preserve">[58.]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Campbell, Gardner and Jake Consultants, and each of them,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suffered loss and damage, including but not limited to acquiring the East Teapot Property for a purchase price that was significantly in excess of its fair market value.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Remedies</w:t>
      </w:r>
      <w:r>
        <w:rPr>
          <w:rFonts w:ascii="arial" w:eastAsia="arial" w:hAnsi="arial" w:cs="arial"/>
          <w:sz w:val="20"/>
          <w:lang w:val="en-US" w:eastAsia="en-US" w:bidi="ar-SA"/>
        </w:rPr>
        <w:cr/>
      </w:r>
    </w:p>
    <w:p>
      <w:pPr>
        <w:spacing w:line="24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62.</w:t>
      </w:r>
      <w:r>
        <w:rPr>
          <w:rFonts w:ascii="arial" w:eastAsia="arial" w:hAnsi="arial" w:cs="arial"/>
          <w:color w:val="000000"/>
          <w:sz w:val="20"/>
          <w:lang w:val="en-US" w:eastAsia="en-US" w:bidi="ar-SA"/>
        </w:rPr>
        <w:t xml:space="preserve">[59.] As a result of Campbell, Gardner and the Corporate Defendants' unlawful conduct, the [Plaintiff was] </w:t>
      </w:r>
      <w:r>
        <w:rPr>
          <w:rFonts w:ascii="arial" w:eastAsia="arial" w:hAnsi="arial" w:cs="arial"/>
          <w:color w:val="000000"/>
          <w:sz w:val="20"/>
          <w:u w:val="single"/>
          <w:lang w:val="en-US" w:eastAsia="en-US" w:bidi="ar-SA"/>
        </w:rPr>
        <w:t>Plaintiffs were</w:t>
      </w:r>
      <w:r>
        <w:rPr>
          <w:rFonts w:ascii="arial" w:eastAsia="arial" w:hAnsi="arial" w:cs="arial"/>
          <w:color w:val="000000"/>
          <w:sz w:val="20"/>
          <w:lang w:val="en-US" w:eastAsia="en-US" w:bidi="ar-SA"/>
        </w:rPr>
        <w:t xml:space="preserve"> deprived of substantially the whole benefit that the parties intended that the Plaintiff should receive as consideration for entering into the East Teapot Agreement.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63.</w:t>
      </w:r>
      <w:r>
        <w:rPr>
          <w:rFonts w:ascii="arial" w:eastAsia="arial" w:hAnsi="arial" w:cs="arial"/>
          <w:color w:val="000000"/>
          <w:sz w:val="20"/>
          <w:lang w:val="en-US" w:eastAsia="en-US" w:bidi="ar-SA"/>
        </w:rPr>
        <w:t xml:space="preserve">[60.] The [Plaintiff is] </w:t>
      </w:r>
      <w:r>
        <w:rPr>
          <w:rFonts w:ascii="arial" w:eastAsia="arial" w:hAnsi="arial" w:cs="arial"/>
          <w:color w:val="000000"/>
          <w:sz w:val="20"/>
          <w:u w:val="single"/>
          <w:lang w:val="en-US" w:eastAsia="en-US" w:bidi="ar-SA"/>
        </w:rPr>
        <w:t>Plaintiffs are</w:t>
      </w:r>
      <w:r>
        <w:rPr>
          <w:rFonts w:ascii="arial" w:eastAsia="arial" w:hAnsi="arial" w:cs="arial"/>
          <w:color w:val="000000"/>
          <w:sz w:val="20"/>
          <w:lang w:val="en-US" w:eastAsia="en-US" w:bidi="ar-SA"/>
        </w:rPr>
        <w:t xml:space="preserve"> entitled to: </w:t>
      </w:r>
      <w:r>
        <w:rPr>
          <w:rFonts w:ascii="arial" w:eastAsia="arial" w:hAnsi="arial" w:cs="arial"/>
          <w:color w:val="000000"/>
          <w:sz w:val="18"/>
          <w:lang w:val="en-US" w:eastAsia="en-US" w:bidi="ar-SA"/>
        </w:rPr>
        <w:t>[Editor's note: Text in brackets is struck out in the original]</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rescinding the East Teapot Agreement;</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and expenses incurred as a result of purchasing the East Teapot Property, including, without limitation, amounts expended by the Plaintiff from May 2008 to the present related to the exploration, development and valuation of the East Teapot Property;</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the equitable tracing of the proceeds of the sale of the East Teapot; and</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proceeds of the sale of the East Teapot Property pursuant to the East Teapot Agreement are held as a constructive trust in favour of the Plaintiffs.</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64.</w:t>
      </w:r>
      <w:r>
        <w:rPr>
          <w:rFonts w:ascii="arial" w:eastAsia="arial" w:hAnsi="arial" w:cs="arial"/>
          <w:color w:val="000000"/>
          <w:sz w:val="20"/>
          <w:lang w:val="en-US" w:eastAsia="en-US" w:bidi="ar-SA"/>
        </w:rPr>
        <w:t xml:space="preserve">[61.] In the alternative, the [Plaintiff is] </w:t>
      </w:r>
      <w:r>
        <w:rPr>
          <w:rFonts w:ascii="arial" w:eastAsia="arial" w:hAnsi="arial" w:cs="arial"/>
          <w:color w:val="000000"/>
          <w:sz w:val="20"/>
          <w:u w:val="single"/>
          <w:lang w:val="en-US" w:eastAsia="en-US" w:bidi="ar-SA"/>
        </w:rPr>
        <w:t>Plaintiffs are</w:t>
      </w:r>
      <w:r>
        <w:rPr>
          <w:rFonts w:ascii="arial" w:eastAsia="arial" w:hAnsi="arial" w:cs="arial"/>
          <w:color w:val="000000"/>
          <w:sz w:val="20"/>
          <w:lang w:val="en-US" w:eastAsia="en-US" w:bidi="ar-SA"/>
        </w:rPr>
        <w:t xml:space="preserve"> entitled to an accounting and disgorgement of the profits made by each of Campbell, Gardner and the Corporate Defendants as a result of their unlawful conduct.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65.</w:t>
      </w:r>
      <w:r>
        <w:rPr>
          <w:rFonts w:ascii="arial" w:eastAsia="arial" w:hAnsi="arial" w:cs="arial"/>
          <w:color w:val="000000"/>
          <w:sz w:val="20"/>
          <w:lang w:val="en-US" w:eastAsia="en-US" w:bidi="ar-SA"/>
        </w:rPr>
        <w:t xml:space="preserve">[62.] The [Plaintiff is] </w:t>
      </w:r>
      <w:r>
        <w:rPr>
          <w:rFonts w:ascii="arial" w:eastAsia="arial" w:hAnsi="arial" w:cs="arial"/>
          <w:color w:val="000000"/>
          <w:sz w:val="20"/>
          <w:u w:val="single"/>
          <w:lang w:val="en-US" w:eastAsia="en-US" w:bidi="ar-SA"/>
        </w:rPr>
        <w:t>Plaintiffs are</w:t>
      </w:r>
      <w:r>
        <w:rPr>
          <w:rFonts w:ascii="arial" w:eastAsia="arial" w:hAnsi="arial" w:cs="arial"/>
          <w:color w:val="000000"/>
          <w:sz w:val="20"/>
          <w:lang w:val="en-US" w:eastAsia="en-US" w:bidi="ar-SA"/>
        </w:rPr>
        <w:t xml:space="preserve"> entitled to aggravated, exemplary and punitive damages payable jointly and severally by Campbell, Gardner and Jake Consultants.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66.</w:t>
      </w:r>
      <w:r>
        <w:rPr>
          <w:rFonts w:ascii="arial" w:eastAsia="arial" w:hAnsi="arial" w:cs="arial"/>
          <w:color w:val="000000"/>
          <w:sz w:val="20"/>
          <w:lang w:val="en-US" w:eastAsia="en-US" w:bidi="ar-SA"/>
        </w:rPr>
        <w:t xml:space="preserve">[63.] In the further alternative, the [Plaintiff is] </w:t>
      </w:r>
      <w:r>
        <w:rPr>
          <w:rFonts w:ascii="arial" w:eastAsia="arial" w:hAnsi="arial" w:cs="arial"/>
          <w:color w:val="000000"/>
          <w:sz w:val="20"/>
          <w:u w:val="single"/>
          <w:lang w:val="en-US" w:eastAsia="en-US" w:bidi="ar-SA"/>
        </w:rPr>
        <w:t>Plaintiffs are</w:t>
      </w:r>
      <w:r>
        <w:rPr>
          <w:rFonts w:ascii="arial" w:eastAsia="arial" w:hAnsi="arial" w:cs="arial"/>
          <w:color w:val="000000"/>
          <w:sz w:val="20"/>
          <w:lang w:val="en-US" w:eastAsia="en-US" w:bidi="ar-SA"/>
        </w:rPr>
        <w:t xml:space="preserve"> entitled to an award of damages to compensate it for the losses it suffered as a result of Campbell, Gardner and the Corporate Defendants' unlawful conduct, payable jointly and severally.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67.</w:t>
      </w:r>
      <w:r>
        <w:rPr>
          <w:rFonts w:ascii="arial" w:eastAsia="arial" w:hAnsi="arial" w:cs="arial"/>
          <w:color w:val="000000"/>
          <w:sz w:val="20"/>
          <w:lang w:val="en-US" w:eastAsia="en-US" w:bidi="ar-SA"/>
        </w:rPr>
        <w:t xml:space="preserve">[64.] The [Plaintiff relies] </w:t>
      </w:r>
      <w:r>
        <w:rPr>
          <w:rFonts w:ascii="arial" w:eastAsia="arial" w:hAnsi="arial" w:cs="arial"/>
          <w:color w:val="000000"/>
          <w:sz w:val="20"/>
          <w:u w:val="single"/>
          <w:lang w:val="en-US" w:eastAsia="en-US" w:bidi="ar-SA"/>
        </w:rPr>
        <w:t>Plaintiff rely</w:t>
      </w:r>
      <w:r>
        <w:rPr>
          <w:rFonts w:ascii="arial" w:eastAsia="arial" w:hAnsi="arial" w:cs="arial"/>
          <w:color w:val="000000"/>
          <w:sz w:val="20"/>
          <w:lang w:val="en-US" w:eastAsia="en-US" w:bidi="ar-SA"/>
        </w:rPr>
        <w:t xml:space="preserve"> Plaintiffs rely on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CLAIMS AGAINST THE OUTSIDE DIRECTOR DEFENDANTS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Fiduciary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68.</w:t>
      </w:r>
      <w:r>
        <w:rPr>
          <w:rFonts w:ascii="arial" w:eastAsia="arial" w:hAnsi="arial" w:cs="arial"/>
          <w:color w:val="000000"/>
          <w:sz w:val="20"/>
          <w:lang w:val="en-US" w:eastAsia="en-US" w:bidi="ar-SA"/>
        </w:rPr>
        <w:t xml:space="preserve">[65.]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At all material times, each of the Outside Director Defendants owed common law and statutory fiduciary duties to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to act honestly and in the utmost good faith, with a view to the best interests of the company.</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69.</w:t>
      </w:r>
      <w:r>
        <w:rPr>
          <w:rFonts w:ascii="arial" w:eastAsia="arial" w:hAnsi="arial" w:cs="arial"/>
          <w:color w:val="000000"/>
          <w:sz w:val="20"/>
          <w:lang w:val="en-US" w:eastAsia="en-US" w:bidi="ar-SA"/>
        </w:rPr>
        <w:t xml:space="preserve">[66.] The [Plaintiff pleads] </w:t>
      </w:r>
      <w:r>
        <w:rPr>
          <w:rFonts w:ascii="arial" w:eastAsia="arial" w:hAnsi="arial" w:cs="arial"/>
          <w:color w:val="000000"/>
          <w:sz w:val="20"/>
          <w:u w:val="single"/>
          <w:lang w:val="en-US" w:eastAsia="en-US" w:bidi="ar-SA"/>
        </w:rPr>
        <w:t>Plaintiffs plead</w:t>
      </w:r>
      <w:r>
        <w:rPr>
          <w:rFonts w:ascii="arial" w:eastAsia="arial" w:hAnsi="arial" w:cs="arial"/>
          <w:color w:val="000000"/>
          <w:sz w:val="20"/>
          <w:lang w:val="en-US" w:eastAsia="en-US" w:bidi="ar-SA"/>
        </w:rPr>
        <w:t xml:space="preserve"> and [relies] </w:t>
      </w:r>
      <w:r>
        <w:rPr>
          <w:rFonts w:ascii="arial" w:eastAsia="arial" w:hAnsi="arial" w:cs="arial"/>
          <w:color w:val="000000"/>
          <w:sz w:val="20"/>
          <w:u w:val="single"/>
          <w:lang w:val="en-US" w:eastAsia="en-US" w:bidi="ar-SA"/>
        </w:rPr>
        <w:t>rely</w:t>
      </w:r>
      <w:r>
        <w:rPr>
          <w:rFonts w:ascii="arial" w:eastAsia="arial" w:hAnsi="arial" w:cs="arial"/>
          <w:color w:val="000000"/>
          <w:sz w:val="20"/>
          <w:lang w:val="en-US" w:eastAsia="en-US" w:bidi="ar-SA"/>
        </w:rPr>
        <w:t xml:space="preserve"> on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70.</w:t>
      </w:r>
      <w:r>
        <w:rPr>
          <w:rFonts w:ascii="arial" w:eastAsia="arial" w:hAnsi="arial" w:cs="arial"/>
          <w:color w:val="000000"/>
          <w:sz w:val="20"/>
          <w:lang w:val="en-US" w:eastAsia="en-US" w:bidi="ar-SA"/>
        </w:rPr>
        <w:t>[67.] In authorizing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to enter into the East Teapot Agreement, the Outside Director Defendants each breached their fiduciary duties to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In particular, each of the Outside Director Defendants knew, or ought to have known, that the value of the East Teapot Property was significantly overstated.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71.</w:t>
      </w:r>
      <w:r>
        <w:rPr>
          <w:rFonts w:ascii="arial" w:eastAsia="arial" w:hAnsi="arial" w:cs="arial"/>
          <w:color w:val="000000"/>
          <w:sz w:val="20"/>
          <w:lang w:val="en-US" w:eastAsia="en-US" w:bidi="ar-SA"/>
        </w:rPr>
        <w:t xml:space="preserve">[68.]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In the alternative, the Outside Director Defendants, and each of them, were negligent in approving the East Teapot Agreement without taking reasonable care to determine the fair market value of the East Teapot Property, which included but not limited to, relying on the Jake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72.</w:t>
      </w:r>
      <w:r>
        <w:rPr>
          <w:rFonts w:ascii="arial" w:eastAsia="arial" w:hAnsi="arial" w:cs="arial"/>
          <w:color w:val="000000"/>
          <w:sz w:val="20"/>
          <w:lang w:val="en-US" w:eastAsia="en-US" w:bidi="ar-SA"/>
        </w:rPr>
        <w:t xml:space="preserve">[69.]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Outside Director Defendants, the Plaintiffs suffered loss and damage, including but not limited to acquiring the East Teapot Property for a purchase price that was significantly in excess of its fair market value.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Remedies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73.</w:t>
      </w:r>
      <w:r>
        <w:rPr>
          <w:rFonts w:ascii="arial" w:eastAsia="arial" w:hAnsi="arial" w:cs="arial"/>
          <w:color w:val="000000"/>
          <w:sz w:val="20"/>
          <w:lang w:val="en-US" w:eastAsia="en-US" w:bidi="ar-SA"/>
        </w:rPr>
        <w:t xml:space="preserve">[70.] The [Plaintiff is] </w:t>
      </w:r>
      <w:r>
        <w:rPr>
          <w:rFonts w:ascii="arial" w:eastAsia="arial" w:hAnsi="arial" w:cs="arial"/>
          <w:color w:val="000000"/>
          <w:sz w:val="20"/>
          <w:u w:val="single"/>
          <w:lang w:val="en-US" w:eastAsia="en-US" w:bidi="ar-SA"/>
        </w:rPr>
        <w:t>Plaintiffs are</w:t>
      </w:r>
      <w:r>
        <w:rPr>
          <w:rFonts w:ascii="arial" w:eastAsia="arial" w:hAnsi="arial" w:cs="arial"/>
          <w:color w:val="000000"/>
          <w:sz w:val="20"/>
          <w:lang w:val="en-US" w:eastAsia="en-US" w:bidi="ar-SA"/>
        </w:rPr>
        <w:t xml:space="preserve"> entitled to an award of damages to compensate it for the losses it suffered as a result of the Outside Director Defendants' unlawful conduct, payable jointly and severally.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address for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Gall Legge Grant Munroe LLP</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Suite 1100 - 1099 West Hastings Street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 V6E 3T5</w:t>
      </w:r>
    </w:p>
    <w:p>
      <w:pPr>
        <w:spacing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Attention: John A. Legge/[Jillian E. Frank] </w:t>
      </w:r>
      <w:r>
        <w:rPr>
          <w:rFonts w:ascii="arial" w:eastAsia="arial" w:hAnsi="arial" w:cs="arial"/>
          <w:color w:val="000000"/>
          <w:sz w:val="18"/>
          <w:lang w:val="en-US" w:eastAsia="en-US" w:bidi="ar-SA"/>
        </w:rPr>
        <w:t>[Editor's note: Text in brackets</w:t>
      </w:r>
    </w:p>
    <w:p>
      <w:pPr>
        <w:spacing w:before="120" w:line="240" w:lineRule="atLeast"/>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Fax number for service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E-mail address for service (if any): [jfrank]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jlegge</w:t>
      </w:r>
      <w:r>
        <w:rPr>
          <w:rFonts w:ascii="arial" w:eastAsia="arial" w:hAnsi="arial" w:cs="arial"/>
          <w:color w:val="000000"/>
          <w:sz w:val="20"/>
          <w:lang w:val="en-US" w:eastAsia="en-US" w:bidi="ar-SA"/>
        </w:rPr>
        <w:t>@glgmlaw.com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Place of trial: Vancouver.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address of the registry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800 Smithe Street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V6Z 2E1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Date: [February 24, 2014]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January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John A. Legge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Lawyers for the Plaintiff</w:t>
      </w:r>
      <w:r>
        <w:rPr>
          <w:rFonts w:ascii="arial" w:eastAsia="arial" w:hAnsi="arial" w:cs="arial"/>
          <w:color w:val="000000"/>
          <w:sz w:val="20"/>
          <w:u w:val="single"/>
          <w:lang w:val="en-US" w:eastAsia="en-US" w:bidi="ar-SA"/>
        </w:rPr>
        <w: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7-1 (1) of the Supreme Court Civil Rules states:</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all parties of record consent or the court otherwise orders, each party of record to an action must, within 35 days after the end of the pleading period,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a list of documents in Form 22 that lists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that are or have been in the party's possession or control and that could, if available, be used by any party at trial to prove or disprove a material fact, and</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documents to which the party intends to refer at trial, and</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the list on all parties of record.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ENDORSEMENT ON ORIGINATING PLEADING FOR SERVICE OUTSIDE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The Plaintiffs, SunOil Ltd. and Stealth Energy USA, Inc., claim the right to serve this pleading on the Defendants Big Snowy Resources. L.P., Antelope Resources. Inc., Bouda LL.C. Crazy Mountain Group LLC, Western Sun Exploration, Inc., Jake Oil &amp; Gas Consultants LLC and Brian Smith on the grounds that the proceeding concern contractual obligations that, to a substantial extent, were to be performed in British Columbia: restitutionarv obligations that, to a substantial extent, arose in British Columbia: torts committed in British Columbia: and a business carried on in British Columbia, pursuant to sections 10(e), (f), (g) and (h) of the </w:t>
      </w:r>
      <w:r>
        <w:rPr>
          <w:rFonts w:ascii="arial" w:eastAsia="arial" w:hAnsi="arial" w:cs="arial"/>
          <w:i/>
          <w:color w:val="000000"/>
          <w:sz w:val="20"/>
          <w:u w:val="single"/>
          <w:lang w:val="en-US" w:eastAsia="en-US" w:bidi="ar-SA"/>
        </w:rPr>
        <w:t>Court Jurisdiction and Proceedings Transfer Act</w:t>
      </w:r>
      <w:r>
        <w:rPr>
          <w:rFonts w:ascii="arial" w:eastAsia="arial" w:hAnsi="arial" w:cs="arial"/>
          <w:color w:val="000000"/>
          <w:sz w:val="20"/>
          <w:u w:val="single"/>
          <w:lang w:val="en-US" w:eastAsia="en-US" w:bidi="ar-SA"/>
        </w:rPr>
        <w:t>, on which the Plaintiffs rely.</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 DATA 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1:</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CONCISE SUMMARY OF NATURE OF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plead that the Defendants have caused them injury, loss and damage by way of the Defendants' deceit: fraudulent misrepresentation; unilateral mistake; breach of fiduciary duty; civil conspiracy;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2:</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THIS CLAIM ARISES FROM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personal injury arising out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a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medical malpractice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another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dispute concerning: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contaminated sites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construction defects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real property (real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personal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the provision of goods or services or other general commercial matters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investments losses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the lending of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an employment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a will or other issues concerning the probate of an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[X]a matter not listed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3:</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THIS CLAIM INVOLVES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a class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maritime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aboriginal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constitutional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[XJ conflict of laws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none of the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do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Plaintiff pleads and relies on the </w:t>
      </w:r>
      <w:r>
        <w:rPr>
          <w:rFonts w:ascii="arial" w:eastAsia="arial" w:hAnsi="arial" w:cs="arial"/>
          <w:i/>
          <w:color w:val="000000"/>
          <w:sz w:val="20"/>
          <w:lang w:val="en-US" w:eastAsia="en-US" w:bidi="ar-SA"/>
        </w:rPr>
        <w:t>Court Order Interest Act, Business Corporations Act and the Law and Equity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 w:history="1">
        <w:r>
          <w:rPr>
            <w:rFonts w:ascii="arial" w:eastAsia="arial" w:hAnsi="arial" w:cs="arial"/>
            <w:b/>
            <w:bCs/>
            <w:i/>
            <w:color w:val="0077CC"/>
            <w:kern w:val="32"/>
            <w:sz w:val="28"/>
            <w:szCs w:val="32"/>
            <w:u w:val="single"/>
            <w:shd w:val="clear" w:color="auto" w:fill="FFFFFF"/>
            <w:lang w:val="en-US" w:eastAsia="en-US" w:bidi="ar-SA"/>
          </w:rPr>
          <w:t>Wilde v. Cambie Malone Corp., [2008] B.C.J. No. 1013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Martinson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S055365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1013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704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168 A.C.W.S. (3d) 213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Krysta Wilde, Plaintiff, and The Cambie Malone Corporation, Malone's Restaurant (Kitsilano) Ltd., City of Vancouver, S K &amp; W Investment Co. Ltd. and W. Hanley &amp; Company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 w:name="Keywords_2"/>
      <w:bookmarkEnd w:id="20"/>
      <w:r>
        <w:rPr>
          <w:rFonts w:ascii="arial" w:eastAsia="arial" w:hAnsi="arial" w:cs="arial"/>
          <w:b/>
          <w:color w:val="000000"/>
          <w:sz w:val="20"/>
          <w:lang w:val="en-US" w:eastAsia="en-US" w:bidi="ar-SA"/>
        </w:rPr>
        <w:t>Tort law — Occupiers' liability — Duty of occupier — To invitees — Legislation — Action by plaintiff for damages suffered while struck in head with umbrella on defendant's restaurant patio allowed — Plaintiff sitting on patio with friends, with back to umbrella — Friend saw wind lift umbrella and pole straight up — Umbrella then fell on plaintiff's head, causing injury — Under Occupiers' Liability Act, defendant had duty to take reasonable care to make premises safe — Proper inspection of umbrellas would have taken little effort and expense and would have insured umbrella could not lift in wind — Not ensuring umbrellas were properly attached was a foreseeable risk.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 w:name="Case Summary_2"/>
            <w:bookmarkEnd w:id="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suffered when she was struck in the head with an umbrella while sitting on the defendant's restaurant patio. This was a trial of liability only. The defendant's practice was to leave lower poles attached and set up umbrellas each morning. The defendant claimed to have a safety checklist to ensure the umbrellas had been properly secured. The plaintiff and two friends were sitting on the patio and the plaintiff was seated with an umbrella immediately behind her. The plaintiff's friend saw the entire incident and testified that a gust of wind lifted the entire umbrella and pole straight up and the umbrella then crashed onto the plaintiff's head. The plaintiff brought her action under s. 3(1) of the Occupiers' Liability 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 w:name="Holdings of Court_2"/>
            <w:bookmarkEnd w:id="22"/>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Under the Act, the defendant had a duty to take reasonable care to ensure its premises were safe. As the plaintiff was a patron on the premises, the defendant owed her a duty of care. The incident occurred on a sunny day with gusts of wind, though not exceptionally strong gusts. If the lower pole of the umbrella had been properly screwed in, the pole should not have moved. If the cotter pin had been set, the umbrella could not have lifted in the wind. There was no evidence that the umbrella had broken. The defendant claimed to have a safety checklist but was unable to produce one for the day in question and could not say with certainty whether the umbrella poles had been checked that day. Not ensuring the umbrellas were properly secured was a foreseeable risk and the advertising space and shade provided by the umbrellas did not support such a risk. Proper inspection would have taken little effort and cost.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 w:name="Legislation Cited_1"/>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 RSBC 1996, CHAPTER 33, s. 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 w:name="Counsel_2"/>
      <w:bookmarkEnd w:id="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R.D. Bellamy.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Malone Defendants: C.R. Thomson.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 w:name="Judgment_2"/>
      <w:bookmarkEnd w:id="25"/>
      <w:r>
        <w:pict>
          <v:line id="_x0000_s1042"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 w:name="D.J. MARTINSON J. (orally)"/>
            <w:bookmarkEnd w:id="26"/>
            <w:r>
              <w:rPr>
                <w:rFonts w:ascii="arial" w:eastAsia="arial" w:hAnsi="arial" w:cs="arial"/>
                <w:b/>
                <w:color w:val="000000"/>
                <w:sz w:val="30"/>
                <w:lang w:val="en-US" w:eastAsia="en-US" w:bidi="ar-SA"/>
              </w:rPr>
              <w:t>D.J. MARTINSON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Cambie Malone Corporation and Malone's Restaurant (Kitsilano) Ltd. ("Malones") operate a restaurant in the Kitsilano neighbourhood of Vancouver at 2210 Cornwall Avenue, directly across from Kitsilano Beach. On April 19, 2005, Ms. Wilde was struck in the head by a wind blown patio umbrella. At issue is whether Malones are liable for Ms. Wilde's injuries. She claims damages based on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alternatively,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matter proceeded as a summary trial, based on affidavit evidence; only liability was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will give my decision in this way. First, I will set out the background facts. Next, I will summarize the arguments made on behalf of Ms. Wilde, and Malones. After that, I will summarize the legal principles that apply. Finally, I will apply those principles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restaurant operated by Malones has an outdoor patio, approximately 60 feet long by 10 feet wide. Around the perimeter of the deck are five patio umbrellas provided by a beverage supplier, Labatt Breweries. Umbrellas have been used on the patio since 1994 during the months of April to October. New umbrellas are used on the patio every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umbrellas have a diameter of four to six feet and weigh two to three pounds. There are four parts to the umbrellas: canvas awning, frame, upper pole and lower pole. The upper and lower poles are joined by one of two methods: the cotter pin method (spring mounted button on the upper pole snaps into a hole in the metal receiving sleeve on the lower pole) and the screw method (upper pole screws into the receiving sleeve in the lower pole).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lower poles are fixed to the exterior deck by passing the lower pole through a bracket bolted to posts on the perimeter of the deck. Each of the post-mounted brackets is equipped with a threaded set screw. The screw goes through the bracket at 90 degrees to the lower pole and is tightened so as to fix the circular lower pole in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If the cotter pin method is properly set then it cannot rotate in the wind; the screw method can rotate in the wind.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Malones' practice is to leave the lower poles outside screwed into the bracket overnight. The upper poles, together with the frames and awnings, are removed at the close of each business day and set up again in the morning. Putting up all of the umbrellas is a simple procedure that takes approximately ten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Malones had no policy as to setting out or taking down the umbrellas during high winds.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Wilde was injured on April 19, 2005, a sunny day with gusts of wind. Ms. Wilde went to Kitsilano Beach with two friends, Melodie Davis and Melinda Cart. After a short walk, they went to the premises of Malones for a drink and after a wait inside, they were seated at table 109 on the deck. Ms. Wilde was seated by the perimeter rail with a patio umbrella immediately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Ms. Wilde was at the restaurant, the patio umbrella was picked up by the wind and struck Ms. Wilde in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Wilde suggests that the entire umbrella went up and then landed on her head. Malones suggest that there is no evidence with respect to whether both sections of the umbrella somehow came out of the bracket or whether only the top portion of the umbrella came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Malones say that there has never been a previous incident when an umbrella was lifted by the wind, Ms. Wilde says that a patio umbrella was similarly lifted by the wind in August 2005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umbrella hit Ms. Wilde, she appeared to be in pain and complained of a headache. Her evidence is that she has been unable to work since being hit by the umbrella because of her injuries, which include constant headaches, daily dizzy spells, inability to concentrate and sleeping for long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Wilde seeks a declaration that Malones breached their duty of care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Ms. Wilde argues that under s. 3(1)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Malones had a duty to her to take such care as was reasonable in all the circumstances to ensure that she would be reasonably safe in using Malones' premises. Alternatively, Malones owed a common law duty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Ms. Wilde as she was a customer sitting on their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standard of care is an objective standard that is not one of perfection, but of reasonableness. Ms. Wilde submits that a reasonableness standard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consideration of the probability that an accident will occur, the potential loss that may occur, the object or social utility of Malones' acts, and the cost of taking remedial steps to prevent an accident. As the potential for harm increases, the duty demanded of the reasonable person to guard against improbable events increases. Consideration is also given to the social utility of the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argues that a number of things should be considered in determining the standard of care required in the circumstances of an operator of a bar near the ocean in Vancouver on a windy day in April. With respect to probability, the umbrellas weighed two to three pounds, were circular, and covered a relatively large area. Therefore, if not properly secured, the wind will lift them up and blow them away. The wind on the date in question was neither particularly severe nor unusual and occupiers are liable for winds that can be reasonably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Ms. Wilde states that "there is no explanation for what happened other than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either that the defendant ought not to have put the umbrellas out on a windy day or had they chosen to do so they ought to offer evidence which shows a reasonable practice of inspection on windy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She argues that Malones were negligent in having no regard to the velocity of the wind in deciding whether or not to set out the patio umbrellas. Occupiers are liable for winds that can be reasonably expected: </w:t>
      </w:r>
      <w:r>
        <w:rPr>
          <w:rFonts w:ascii="arial" w:eastAsia="arial" w:hAnsi="arial" w:cs="arial"/>
          <w:b/>
          <w:i/>
          <w:color w:val="000000"/>
          <w:sz w:val="20"/>
          <w:lang w:val="en-US" w:eastAsia="en-US" w:bidi="ar-SA"/>
        </w:rPr>
        <w:t>Legacy v. Chaleur Country Club Ltd.</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(1974), 9 N.B.R. (2d) 8</w:t>
        </w:r>
      </w:hyperlink>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53 D.L.R. (3d) 725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Ms. Wilde relies on </w:t>
      </w:r>
      <w:r>
        <w:rPr>
          <w:rFonts w:ascii="arial" w:eastAsia="arial" w:hAnsi="arial" w:cs="arial"/>
          <w:b/>
          <w:i/>
          <w:color w:val="000000"/>
          <w:sz w:val="20"/>
          <w:lang w:val="en-US" w:eastAsia="en-US" w:bidi="ar-SA"/>
        </w:rPr>
        <w:t>Goodhew v. Twin Hut Corp.</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[2006] O.J. No. 912</w:t>
        </w:r>
      </w:hyperlink>
      <w:r>
        <w:rPr>
          <w:rFonts w:ascii="arial" w:eastAsia="arial" w:hAnsi="arial" w:cs="arial"/>
          <w:color w:val="000000"/>
          <w:sz w:val="20"/>
          <w:lang w:val="en-US" w:eastAsia="en-US" w:bidi="ar-SA"/>
        </w:rPr>
        <w:t xml:space="preserve"> (Sup. Ct. J.) (QL), where the court found in relation to a sign blown down that the defendant did not meet the standard of care because "although the signs used by the corporation are probably state-of-the-art marketing, in terms of safety they represent a calculated risk." The defendant in </w:t>
      </w:r>
      <w:r>
        <w:rPr>
          <w:rFonts w:ascii="arial" w:eastAsia="arial" w:hAnsi="arial" w:cs="arial"/>
          <w:b/>
          <w:i/>
          <w:color w:val="000000"/>
          <w:sz w:val="20"/>
          <w:lang w:val="en-US" w:eastAsia="en-US" w:bidi="ar-SA"/>
        </w:rPr>
        <w:t>Goodhew</w:t>
      </w:r>
      <w:r>
        <w:rPr>
          <w:rFonts w:ascii="arial" w:eastAsia="arial" w:hAnsi="arial" w:cs="arial"/>
          <w:color w:val="000000"/>
          <w:sz w:val="20"/>
          <w:lang w:val="en-US" w:eastAsia="en-US" w:bidi="ar-SA"/>
        </w:rPr>
        <w:t xml:space="preserve"> had previously had its signs blown down by the wind.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says that the potential for harm if an umbrella is lifted out of its bracket is increased because of the number of people accommodated in a relatively small area. In this case, the umbrellas provided no element of social utility that would warrant exposure to a foreseeable risk of harm. Finally, the cost of taking precautionary measures is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Wilde submits that a system of inspection can be evidence of taking reasonable care and that failure to follow a system once established is evidence of a breach of the standard of care. In this case, Malones have not produced a daily checklist, do not know when the deck was inspected, and cannot say if the umbrellas were checked when set up on a windy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Accordingly, Malones did nothing to safeguard against a foreseeable risk of harm to a large group of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Malones'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Malones submit that Ms. Wilde has provided no evidence as to why or how this incident occurred. Malones deny that they breached the duty of care imposed by s.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or that they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Malones point out that the standard of care is one of reasonableness, not of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onus of proof is on Ms. Wilde. Malones say the fact that an accident occurred on Malones' premises does not shift the onus of proof, nor lay any evidentiary burden at the feet of the occupier. Ms. Wilde must still be able to establish that her injury was caused by some act (or failure to act) on the part of Malones and Malones submit that Ms. Wilde has not done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Malones say it took a number of steps to see that Ms. Wilde would be reasonably safe in using the premises. I will review those steps in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Malones say that there was a system of inspection/checklist in place and it was followed. I will also review that system in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says that all reasonable care was taken to see that Ms. Wilde would be reasonably safe in using the patio on the day of the accident. Further, Ms. Wilde has not proven that their failure to take reasonable care was the 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apply, then Ms. Wilde must prove that Malones were negligent and that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Malones submits that there is no evidence that the wind was of such a type or velocity that it should have been obvious that umbrellas should not have been used on the patio. Given the precautions, the method of affixation of the umbrellas, the type of umbrellas, the type of day it was, and the long history of prior safe use, Malones submit that the use of the umbrellas did not create an unreasonable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respect to the authorities cited by Ms. Wilde, Malones submit that they either support the position of Malones or are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goals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are to promote, and indeed, require where circumstances warrant, positive action on the part of occupiers to make their premises reasonably safe: </w:t>
      </w:r>
      <w:r>
        <w:rPr>
          <w:rFonts w:ascii="arial" w:eastAsia="arial" w:hAnsi="arial" w:cs="arial"/>
          <w:b/>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xml:space="preserve"> at 477.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duty of care imposed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to take reasonable care in the circumstances to make the premises safe. That duty does not change, but the factors which are relevant to an assessment of what constitutes reasonable care will necessarily be very specific to each fact situation -- thus the proviso "such care as in all circumstances of the case is reasonable": </w:t>
      </w:r>
      <w:r>
        <w:rPr>
          <w:rFonts w:ascii="arial" w:eastAsia="arial" w:hAnsi="arial" w:cs="arial"/>
          <w:b/>
          <w:i/>
          <w:color w:val="000000"/>
          <w:sz w:val="20"/>
          <w:lang w:val="en-US" w:eastAsia="en-US" w:bidi="ar-SA"/>
        </w:rPr>
        <w:t>Waldick</w:t>
      </w:r>
      <w:r>
        <w:rPr>
          <w:rFonts w:ascii="arial" w:eastAsia="arial" w:hAnsi="arial" w:cs="arial"/>
          <w:color w:val="000000"/>
          <w:sz w:val="20"/>
          <w:lang w:val="en-US" w:eastAsia="en-US" w:bidi="ar-SA"/>
        </w:rPr>
        <w:t xml:space="preserve"> at 472.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impose a duty on Malones to take reasonable care to insure that persons using the premises will be absolutely safe. The standard is reasonableness: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Dyke v. British Columbia Amateur Softball Assn.</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2008 BCCA 3</w:t>
        </w:r>
      </w:hyperlink>
      <w:r>
        <w:rPr>
          <w:rFonts w:ascii="arial" w:eastAsia="arial" w:hAnsi="arial" w:cs="arial"/>
          <w:color w:val="000000"/>
          <w:sz w:val="20"/>
          <w:lang w:val="en-US" w:eastAsia="en-US" w:bidi="ar-SA"/>
        </w:rPr>
        <w:t xml:space="preserve"> at para. 19. Occupiers are not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care that must be taken by an occupier differs according to the nature and use of the premises: </w:t>
      </w:r>
      <w:r>
        <w:rPr>
          <w:rFonts w:ascii="arial" w:eastAsia="arial" w:hAnsi="arial" w:cs="arial"/>
          <w:b/>
          <w:i/>
          <w:color w:val="000000"/>
          <w:sz w:val="20"/>
          <w:lang w:val="en-US" w:eastAsia="en-US" w:bidi="ar-SA"/>
        </w:rPr>
        <w:t>Atkins v. Jim Pattison Industries Ltd. (c.o.b. Save-on-Foods and Drugs)</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(1998), 61 B.C.L.R. (3d) 183</w:t>
        </w:r>
      </w:hyperlink>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146 B.C.A.C. 83</w:t>
        </w:r>
      </w:hyperlink>
      <w:r>
        <w:rPr>
          <w:rFonts w:ascii="arial" w:eastAsia="arial" w:hAnsi="arial" w:cs="arial"/>
          <w:color w:val="000000"/>
          <w:sz w:val="20"/>
          <w:lang w:val="en-US" w:eastAsia="en-US" w:bidi="ar-SA"/>
        </w:rPr>
        <w:t xml:space="preserve"> at para. 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There is no dispute that the onus is on Ms. Wilde to prove on the balance of probabilities that Malones breached this duty of care: </w:t>
      </w:r>
      <w:r>
        <w:rPr>
          <w:rFonts w:ascii="arial" w:eastAsia="arial" w:hAnsi="arial" w:cs="arial"/>
          <w:b/>
          <w:i/>
          <w:color w:val="000000"/>
          <w:sz w:val="20"/>
          <w:lang w:val="en-US" w:eastAsia="en-US" w:bidi="ar-SA"/>
        </w:rPr>
        <w:t>Kayser v. Park Royal Shopping Centre Ltd.</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(1995), 16 B.C.L.R. (3d) 330</w:t>
        </w:r>
      </w:hyperlink>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67 B.C.A.C. 275</w:t>
        </w:r>
      </w:hyperlink>
      <w:r>
        <w:rPr>
          <w:rFonts w:ascii="arial" w:eastAsia="arial" w:hAnsi="arial" w:cs="arial"/>
          <w:color w:val="000000"/>
          <w:sz w:val="20"/>
          <w:lang w:val="en-US" w:eastAsia="en-US" w:bidi="ar-SA"/>
        </w:rPr>
        <w:t xml:space="preserve"> (C.A.). As the fact that she was injured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Ms. Wilde must be able to point to some act or failure to act on the part of the defendant which resulted in her injury: </w:t>
      </w:r>
      <w:r>
        <w:rPr>
          <w:rFonts w:ascii="arial" w:eastAsia="arial" w:hAnsi="arial" w:cs="arial"/>
          <w:b/>
          <w:i/>
          <w:color w:val="000000"/>
          <w:sz w:val="20"/>
          <w:lang w:val="en-US" w:eastAsia="en-US" w:bidi="ar-SA"/>
        </w:rPr>
        <w:t>Bauman v. Stein</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 This act or failure to act must be a breach of the defendants' positive duty to take reasonable care to ensure that she was reasonably safe while she was using the premises: </w:t>
      </w:r>
      <w:r>
        <w:rPr>
          <w:rFonts w:ascii="arial" w:eastAsia="arial" w:hAnsi="arial" w:cs="arial"/>
          <w:b/>
          <w:i/>
          <w:color w:val="000000"/>
          <w:sz w:val="20"/>
          <w:lang w:val="en-US" w:eastAsia="en-US" w:bidi="ar-SA"/>
        </w:rPr>
        <w:t>Waldick</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Bains v. Hill</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(1989), 93 D.L.R. (4th) 117</w:t>
        </w:r>
      </w:hyperlink>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68 B.C.L.R. (2d) 193</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Weiss v. The Young Men's Christian Association of Greater Vancouver</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 Further, there is no dispute that this duty of care does not extend so far as to require Malones to remove every possibility of danger: </w:t>
      </w:r>
      <w:r>
        <w:rPr>
          <w:rFonts w:ascii="arial" w:eastAsia="arial" w:hAnsi="arial" w:cs="arial"/>
          <w:b/>
          <w:i/>
          <w:color w:val="000000"/>
          <w:sz w:val="20"/>
          <w:lang w:val="en-US" w:eastAsia="en-US" w:bidi="ar-SA"/>
        </w:rPr>
        <w:t>Gerak v. British Columbia (Minister of the Department of Lands, Parks and Housing)</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(1984), 59 B.C.L.R. 273</w:t>
        </w:r>
      </w:hyperlink>
      <w:r>
        <w:rPr>
          <w:rFonts w:ascii="arial" w:eastAsia="arial" w:hAnsi="arial" w:cs="arial"/>
          <w:color w:val="000000"/>
          <w:sz w:val="20"/>
          <w:lang w:val="en-US" w:eastAsia="en-US" w:bidi="ar-SA"/>
        </w:rPr>
        <w:t xml:space="preserve"> (C.A.). The test is one of reasonableness, not perfection: </w:t>
      </w:r>
      <w:r>
        <w:rPr>
          <w:rFonts w:ascii="arial" w:eastAsia="arial" w:hAnsi="arial" w:cs="arial"/>
          <w:b/>
          <w:i/>
          <w:color w:val="000000"/>
          <w:sz w:val="20"/>
          <w:lang w:val="en-US" w:eastAsia="en-US" w:bidi="ar-SA"/>
        </w:rPr>
        <w:t>Carlson v. Canada Safeway</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 The above principles are set out in </w:t>
      </w:r>
      <w:r>
        <w:rPr>
          <w:rFonts w:ascii="arial" w:eastAsia="arial" w:hAnsi="arial" w:cs="arial"/>
          <w:b/>
          <w:i/>
          <w:color w:val="000000"/>
          <w:sz w:val="20"/>
          <w:lang w:val="en-US" w:eastAsia="en-US" w:bidi="ar-SA"/>
        </w:rPr>
        <w:t>Thuveson v. Robert H. Ash &amp; Associates</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[1997] B.C.J. No. 1177</w:t>
        </w:r>
      </w:hyperlink>
      <w:r>
        <w:rPr>
          <w:rFonts w:ascii="arial" w:eastAsia="arial" w:hAnsi="arial" w:cs="arial"/>
          <w:color w:val="000000"/>
          <w:sz w:val="20"/>
          <w:lang w:val="en-US" w:eastAsia="en-US" w:bidi="ar-SA"/>
        </w:rPr>
        <w:t xml:space="preserve"> (S.C.) (QL) at paras.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 reasonableness standard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consideration of the probability that an accident will happen, the potential loss that may occur, the object or social utility of the occupier's acts and the costs of taking reasonable remedial steps to prevent an accident. With respect to the probability of harm, as the potential for harm increases the duty demanded of the reasonable person to guard against improbable events increases: Allen M. Linden, </w:t>
      </w:r>
      <w:r>
        <w:rPr>
          <w:rFonts w:ascii="arial" w:eastAsia="arial" w:hAnsi="arial" w:cs="arial"/>
          <w:b/>
          <w:i/>
          <w:color w:val="000000"/>
          <w:sz w:val="20"/>
          <w:lang w:val="en-US" w:eastAsia="en-US" w:bidi="ar-SA"/>
        </w:rPr>
        <w:t>Canadian Tort Law</w:t>
      </w:r>
      <w:r>
        <w:rPr>
          <w:rFonts w:ascii="arial" w:eastAsia="arial" w:hAnsi="arial" w:cs="arial"/>
          <w:color w:val="000000"/>
          <w:sz w:val="20"/>
          <w:lang w:val="en-US" w:eastAsia="en-US" w:bidi="ar-SA"/>
        </w:rPr>
        <w:t>, 7th ed. (Markham, Ont.: Butterworths, 2001) at 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cases involving circumstantial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issue is whether, after weighing the whole of the direct and circumstantial evidence, Ms. Wilde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Malones, and that inference has not been negated by Malones' evidence. The legal burden of proof, of course, remains on Ms. Wilde throughout: </w:t>
      </w:r>
      <w:r>
        <w:rPr>
          <w:rFonts w:ascii="arial" w:eastAsia="arial" w:hAnsi="arial" w:cs="arial"/>
          <w:b/>
          <w:i/>
          <w:color w:val="000000"/>
          <w:sz w:val="20"/>
          <w:lang w:val="en-US" w:eastAsia="en-US" w:bidi="ar-SA"/>
        </w:rPr>
        <w:t>Redman v. Saanich (District)</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2006 BCCA 376</w:t>
        </w:r>
      </w:hyperlink>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56 B.C.L.R. (4th) 215</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Once Ms. Wilde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must not only show that they had a plan in place, but they must also call some evidence showing that the plan was followed: </w:t>
      </w:r>
      <w:r>
        <w:rPr>
          <w:rFonts w:ascii="arial" w:eastAsia="arial" w:hAnsi="arial" w:cs="arial"/>
          <w:b/>
          <w:i/>
          <w:color w:val="000000"/>
          <w:sz w:val="20"/>
          <w:lang w:val="en-US" w:eastAsia="en-US" w:bidi="ar-SA"/>
        </w:rPr>
        <w:t>Atkins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Finally, even if Malones have breached their duty to take reasonable care to ensure the premises were reasonably safe, in order to be held liable, Ms. Wilde must also prove that the unsafe condition caused the accident: </w:t>
      </w:r>
      <w:r>
        <w:rPr>
          <w:rFonts w:ascii="arial" w:eastAsia="arial" w:hAnsi="arial" w:cs="arial"/>
          <w:b/>
          <w:i/>
          <w:color w:val="000000"/>
          <w:sz w:val="20"/>
          <w:lang w:val="en-US" w:eastAsia="en-US" w:bidi="ar-SA"/>
        </w:rPr>
        <w:t>Keraiff v. Grunerud</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(1990), 67 D.L.R. (4th) 475</w:t>
        </w:r>
      </w:hyperlink>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43 B.C.L.R. (2d) 228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this case, Ms. Wilde has plead in the alternative, that Malones are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conduct is defined in </w:t>
      </w:r>
      <w:r>
        <w:rPr>
          <w:rFonts w:ascii="arial" w:eastAsia="arial" w:hAnsi="arial" w:cs="arial"/>
          <w:b/>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Malones were occupiers within the meaning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owed a duty of care to Ms. Wilde. Alternatively, a relationship of proximity existed between the parties such that it was reasonably foreseeable that a careless act by Malones could result in an injury to Ms. Wilde.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Breach of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real question is whether that duty of care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requires a consideration of the direct and circumstantial evidence that is before the court and I will do that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day in question, April 19, 2005, was a sunny day with strong gusts of wind. The wind was not of an exceptional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Melodie Davis is a friend of Ms. Wilde and was with her that day. She is the only person who provided direct evidence as to what happened to the umbrella. She says that the umbrella was lifted up by the wind. She says that both the upper and lower pole, together with the frame awning and pineapple, were lifted out of the bracket holding the umbrella to the post. The entire umbrella first went straight up and then landed in a heap on Ms. Wilde. She said that after, she saw nothing to suggest that either the upper or lower pole had sheered off or to suggest that anything would have prevented it from being lifted by the wind.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Wilde herself did not see what happened to the umbrella. She was seated with a glass of beer and the next thing she knew she was lying face down covered by an umbrella.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Oliver, who was working for Malones that day, said that it was a sunny day with gusty winds. She felt a strong gust of wind, turned and saw that a patio umbrella had come away from its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That is the only evidence as to what happened to the umbrella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turn to the evidence relating generally to the umbrellas and their operation. I have set out that evidence in general earlier in these reasons. I note, in particular,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umbrellas are removed at the end of the day and set out at the beginning of each day by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If the lower posts were properly screwed in, they should not be able to move in the wind. If the cotter pin model was properly set, the umbrella could not move in the wind. With the screw method, it takes six rotations of the upper pole, awning and frame to put the upper pole into the lower pole. The awning, frame and upper pole on the umbrellas that use the screw method to join the upper and lower poles can rotate in the wind.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no evidence of breakage.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turn next to the evidence as to the method that Malones used to see that patrons would be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evidence is provided by Mr. McGee, both in his affidavit and his answers to examination for discovery questions. There is evidence that Malones took the following steps: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approval prior to the construction of the patio of a floor plan by the City of Vancouver and the BC Liquor Control and Licensing Branch;</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operation in 2005 pursuant to a Sidewalk Patio (large) Permit issued by the City of Vancouver Engineering Services Department;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umbrellas have been used on the patio for a period of some 2200 days since 1994 without any similar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Malones say that there was a system of inspection/checklist in place and it was followed. This system was: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new umbrellas on the patio every season;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inspecting the deck and equipment on the deck by Malones' maintenance team prior to the opening of the patio for that season in approximately mid to late March 2005;</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weekly attendance by Malones' in-house maintenance team at the restaurant to do a general inspection;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checking the screws that hold the bottom portion of the umbrella in place from time to time, though not daily;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upper portion of the umbrellas would be put in place by Malones' staff each day and in doing so the staff would have the opportunity to observe the lower portion of the umbrellas to see that everything appeared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following evidence comes from Mr. McGee's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a checklist for daily opening procedures, but Malones have been unable to produce that checklist.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was suggested to Mr. McGee that nobody did anything as a general course to check that the screws were tightly fixed to the lower pole when they were set up in the morning. His answer was that they are checked from time to time; he cannot say it was on a daily basis with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was asked if it would be fair to say that the floor manager would walk around and see whether or not things looked okay, rather than going through the checklist and checking each item. His answer was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is no evidence as to what, if anything, was done to check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evidence is that, before this incident, and since the restaurant started operating in 1994, there have been no incidents of umbrellas coming out. The evidence of Mark Janzen is that on a Friday in August of the same year, he saw a raised umbrella turn in the wind and blow up and out of its container and fall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weighing the whole of the direct and circumstantial evidence, I conclude that Ms. Wilde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only inference that can be drawn from the evidence before the court is that the umbrella was lifted as a result of the strong gust of wind observed by Ms. Oliver immediately before the umbrella came loose. While there may be some question as to the exact way it lifted, it did lift. It is more likely than not that if the umbrella had been properly secured, it would not have come loose.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was a foreseeable risk of harm. The wind gust in question, though strong, was the type of wind that Malones could reasonably expect, given their location right by the water. Given the weight and size of the umbrellas, a strong wind gust could lift them and blow them away if they are not properly secured. I have considered the fact that this was the first time an umbrella has come loose and that Malones have operated since 1994. That fact is, however, only one consideration and does negate the foreseeable risk of harm in this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Because of the small size of the deck, the large number of people it accommodates, and the number of umbrellas, there is a potential for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agree with Ms. Wilde that there is little social utility in providing shade from sun and advertisement for beer products that would warrant exposing people to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would take little effort or cost to set up an inspection and repair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next consider whether that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has been negated by Malones'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evidence as to checking the screws is unsatisfactory. I am unable to conclude that there was a checklist, when none was produced and there was no evidence from any employee that one was followed that day, or any other day. Nor can I say how frequently any checking was done. Mr. McGee could not say it was daily and used the vague term, from time to time. This could mean weekly, monthly or even less frequently. There was no other evidence as to what in fact was done that day or any 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evidence relating to weekly maintenance is not specific to maintenance relating to the umbrellas.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Given the very small cost of having a checklist and some supervision to ensure that it is followed, it is not sufficient to say that the employees who put up the umbrellas, in a very short period of time, ten minutes, would notice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was, therefore, not a reasonable scheme in place to keep Ms. Wilde safe. Malones did not do enough to safeguard against a foreseeable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Damage Resulting from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satisfied that but for the breach, Ms. Wilde would not have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am satisfied that Ms. Wilde has met the legal onus upon her to prove that Malones are liable to her pursuant to s. 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She is entitled to her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MARTINSON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7" w:history="1">
        <w:r>
          <w:rPr>
            <w:rFonts w:ascii="arial" w:eastAsia="arial" w:hAnsi="arial" w:cs="arial"/>
            <w:b/>
            <w:bCs/>
            <w:i/>
            <w:color w:val="0077CC"/>
            <w:kern w:val="32"/>
            <w:sz w:val="28"/>
            <w:szCs w:val="32"/>
            <w:u w:val="single"/>
            <w:shd w:val="clear" w:color="auto" w:fill="FFFFFF"/>
            <w:lang w:val="en-US" w:eastAsia="en-US" w:bidi="ar-SA"/>
          </w:rPr>
          <w:t>Wong v. Mislang, [2007] B.C.J. No. 2708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26-29,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18, 2007.</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S053422</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2708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2007 BCSC 1835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163 A.C.W.S. (3d) 862</w:t>
      </w:r>
    </w:p>
    <w:p>
      <w:pPr>
        <w:spacing w:before="120" w:line="260" w:lineRule="atLeast"/>
        <w:rPr>
          <w:lang w:val="en-US" w:eastAsia="en-US" w:bidi="ar-SA"/>
        </w:rPr>
      </w:pPr>
      <w:r>
        <w:rPr>
          <w:rFonts w:ascii="arial" w:eastAsia="arial" w:hAnsi="arial" w:cs="arial"/>
          <w:color w:val="000000"/>
          <w:sz w:val="20"/>
          <w:lang w:val="en-US" w:eastAsia="en-US" w:bidi="ar-SA"/>
        </w:rPr>
        <w:t>Between William Tat Fong Wong and Shui Fan Wong, Plaintiffs, and Bellaflor Llanillo Mislang and Alejandro Apostol Mislang,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4" style="position:absolute;z-index:2516623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7" w:name="Keywords_3"/>
      <w:bookmarkEnd w:id="2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The plaintiffs' claim for damages for fire damage to their home as against their neighbours, the defendants, was dismissed as being based on mere suspicion — There was insufficient evidence to show the fire was caused by cigarettes smouldering on the sofa in the defendants' carport, or even so, that the defendants had negligently disposed of their cigarettes.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8" w:name="Case Summary_3"/>
            <w:bookmarkEnd w:id="2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plaintiffs sued the defendants for damage caused to their home by a fire, which the plaintiffs alleged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their neighbours, the defendants, by leaving a lit cigarette on the sofa in their carport -- The sole issue was liability, with damages being agreed upon in the amount of $311,536 -- HELD: The plaintiff's action was dismissed as being based on mere suspicion -- The court was not persuaded on the evidence that the fire was caused by the negligent disposal of cigarettes in the carport -- There was simply insufficient evidence to establish that the fire was caused by cigarettes smouldering on the sofa -- Even if it were shown that the fire had originated at the sofa due to a smouldering cigarette, there was no evidence establishing that it was negligently disposed of by the defendants. </w:t>
            </w:r>
            <w:r>
              <w:rPr>
                <w:lang w:val="en-US" w:eastAsia="en-US" w:bidi="ar-SA"/>
              </w:rPr>
              <w:cr/>
            </w:r>
          </w:p>
          <w:p>
            <w:pPr>
              <w:rPr>
                <w:lang w:val="en-US" w:eastAsia="en-US" w:bidi="ar-SA"/>
              </w:rPr>
            </w:pPr>
          </w:p>
        </w:tc>
      </w:tr>
    </w:tbl>
    <w:p>
      <w:pPr>
        <w:jc w:val="both"/>
        <w:rPr>
          <w:lang w:val="en-US" w:eastAsia="en-US" w:bidi="ar-SA"/>
        </w:rPr>
      </w:pPr>
      <w:bookmarkStart w:id="29" w:name="Counsel_3"/>
      <w:bookmarkEnd w:id="2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5" style="position:absolute;z-index:2517135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Plaintiffs: J.J. Kim.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B. De Vita.</w:t>
      </w:r>
      <w:r>
        <w:rPr>
          <w:lang w:val="en-US" w:eastAsia="en-US" w:bidi="ar-SA"/>
        </w:rPr>
        <w:cr/>
      </w:r>
    </w:p>
    <w:p>
      <w:pPr>
        <w:spacing w:after="240"/>
        <w:rPr>
          <w:lang w:val="en-US" w:eastAsia="en-US" w:bidi="ar-SA"/>
        </w:rPr>
      </w:pPr>
      <w:bookmarkStart w:id="30" w:name="Judgment_3"/>
      <w:bookmarkEnd w:id="30"/>
      <w:r>
        <w:pict>
          <v:line id="_x0000_s1046" style="position:absolute;z-index:25176473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1" w:name="L.D. RUSSELL J."/>
            <w:bookmarkEnd w:id="31"/>
            <w:r>
              <w:rPr>
                <w:rFonts w:ascii="arial" w:eastAsia="arial" w:hAnsi="arial" w:cs="arial"/>
                <w:b/>
                <w:color w:val="000000"/>
                <w:sz w:val="30"/>
                <w:lang w:val="en-US" w:eastAsia="en-US" w:bidi="ar-SA"/>
              </w:rPr>
              <w:t>L.D. RUSSELL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INTRODUCTION</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morning of June 27, 2003, Mr. Alejandro Mislang responded to his wife's complaint, of a smell of burning plastic, by going out the front door of their home and proceeding down the passageway beside their house to the carport behind their house at 2861 East 25th Avenue, Vancouver. There he saw flames leaping from the west wall of the carport.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fire was reported to the Vancouver Fire Department by neighbours since the fire had knocked out the Mislangs' telephone. Ultimately, the fire spread through the carport and caused substantial damage to their house and to the home belonging to their neighbours, the Wongs, on the west.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issue to be determined is the liability of the Mislangs for the cause of the fire. The Wongs allege that the fire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Mislangs through the careless smoking of a member or members of their household by leaving a lit cigarette on the sofa in the carport. Quantum of damages is agreed at $311,535.75.</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LAY EVIDENCE OF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Lieutenant James Inksater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Lieutenant Inksater has been a firefighter for 23 years and spent 4 years as an officer with the Vancouver Fire Department. He was called to give factual evidence of his investigational observations made shortly after the fire. In the course of his investigation as to the cause and origin of the fire, he prepared a routine report entitled "Incident Detail". This report is Exhibit 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Exhibit 2 contains a "Narrative" on page 2. It reads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Fire in a single family detached home with a basement and one level. The cause of the fire is undetermined at this time but originated at the rear of the house in the open carport or in the adjoining locked garage. The carport contained a washer and dryer as well as a couch and a couple of chairs where the owners [sic] family would relax. Fire damage strongly suggests that the area where the couch was positioned in the carport could be the area of origin. There is enough damage to the garage and contents that it could also be a possible area of origin. The flames then spread out of the carport between the house and 2857 East 25th to the immediate west. The fire gained access to the main floor of the house via the main floor windows above and into the roof by way of the soffit. Extensive fire, smoke, heat and water damage to the main floor, roof and contents. Water damage to the basement.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Lieutenant Inksater's evidence was consistent with the Narrative. He agreed that the sofa in the carport was a possible source, but he could not rule out the garage or an electrical fire in the carport, as possible points of origin. He agreed the fire in the sofa could have been caused by a smouldering cigarette, but was unable to say that this was more than one of many possibilities, although he "had a feeling". He also stated that, due to the substantial degree of destruction caused by this fire, his investigation was more difficult. His report indicates that the igniting object is unknown as is the material first ignited.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Lieutenant Inksater could not recall the source of the information about the use of the carport by the Mislang family, noted in the Narrative. He did not have much specific recollection of the fire and relied on the information in his report for his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Mrs. Wong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and Mrs. Wong and their daughter, Jenny, were all residing in their home at 2857 East 25th on June 26-27, 2003. Mrs. Wong testified that she awoke at 2:00 a.m. on June 27, 2003 due to worries about her daughter embarking on a trip to Japan. She was unable to go to sleep again and at 3:00 a.m. she got up and commenced to quilt until the early morning hours when her daughter and husband got up. She smelled smoke with the odour of burning garbage at 3:00 a.m., checked around her house and was unable to see anything. She was not particularly concerned since, on other occasions, she had noticed similar smells resulting from the Burns Bog fire and from Annacis Island.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weather was warm, so there were windows open on the second floor of the Wongs' self-described "Vancouver Special". This term describes a house with the entrance on the ground floor and the living area upstairs.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Mrs. Wong's daughter, Jenny, got up at around 6:00 a.m. In Mrs. Wong's recollection, she complained of smoke to her mother and advised her to turn on the fan to suck out the smoke. Jenny's bedroom window faces the Mislangs' house. Mrs. Wong declined to follow her advice. Jenny left for her job and was out the front door of the house between 7:00 a.m. and 7:10 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Wong got up at 7:00 a.m. and left the house at 7:30 a.m. to walk to work at Telus on Kingsway and Boundary. Mrs. Wong said goodbye to him at the front door and went to cut flowers in her front garden, which faces south. The Mislang house is east of the Wong house. The flowers were between her house and the Mislangs' house, on one side of her yard, and between her and her other neighbour on the west side of her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returned to her house, still smelling smoke, but could see nothing. She made two flower arrangements and began to do her exercises in the living room at 8:00 a.m. The living room is at the front of the house. She had wound down her exercises when, at 8:45 a.m., the smoke alarm went off in the kitchen which is on the west side of their house, the opposite side to the Mislangs' house. She went down to the kitchen to check the stove and noticed smoke there. As she passed Jenny's room and looked out, she saw the Mislang house on fire.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neighbour knocked on her front door, which is on the main floor, to tell her the Mislangs' house was burning and to get out of her house. She went upstairs to the living level, called 911, and gathered some valuables in a pillow case. She left the house just as the firefighters arrived to get her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Wong was aware there were two smokers in the Mislang household. She had seen Alejandro Mislang and his son, Brian, smoking on the front steps of the house several times since the Mislangs moved into the house next door in 2001. In answer to questions about whether she had observed the Mislangs smoking in the carport, she stated she did not go on to the back deck often and did not pay attention to their patterns of smoking. I infer from her answers that she did not see the Mislang father and son smoking in the carport.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Mr. Wong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Wong smelled smoke when he got up at 7:00 a.m. but, like his wife, attributed it to smoke from Burns Bog or similar to smoke he smelled as a result of a tire fire on Annacis Island. He left for work at 7:30 a.m. still smelling smoke and without feeling unduly concerned.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did not wake up during the night.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learned of the fire at 9:00 a.m. when he received a call from Mrs. Wong.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was aware the Mislang father and son smoked, but could not see them smoking in the carport. He had previously heard them talking in the carport, but could not say how often. Mr. Wong only ever saw the Mislangs smoking at the front of their house. In cross-examination, he agreed he had no evidence to support an allegation that the Mislangs' smoking caused the fire.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Jenny Wong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Wong did not wake up during the early hours of the morning of June 27, 2003. She recalls closing her window against the smoke when she got up at 6:00 a.m. The smell, she recalls, was like burning rubber. Her bedroom window is over the walkway between the Mislang and Wong houses.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Wong left for work by way of the front door at 7:00 a.m., to be at work at UBC at 8:00 a.m., and was frank that she was in a rush. She noted that the smell of smoke persisted outside and that it was stronger than in the house, but there was no smoke in the air. She was aware the Mislangs smoked because she could occasionally smell cigarette smoke in her room. However, she does not recall smelling cigarette smoke on the night of the fire.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LAY EVIDENCE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Mislang testified that, on the date of the fire, there were six adults residing in his household: Mr. and Mrs. Mislang, their two sons, Mark and Brian, a Japanese student and Mrs. Mislang's sister. Only he and Brian smoked and they did not smoke in the house. Their usual smoking spot was at the top of the front steps.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Mislang house faces south and has an alley on its north side, which is the back of the house. There is a locked garage on the east side of the back of the house and an open carport on the west side, next to the Wong house, with a small unlocked laundry room containing a washer and dryer, close to the house, on the southwest end of the carport. Inside the carport are an old sofa, coffee table, chair and dartboard. The carport is open to the lane behind the house by way of a driveway. The back yard area is enclosed by a fence with an unlocked gate. Mr. Mislang parks his car in the driveway behind the closed garage door.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laundry room is drywalled. The garage ceiling is partly drywalled up to the area where the garage door tracks end. The carport is unfinished on the inside. While Mr. Mislang indicated the ceiling of the carport was open between the joists, both the photographs taken by the plaintiffs' expert, Mr. Johnson, and those taken by the Vancouver Fire Department, show an area of the ceiling which is much less burned than the rest of the ceiling in the carport. This indicates to me there was some protection between the joists, most likely some insulation, and that Mr. Mislang's recollection on this point is faulty.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couch in the carport was given to the Mislangs by a client of Mrs. Mislang. It was old and dirty and, hence, it was placed in the carport. Mr. Mislang said he did not smoke in the carport unless he was outside cleaning up the backyard. Brian testified that he rarely used the carport. There was an ashtray in the carport and Brian said in a deposition that, if he smoked in the carport, he would use the ashtray. Brian said he had not been in the carport for about 2 weeks before the fire and Mr. Mislang said it had been a few weeks since he had been in the carport.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garage was used as a storage room and was kept locked due to an earlier theft. It contained boxes of insulation, some plywood, a barbecue and some garden tools. There were no appliances in the carport or the garage. There was one light switch in the carport.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evening of the fire, Mr. Mislang recalls that he went to bed about 11:00 p.m. to 11:30 p.m. after having his last cigarette of the day on the front steps at about 10:30 p.m. His wife does not permit anyone to smoke inside the house. He slept through until 8:30 a.m. It was while in the process of investigating his wife's complaint of a smell of plastic burning that he went outside and saw the fire burning out of the laundry room. He described the flames as taller than he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Mislang is clear that he did not smoke in the carport the evening before the fire. As far as he is able to say, no one else in the household smoked in the carport that evening.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only area of Mr. Mislang's evidence which was mildly problematic was his insistence that the ceiling in the carport was completely open between the joists. If the ceiling near the sofa was open at the time of the fire, it would have suffered an amount of charring similar to what is observed from the photographs in Exhibit 1 in the remainder of the carport. It is clear the ceiling above the sofa is much less charred than the rest of the ceiling. As well, in photographs taken just after the fire by Vancouver Fire Department, Lieutenant Inksater, there is insulation on the carport floor which looks to be damaged by smoke and fire. This insulation would most likely have come from the ceiling overhead and the Defendants' own expert opined, in a question from the Court, that the reduction in charring was most likely related to the presence of thermal insulation between the joists.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presence of insulation would probably have delayed the advance of the fire reaching the house and would also extend the time line for the appearance of the fire somewhat.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Both Mr. and Mrs. Mislang were simply incorrect in their recollection on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note also that Mrs. Mislang said the floor of the master bedroom was not hot when she got up between 7:00 a.m. and 7:30 a.m. on June 27, 2003. Given the large size and rapid progress of the fire by the time it was discovered by Mr. Mislang at 8:30 a.m., it seems likely to me that the floor would have felt warm had it not been insulated. This is also consistent with the presence of thermal insulation somewhat retarding the progress of the fire up into the ceiling of the carport which forms the floor of their bedroom.</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Expert called by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Murray Johnson was called by the plaintiffs. Mr. Johnson is a registered Professional Engineer in British Columbia and Washington State and holds a Master of Science degree in Nuclear Physics.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Johnson has extensive experience in fire suppression systems' design and has more recently turned to the investigation of fires. His experience in the investigation of residential fires is not extensive, as he has done approximately 20 investigations in total with 3-4 investigations relating to smouldering fires. He has not qualified as an expert prior to this case. He has not undertaken independent studies on the combustibility of materials and smoulder-rate testing, but has done extensive reading. His technical skills relating to fire cause and origin investigation were gained in a 3-day course he took in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accepted Mr. Johnson as an expert in the field of fire cause and origin since I accept that the field of fire suppression necessarily involves some cross-over of knowledge into the area of fire cause and origin. However, the concerns I have with the weight to be accorded to his report relates more to the way it was prepared, its lack of attribution of sources and the errors it contains.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will deal first with Mr. Johnson's conclusions, which are found on page 6 of his report. It is his view that the most probable cause of the fire was a smouldering cigarette in the sofa in the carport. He bases these conclusions on evidence of deep charring in remnants of the chesterfield stuffing material, consistent with slow, low temperature, flameless smouldering combustion, the presence of cigarette butt litter on the carport floor, the lack of apparent alternate sources of ignition, including no observed evidence of accelerant use, and slow fire development prior to the flames being observed.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Johnson stated that the seat of a fire shows the greatest charring because the fire has been burning for a longer period of time at the point of origin. The exception to this general proposition is that an area which contains a particularly flammable fuel supply could show greater charring than the point of origin. As well, he notes that if a protective "membrane", such as that created by drywall, covers a ceiling, it will retard fire spread somewhat. It is his view that the ceiling area above the sofa was drywalled. The Mislangs deny the presence of drywall in that area. I accept there was no drywall since there were no burned drywall shards on the floor of the carport post-fire, but there was insulation between these joists toward the south end of the carport which would explain the lack of charring in this area of the carport ceiling. I make this finding as a result of the photographs taken by Lieutenant Inksater, showing drywall on the floor of the carport, which showed smoke and fire damage unlike the rolls of new insulation stored in the garage, which showed some damage on the outer edges only of the rolls.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Johnson found the greatest charring in the south end of the carport, including the area above the washer and dryer, which themselves were mostly smoke-damaged. The joists above the washer and dryer were extensively damaged and the wall separating the laundry room from the carport was substantially destroyed.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Johnson noted that the wall directly behind the sofa (the west wall) was almost completely destroyed and was the only wall to suffer complete stud loss, leading him to conclude that the sofa was the point of origin. However, since he did not attend the scene and he relied on photographs taken by two of his fellow employees who went to the fire scene some 10 days after the fire, when the fire scene as he termed it, had been "substantially disturbed", he was unable to determine that the south wall separating the laundry room from the carport was also completely destroyed and its studs reduced to almost nothing. This was an important omission since it could point to a different point of origin of the fire, if one accepts the proposition that the seat of the fire is located at the point of greatest charring. Mr. Johnson did assert, as a possibility, that the interior wall could have been constructed without studs, but there is no evidence on this point. In addition, the parties are agreed that the wall between the laundry room and the carport was drywalled, which would give some minimal fire protection, as I note below. However, this wall was burned to almost nothing.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Johnson also agreed that if the fire started in the garage and moved east to west along the joists, it would move quickly to the carport and cause the substantial damage which occurred in the south end of the carport ceiling, since the ceiling in the garage was partly protected by drywall which would give 20 minutes' resistance in a standard fire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main weakness in Mr. Johnson's report stems from the fact that the pictures of the site were taken two weeks after the fire. He admitted the site had been disturbed. As a result, the finding about the "complete stud loss" he found in the west wall was incorrect. In addition, Mr. Johnson did not attend at the scene himself, but relied on photographs taken by other employees. While I have no doubt the examination of the site was undertaken conscientiously by these other two employees, Mr. Johnson was candid in admitting that his ability to prepare the report would have been improved had he been able himself to inspect the site of the fire.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Expert called by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defendants called Dr. Vytenis Brabauskas. Dr. Brabauskas has a Bachelor's degree in physics, a Master's degree in Structural Engineering and a Ph.D. in fire protection engineering.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Babrauskas has extensive experience in fire safety science and the measurement of heat release from fires. In 1975, he developed and released a model which computed the behaviour of room fires. In 2001, Dr. Brabauskas published a textbook on fire behaviour and upholstery. In 2003, he published a handbook on the ignition of fires. Dr. Brabauskas has published over 250 papers and reports in this field, including extensive studies relating to smouldering fires.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Brabauskas' report concludes that it is very unlikely that a member of the Mislang family ignited the sofa through careless smoking habits. Dr. Brabauskas bases this conclusion on the length of time that elapsed between the time the members of the family retired and when the fire broke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Brabauskas has published a research paper examining how long it takes a smouldering cigarette to cause a fire when it is dropped onto upholstered furniture. The shortest time on record is 22 minutes, the longest is 5.1 hours, and the average is 1.47 hours. Dr. Brabauskas testified that if Mrs. Wong first witnessed the fire at 8:45 a.m., it is very likely that a cigarette would have had to have been placed onto the sofa at 6:30 a.m. or later. The evidence establishes that members of the Mislang family were sleeping at 6:30 a.m. A finding that the fire was caused by negligent acts of the Mislang family is, thus, inconsistent with Dr. Brabauskas' research.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According to Dr. Brabauskas, not a single case has been found where a fire took longer than 5.1 hours to erupt after a cigarette was dropped onto upholstery. In this case, given that members of the Mislang family went to bed between 10:30 p.m. and 11:30 p.m., a cigarette would have had to smoulder for 9.5 hours before flames would begin to erupt. Dr. Brabauskas states that while this is not physically impossible, it is exceedingly rare.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Brabauskas also notes that there is no evidence in Mr. Johnson's report that he was able to exclude other sources for the fire, including cords, plugs or outlets, and other self-heating materials.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Franks v. Sanderson</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(1988), 25 B.C.L.R. (2d) 248</w:t>
        </w:r>
      </w:hyperlink>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44 C.C.L.T. 208</w:t>
        </w:r>
      </w:hyperlink>
      <w:r>
        <w:rPr>
          <w:rFonts w:ascii="arial" w:eastAsia="arial" w:hAnsi="arial" w:cs="arial"/>
          <w:color w:val="000000"/>
          <w:sz w:val="20"/>
          <w:lang w:val="en-US" w:eastAsia="en-US" w:bidi="ar-SA"/>
        </w:rPr>
        <w:t xml:space="preserve"> (C.A.), the B.C. Court of Appeal considered whether a homeowner was liable for damage caused to neighbours after a fire escaped from his premises. The court held that a plaintiff must show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before a defendant will be held liable under this scenario. Having regard to all of the circumstances, there must be a reasonable basis for inferring that the fire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See also </w:t>
      </w:r>
      <w:r>
        <w:rPr>
          <w:rFonts w:ascii="arial" w:eastAsia="arial" w:hAnsi="arial" w:cs="arial"/>
          <w:b/>
          <w:i/>
          <w:color w:val="000000"/>
          <w:sz w:val="20"/>
          <w:lang w:val="en-US" w:eastAsia="en-US" w:bidi="ar-SA"/>
        </w:rPr>
        <w:t>Steer v. Hore</w:t>
      </w:r>
      <w:r>
        <w:rPr>
          <w:rFonts w:ascii="arial" w:eastAsia="arial" w:hAnsi="arial" w:cs="arial"/>
          <w:color w:val="000000"/>
          <w:sz w:val="20"/>
          <w:lang w:val="en-US" w:eastAsia="en-US" w:bidi="ar-SA"/>
        </w:rPr>
        <w:t xml:space="preserve"> (7 March 1990), </w:t>
      </w:r>
      <w:hyperlink r:id="rId79" w:history="1">
        <w:r>
          <w:rPr>
            <w:rFonts w:ascii="arial" w:eastAsia="arial" w:hAnsi="arial" w:cs="arial"/>
            <w:i/>
            <w:color w:val="0077CC"/>
            <w:sz w:val="20"/>
            <w:u w:val="single"/>
            <w:shd w:val="clear" w:color="auto" w:fill="FFFFFF"/>
            <w:lang w:val="en-US" w:eastAsia="en-US" w:bidi="ar-SA"/>
          </w:rPr>
          <w:t>[1990] B.C.J. No. 519</w:t>
        </w:r>
      </w:hyperlink>
      <w:r>
        <w:rPr>
          <w:rFonts w:ascii="arial" w:eastAsia="arial" w:hAnsi="arial" w:cs="arial"/>
          <w:color w:val="000000"/>
          <w:sz w:val="20"/>
          <w:lang w:val="en-US" w:eastAsia="en-US" w:bidi="ar-SA"/>
        </w:rPr>
        <w:t>, Vancouver Registry No. C894626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Franks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careless smoking was suspected, but the exact cause of the fire was unknown. The plaintiff's hypothesis was that a cigarette was left smouldering at 6:20 p.m., and that this led to the outbreak of flames at 8:45 p.m. Evidence led at trial indicated that it would be unlikely for a cigarette to smoulder for two-and-a-half hours. The court held that the time element was an "obvious weakness" in the plaintiff's case. Moreover, the court found that there was no clear evidence that anyone was in the building between 6:00-6:20 p.m. and there was no basis for inferring that a cigarette was carelessly dropped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Although each case must be decided on its own merits, </w:t>
      </w:r>
      <w:r>
        <w:rPr>
          <w:rFonts w:ascii="arial" w:eastAsia="arial" w:hAnsi="arial" w:cs="arial"/>
          <w:b/>
          <w:i/>
          <w:color w:val="000000"/>
          <w:sz w:val="20"/>
          <w:lang w:val="en-US" w:eastAsia="en-US" w:bidi="ar-SA"/>
        </w:rPr>
        <w:t>Franks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bears striking similarities to this case and is helpful in that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case at bar, I am not persuaded that the fire was caused by the negligent disposal of cigarettes in the carport. There is simply insufficient evidence to establish that the fire was caused by cigarettes smouldering on the sofa. According to Mr. Inksater, the fact that Mrs. Wong smelled smoke for an extended period of time is consistent with a fire in an enclosed area, such as a garage, an electrical fire, or a smouldering fire. Mr. Inksater agreed that each of these scenarios could have caused the fire in this case. Mr. Inksater also could not definitively state that the fire originated at the sofa in the carport. Similarly, Dr. Brabauskas, a credible and knowledgeable witness, finds it possible that the fire originated at another location. According to Dr. Brabauskas, the methodology adopted by those who attended at the scene of the fire was not thorough or precise enough to establish that the fire originated at the sofa. Although Mr. Johnson did believe that the fire originated in the vicinity of the sofa, the methods utilized by Mr. Johnson are questionable and his report contains errors. As a result, far less weight can be given to his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Even if it were to be shown that the fire had originated at the sofa due to a smouldering cigarette, there is no evidence establishing that the cigarette was negligently disposed of by the defendants. I accept the defendants' evidence that neither Alex Mislang nor Brian Mislang smoked in the carport the night before the fire. I also accept that members of the Mislang family retired between 10:30 p.m. and 11:30 p.m. that night. Given this timeframe, it is highly unlikely that a blameworthy cigarette could have been disposed of by the Mislangs. Dr. Brabauskas testified that it would be extremely improbable for a cigarette to smoulder for nine-and-a-half hours before igniting and causing a fire. Moreover, the carport was an unsecured area and a cigarette could have easily been lit by a stranger.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plaintiffs' case is based upon mere suspicion. Given the paucity of evidence in this case, there is no reasonable basis for inferring that the fire was caused through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case is dismissed with costs to the defendants.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L.D. RUSSELL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 w:history="1">
        <w:r>
          <w:rPr>
            <w:rFonts w:ascii="arial" w:eastAsia="arial" w:hAnsi="arial" w:cs="arial"/>
            <w:b/>
            <w:bCs/>
            <w:i/>
            <w:color w:val="0077CC"/>
            <w:kern w:val="32"/>
            <w:sz w:val="28"/>
            <w:szCs w:val="32"/>
            <w:u w:val="single"/>
            <w:shd w:val="clear" w:color="auto" w:fill="FFFFFF"/>
            <w:lang w:val="en-US" w:eastAsia="en-US" w:bidi="ar-SA"/>
          </w:rPr>
          <w:t>Wyman (Litigation guardian of) v. Fammarz S.R.L., [2009] B.C.J. No. 1467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 Baker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S091686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1467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990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180 A.C.W.S. (3d) 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Jesse Lee Wyman, an infant by his Litigation Guardian, Theresa Anne Wyman, Plaintiff, and Fammarz S.R.L. formerly known as Marzocchi S.P.A., and others,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 w:name="Keywords_4"/>
      <w:bookmarkEnd w:id="32"/>
      <w:r>
        <w:rPr>
          <w:rFonts w:ascii="arial" w:eastAsia="arial" w:hAnsi="arial" w:cs="arial"/>
          <w:b/>
          <w:color w:val="000000"/>
          <w:sz w:val="20"/>
          <w:lang w:val="en-US" w:eastAsia="en-US" w:bidi="ar-SA"/>
        </w:rPr>
        <w:t xml:space="preserve">Civil Litigation — Civil procedure — Pleadings — Striking out pleadings or allegations — Application by defendants to strike part of plaintiff's statement of claim allowed in part — With exception of one paragraph, impugned pleadings did not offend Rule 19 — Paragraph which set out history and background not material — As plaintiff pleaded product liability and strict liability in addition to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substance of impugned pleadings not evidence, but fact, and exceptional detail in pleading required — Defendants' knowledge of defects important consideration and means of knowledge material — Phrases used by plaintiff did not go beyond informing defendants to extent of being inflammatory or prejudicial — Rules of Court, Rule 19.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 w:name="Case Summary_4"/>
            <w:bookmarkEnd w:id="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to strike part of plaintiff's statement of claim. In 2006, the plaintiff was injured while riding a mountain bike. He alleged that his injuries were caused in whole or in part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design and manufacture by the defendants of the bike's front fork and shock assembly or alternatively, that they were strictly liable in product liability for the fork and shock design and claimed punitive, general and special damages. In his pleadings, the plaintiff described the purpose of the product developed and sold and alleged that the defendants had certain knowledge respecting the product and its alleged deficiencies. The defendants claimed that the portions of the pleadings did not constitute material facts, but rather was evidence that would prove those facts and that certain language used by the plaintiff in his pleadings was too colourful to the extent that it served a purpose other than to inform the defendants of the case to meet and was scandalous.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 w:name="Holdings of Court_3"/>
            <w:bookmarkEnd w:id="34"/>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 the exception of one paragraph, the impugned pleadings did not offend Rule 19. The one paragraph, which set out the history and background to the defendants undertaking the design and manufacture of the bike forks was not material. As the plaintiff pleaded product liability and strict liability in addition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substance of the impugned pleadings was not evidence per se, but was fact, and exceptional detail in pleading was required. The impugned pleadings alleged specific and detailed knowledge of the defects. Furthermore, the plaintiff's claims for punitive damages made the defendants' knowledge of the defects an important consideration and means of that knowledge was material. The phrases used by the plaintiff did not take such liberties that they went beyond informing the defendants to the extent of being inflammatory or prejudicial.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 w:name="Legislation Cited_2"/>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9"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19, Rule 19(1), Rule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 w:name="Counsel_4"/>
      <w:bookmarkEnd w:id="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 Mogerman.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V.J. Pahl and K.F. Gourlay.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4"/>
      <w:bookmarkEnd w:id="37"/>
      <w:r>
        <w:pict>
          <v:line id="_x0000_s1051"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MASTER D. BAKER"/>
            <w:bookmarkEnd w:id="38"/>
            <w:r>
              <w:rPr>
                <w:rFonts w:ascii="arial" w:eastAsia="arial" w:hAnsi="arial" w:cs="arial"/>
                <w:b/>
                <w:color w:val="000000"/>
                <w:sz w:val="30"/>
                <w:lang w:val="en-US" w:eastAsia="en-US" w:bidi="ar-SA"/>
              </w:rPr>
              <w:t>MASTER D. BAKER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w:t>
      </w:r>
      <w:bookmarkStart w:id="39"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39"/>
      <w:r>
        <w:rPr>
          <w:rFonts w:ascii="arial" w:eastAsia="arial" w:hAnsi="arial" w:cs="arial"/>
          <w:color w:val="000000"/>
          <w:sz w:val="20"/>
          <w:lang w:val="en-US" w:eastAsia="en-US" w:bidi="ar-SA"/>
        </w:rPr>
        <w:t xml:space="preserve"> apply under Rule 19 to strike parts of the plaintiff's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December 6th, 2006 the plaintiff Mr. Wyman was injured while riding a mountain bike. He alleges that his injuries were caused in whole or in part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design and/or manufacture by the defendants of the bike's front fork and shock assembly, known as a "Z1 Bomber". Alternatively, he claims that the defendants are strictly liable for the fork and shock design or that they are answerable in product liability. Finally, Mr. Wyman claims punitive damages in addition to general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impugned pleadings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13: As Jesse rode over the mound, the Z1 Bomber shattered, launching Jesse over the handle bars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(impugned words emphasized)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17: So far as the Plaintiff is presently aware, the Defendant Marzocchi Italy had been established in the business of manufacturing suspension components for high performance motorcycles when it was approached by Martin in the early 1990's (sic) with a proposal to design suspension systems for mountain bikes. As a result, Marzocchi S.P.A. formed Marzocchi U.S.A. in Valencia, California, and appointed Martin president.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20: The Z1 Bomber was developed, designed and marketed by Martin, Marzocchi U.S.A. and Marzocchi Italy as a Freeride shock. According to the promotional material produced by Martin, Marzocchi U.S.A. and Marzocchi Italy, Freeride 'is for skilled riders and involves aggressive slopes, large obstacles and moderate jumps'.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23: In or about 2002, Martin was specifically warned by Robin Brown, P.Eng., a professional engineer in British Columbia, that the Z1 series was defective and was prone to premature fatigue failure.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24: Sometime prior to June 4, 2003, Louie Anthony Hernandez ("Hernandez") was seriously injured when the stanchions of the Marzocchi Z1 front shocks of his mountain bike failed. Hernandez brought suit against Marzocchi U.S.A. and Marzocchi Italy in the Superior Court of California alleging that the Z1 shocks were defective. So far as the Plaintiff is presently aware, Hernandez produced to Marzocchi U.S.A. and Marzocchi Italy, engineering evidence in the course of that litigation which confirmed the defective nature of the Z1 shocks.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25: In addition to a number of actions commenced in British Columbia, the following actions were also brought against Marzocchi U.S.A. and/or Marzocchi Italy as a result of failure of the Marzocchi Z1 series shocks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 separate American court actions are then listed)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26: As a result of the information provided by Robin Brown, the Hernandez, Crowne, and Aguirre actions and other similar lawsuits, incidents and complaints, Martin Marzocchi U.S.A. and Marzocchi Italy knew before the subject accident that the Z1 Bomber series was defective, prone to catastrophic failure in use and posed a significant risk of causing severe personal injury. Despite this knowledge, Martin, Marzocchi U.S.A. and Marzocchi Italy failed to recall the Z1 Bomber series including the subject Z1 Bomber and failed to embark on a campaign to ensure that users were specifically warned of the risk of premature failure. Instead, Marzocchi U.S.A. posted this notice on its website for a period of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notice followed, offering upgrading of certain year models of forks, including the Z1)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argue that these pleadings offend Rule 19(1):</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as brief as the nature of the case will permit and must contain a statement in summary form of the material facts on which the party relies, but not the evidence by which the facts are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More particularly, they argue that much, if not all, of the impugned pleadings do not constitute material facts, but rather the evidence that will prove those facts. The pleadings in that respect fail the test expressed by the authors of </w:t>
      </w:r>
      <w:r>
        <w:rPr>
          <w:rFonts w:ascii="arial" w:eastAsia="arial" w:hAnsi="arial" w:cs="arial"/>
          <w:i/>
          <w:color w:val="000000"/>
          <w:sz w:val="20"/>
          <w:lang w:val="en-US" w:eastAsia="en-US" w:bidi="ar-SA"/>
        </w:rPr>
        <w:t>Conduct of Civil Litigation in B.C.</w:t>
      </w:r>
      <w:bookmarkStart w:id="40"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40"/>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Facts which are not necessary to establish either a cause of action or the defence to it are not, speaking generally, 'material'... and should, therefore, be omitted from the pleading. All statements which need not be proved should be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question which is often useful to ask in order to distinguish material fact and evidence is: Would the admission of this allegation by the opposite party help to establish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case of para. 13, above, the plaintiff argues that the highlighted words ("shattered" and "launching") are too colourful, to the extent that they serve a purpose or purposes other than to inform the defendants of the case to meet. They are, say the defendants, scandalous.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submits that he has pleaded a claim for punitive damages and bases his claims on strict liability and product liability as alternatives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such, he argues that not only are the challenged pleadings permissible, but that they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Were this a "typical"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(if such exists), I would agree entirely with defence counsel, and would strike a good deal of the impugned pleadings. What is key to the analysis, however, is that the plaintiff pleads product liability/strict liability and punitive damages. As a consequence I agree with Mr. Mogerman's submissions that, firstly, the substance of the pleadings in question is not evidence per se, but is fact, and that exceptional detail in pleading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Beginning with product liability, I take the law in British Columbia to be as expressed by Lowry J. In </w:t>
      </w:r>
      <w:r>
        <w:rPr>
          <w:rFonts w:ascii="arial" w:eastAsia="arial" w:hAnsi="arial" w:cs="arial"/>
          <w:b/>
          <w:i/>
          <w:color w:val="000000"/>
          <w:sz w:val="20"/>
          <w:lang w:val="en-US" w:eastAsia="en-US" w:bidi="ar-SA"/>
        </w:rPr>
        <w:t>G.W.L. Properties Ltd. V. W#.R. Grace &amp; Co. of Canada</w:t>
      </w:r>
      <w:bookmarkStart w:id="41"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41"/>
      <w:r>
        <w:rPr>
          <w:rFonts w:ascii="arial" w:eastAsia="arial" w:hAnsi="arial" w:cs="arial"/>
          <w:color w:val="000000"/>
          <w:sz w:val="20"/>
          <w:lang w:val="en-US" w:eastAsia="en-US" w:bidi="ar-SA"/>
        </w:rPr>
        <w:t>, a case turning on allegations of liability for the use of building insulation and fire retardant materials containing asbestos. The defence alleged that the plaintiff and other agencies (eg. WCB) knew, or should have known, the nature of, or problems associated with, asbestos, and of alternatives to its use. Broadly speaking Lowry J. considered how generally or how specifically the defendant was required to plead the means of that knowledge. Not surprisingly, Lowry J.'s analysis turned on the nature of the claim itself and the fact that product liability was in question. After concluding that greater specificity and detail was required in the statement of defence, he said:</w:t>
      </w:r>
      <w:bookmarkStart w:id="42"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42"/>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time for Grace to particularize the facts material to establishing the owners' knowledge of the product and the alternatives available with which the parties and the court will be concerned at the trial. In my view, the need for particulars in this regard will be met by Grace stating the following facts to the extent that such are to be proven at trial: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specific advice that was given, the dates, the persons involved and in what capacity they were employed;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titles, the source, and the dates of the published material;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possible effects on human health and the certain circumstances that were the subject of the publicity and the common knowledge that existed at all material times;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projects that were the source of publicity concerning the use of asbestos-free products and the content of the publicity associated with 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the same token the owners are also entitled to a statement of the following: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and where the WCB inspections and testing were undertaken when Grace's product containing asbestos was being applied;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and where the WCB conferences, seminars, and courses were organized and what and when publications, notices, and other materials were distributed which included discussion of the possible health effects of asbestos fibres.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distinction between facts and evidence, Lowry J. said:</w:t>
      </w:r>
      <w:bookmarkStart w:id="43"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43"/>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do not seek the evidence by which the facts will be proven. For example, the owners are faced with a broad allegation that they knew the nature of the insulation and the existence of alternatives because they, or their predecessor companies, were given advice to that effect some time during the last 30 years or more. They seek the facts Grace must prove: </w:t>
      </w:r>
      <w:r>
        <w:rPr>
          <w:rFonts w:ascii="arial" w:eastAsia="arial" w:hAnsi="arial" w:cs="arial"/>
          <w:color w:val="000000"/>
          <w:sz w:val="20"/>
          <w:u w:val="single"/>
          <w:lang w:val="en-US" w:eastAsia="en-US" w:bidi="ar-SA"/>
        </w:rPr>
        <w:t>what the advice was and when and by whom the advice was given, and, for that matter, by whom it was received</w:t>
      </w:r>
      <w:r>
        <w:rPr>
          <w:rFonts w:ascii="arial" w:eastAsia="arial" w:hAnsi="arial" w:cs="arial"/>
          <w:color w:val="000000"/>
          <w:sz w:val="20"/>
          <w:lang w:val="en-US" w:eastAsia="en-US" w:bidi="ar-SA"/>
        </w:rPr>
        <w:t>. They do not seek the evidence by which those facts will be proven: the testimony to be given by the persons who gave the advice or the persons who received it or other persons who may have heard the advice being given, i.e., the mode of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respect, the case before me presents a similar issue i.e. the defendants are faced with an allegation of knowledge respecting their product, and it is not only advisable but required that the plaintiff plead sufficient detail for that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Paragraph 20 describes the purpose for which this product was developed and sold; that purpose and the defendants' knowledge of the purpose are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cases of product liability there may be imposed upon a defendant a duty to warn; whether or not that duty has been met obviously turns on the terms of the notice itself. For that reason paragraph 26 of the statement of claim is acceptable in the terms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Both counsel acknowledged that it is perhaps novel to plead a claim of strict liability in the context of this case. It is arguable, however, that there is a relationship between product liability and strict liability.</w:t>
      </w:r>
      <w:bookmarkStart w:id="44"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44"/>
      <w:r>
        <w:rPr>
          <w:rFonts w:ascii="arial" w:eastAsia="arial" w:hAnsi="arial" w:cs="arial"/>
          <w:color w:val="000000"/>
          <w:sz w:val="20"/>
          <w:lang w:val="en-US" w:eastAsia="en-US" w:bidi="ar-SA"/>
        </w:rPr>
        <w:t xml:space="preserve"> It is possible that there is an emerging development of strict liability law in Canada i.e. liability for abnormally dangerous activities. This principle allows for abnormally risky or "extra-hazardous" activities, and provides for strict liability for parties that profit by that activity and, possibly, imposes a higher duty on such parties. Without attempting to define or circumscribe the factors that the plaintiff might have to prove to establish liability of this nature, it is clear to me that he would have to show the inherently hazardous nature of the activity, the defendants' knowledge of the activity and its hazards, the suitability of their product for such activity, and any knowledge they had of inadequacy, defect, or insufficiency in their product. The impugned pleadings do that: they allege specific and detailed knowledge of the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Knowledge is obviously a factor in the consideration of punitive damages. It does not assist to simply plead that a defendants' conduct has been "high handed, arbitrary, oppressive, deliberate, evil, outrageous, disgraceful, wanton", or the like. Such terms are adjectival in nature and, in the end, unhelpful in describing a </w:t>
      </w:r>
      <w:r>
        <w:rPr>
          <w:rFonts w:ascii="arial" w:eastAsia="arial" w:hAnsi="arial" w:cs="arial"/>
          <w:i/>
          <w:color w:val="000000"/>
          <w:sz w:val="20"/>
          <w:lang w:val="en-US" w:eastAsia="en-US" w:bidi="ar-SA"/>
        </w:rPr>
        <w:t>type</w:t>
      </w:r>
      <w:r>
        <w:rPr>
          <w:rFonts w:ascii="arial" w:eastAsia="arial" w:hAnsi="arial" w:cs="arial"/>
          <w:color w:val="000000"/>
          <w:sz w:val="20"/>
          <w:lang w:val="en-US" w:eastAsia="en-US" w:bidi="ar-SA"/>
        </w:rPr>
        <w:t xml:space="preserve"> of behaviour that is particularly worthy of censure. Proof that a defendant has acted throughout in good faith can be a defence to a claim for punitive damages; the defendants' knowledge is therefore important and the means of that knowledge is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one thing to have, for example, vague intimations or reports of product problems, but it is entirely another to be cautioned by an expert in the field (such as, allegedly, Robin Brown, a professional engineer: viz. para. 3, above). In the same vein, Aristotle was right: one swallow does not make a summer, but surely an entire flock of sparrows would suggest that we're well into late spring. Any product, it would seem, could attract a lawsuit, but a possible pattern, such as that suggested by para. 25 of the statement of claim (para. 3 above) should put a party on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Paragraphs 20 and 23 - 26 do not, therefore, offend Rule 19. The exception is para. 17; in my view it simply sets out history and background to the defendants undertaking the design and manufacture of the bike forks. Most of it is not material and fails the test as set out by </w:t>
      </w:r>
      <w:r>
        <w:rPr>
          <w:rFonts w:ascii="arial" w:eastAsia="arial" w:hAnsi="arial" w:cs="arial"/>
          <w:i/>
          <w:color w:val="000000"/>
          <w:sz w:val="20"/>
          <w:lang w:val="en-US" w:eastAsia="en-US" w:bidi="ar-SA"/>
        </w:rPr>
        <w:t>Conduct of Civil Litigation in B.C.</w:t>
      </w:r>
      <w:r>
        <w:rPr>
          <w:rFonts w:ascii="arial" w:eastAsia="arial" w:hAnsi="arial" w:cs="arial"/>
          <w:color w:val="000000"/>
          <w:sz w:val="20"/>
          <w:lang w:val="en-US" w:eastAsia="en-US" w:bidi="ar-SA"/>
        </w:rPr>
        <w:t xml:space="preserve"> It will be struck in its present form, with liberty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Paragraph 13 of the claim is challenged for different reasons; it is argued that the words "shattered" and "launching" are colourful. In other words, the defendants submit that the words are intended to convey more than just their simple meaning, and to imply more, to the extent that they are, in terms of Rule 19(24), scandalous or, perhaps, prejudicial.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George v. Harris</w:t>
      </w:r>
      <w:bookmarkStart w:id="45"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45"/>
      <w:r>
        <w:rPr>
          <w:rFonts w:ascii="arial" w:eastAsia="arial" w:hAnsi="arial" w:cs="arial"/>
          <w:color w:val="000000"/>
          <w:sz w:val="20"/>
          <w:lang w:val="en-US" w:eastAsia="en-US" w:bidi="ar-SA"/>
        </w:rPr>
        <w:t xml:space="preserve"> Epstein J. of the Superior Court of Justice struck certain portions of the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heading which reads "Deliberateness of Documentary Disclosure Evasions by the Defendant Harris" is clearly inserted for colour. It is also objectionable as being evidence unsupported by the record and protected from any challenge other than by way of the relief sought in this motion. It is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I read </w:t>
      </w:r>
      <w:r>
        <w:rPr>
          <w:rFonts w:ascii="arial" w:eastAsia="arial" w:hAnsi="arial" w:cs="arial"/>
          <w:b/>
          <w:i/>
          <w:color w:val="000000"/>
          <w:sz w:val="20"/>
          <w:lang w:val="en-US" w:eastAsia="en-US" w:bidi="ar-SA"/>
        </w:rPr>
        <w:t>George</w:t>
      </w:r>
      <w:r>
        <w:rPr>
          <w:rFonts w:ascii="arial" w:eastAsia="arial" w:hAnsi="arial" w:cs="arial"/>
          <w:color w:val="000000"/>
          <w:sz w:val="20"/>
          <w:lang w:val="en-US" w:eastAsia="en-US" w:bidi="ar-SA"/>
        </w:rPr>
        <w:t>, and while the terms are certainly not used interchangeably, surrounding pleadings were struck for the use of innuendo, argument, conclusions, and "inflammatory" language. I say this to make the point that pleadings are not restricted to the dull greys of formulaic prose. A little poetry or colour is not necessarily a bad thing. The question is: do the phrases used take such liberties that they go beyond informing the other party, to the extent of becoming inflammatory or prejudicial? In this case I think not. I take "shattered" to be reasonably synonymous with "broke", or "failed" and unlikely to mislead a fact-finder. Similarly, while "launching" may be, as the defendants argue, more colourful than "propelling", or "throwing", it does not offend.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the exception of para. 17 of the claim, the defendants' application is therefore dismissed. In the circumstances the plaintiff is substantially successful and is entitled to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 BAKER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52" style="position:absolute;z-index:25186304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46"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46"/>
      <w:r>
        <w:rPr>
          <w:rFonts w:ascii="arial" w:eastAsia="arial" w:hAnsi="arial" w:cs="arial"/>
          <w:sz w:val="20"/>
          <w:lang w:val="en-US" w:eastAsia="en-US" w:bidi="ar-SA"/>
        </w:rPr>
        <w:tab/>
      </w:r>
      <w:r>
        <w:rPr>
          <w:rFonts w:ascii="arial" w:eastAsia="arial" w:hAnsi="arial" w:cs="arial"/>
          <w:color w:val="6D6E71"/>
          <w:sz w:val="18"/>
          <w:lang w:val="en-US" w:eastAsia="en-US" w:bidi="ar-SA"/>
        </w:rPr>
        <w:t>Easton Sports Inc. ("Easton") did not participate in this application, so that any reference to "defendants" will include only the remaining defendants.</w:t>
      </w:r>
    </w:p>
    <w:p>
      <w:pPr>
        <w:spacing w:before="120" w:after="20" w:line="240" w:lineRule="atLeast"/>
        <w:ind w:left="720" w:hanging="360"/>
        <w:jc w:val="both"/>
        <w:rPr>
          <w:rFonts w:ascii="arial" w:eastAsia="arial" w:hAnsi="arial" w:cs="arial"/>
          <w:sz w:val="20"/>
          <w:lang w:val="en-US" w:eastAsia="en-US" w:bidi="ar-SA"/>
        </w:rPr>
      </w:pPr>
      <w:bookmarkStart w:id="47"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4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Markham: Butterworth's 2007 2nd ed. Vol 1 at para. 11.2 citing </w:t>
      </w:r>
      <w:r>
        <w:rPr>
          <w:rFonts w:ascii="arial" w:eastAsia="arial" w:hAnsi="arial" w:cs="arial"/>
          <w:i/>
          <w:color w:val="6D6E71"/>
          <w:sz w:val="18"/>
          <w:lang w:val="en-US" w:eastAsia="en-US" w:bidi="ar-SA"/>
        </w:rPr>
        <w:t>Odgers on Pleading and Practise</w:t>
      </w:r>
      <w:r>
        <w:rPr>
          <w:rFonts w:ascii="arial" w:eastAsia="arial" w:hAnsi="arial" w:cs="arial"/>
          <w:color w:val="6D6E71"/>
          <w:sz w:val="18"/>
          <w:lang w:val="en-US" w:eastAsia="en-US" w:bidi="ar-SA"/>
        </w:rPr>
        <w:t>, 1st ed.</w:t>
      </w:r>
    </w:p>
    <w:p>
      <w:pPr>
        <w:spacing w:before="120" w:after="20" w:line="240" w:lineRule="atLeast"/>
        <w:ind w:left="720" w:hanging="360"/>
        <w:jc w:val="both"/>
        <w:rPr>
          <w:rFonts w:ascii="arial" w:eastAsia="arial" w:hAnsi="arial" w:cs="arial"/>
          <w:sz w:val="20"/>
          <w:lang w:val="en-US" w:eastAsia="en-US" w:bidi="ar-SA"/>
        </w:rPr>
      </w:pPr>
      <w:bookmarkStart w:id="48"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48"/>
      <w:r>
        <w:rPr>
          <w:rFonts w:ascii="arial" w:eastAsia="arial" w:hAnsi="arial" w:cs="arial"/>
          <w:sz w:val="20"/>
          <w:lang w:val="en-US" w:eastAsia="en-US" w:bidi="ar-SA"/>
        </w:rPr>
        <w:tab/>
      </w:r>
      <w:hyperlink r:id="rId87" w:history="1">
        <w:r>
          <w:rPr>
            <w:rFonts w:ascii="arial" w:eastAsia="arial" w:hAnsi="arial" w:cs="arial"/>
            <w:i/>
            <w:color w:val="0077CC"/>
            <w:sz w:val="18"/>
            <w:u w:val="single"/>
            <w:shd w:val="clear" w:color="auto" w:fill="FFFFFF"/>
            <w:lang w:val="en-US" w:eastAsia="en-US" w:bidi="ar-SA"/>
          </w:rPr>
          <w:t>(1993) 79 B.C.L.R. (2d) 126</w:t>
        </w:r>
      </w:hyperlink>
    </w:p>
    <w:p>
      <w:pPr>
        <w:spacing w:before="120" w:after="20" w:line="240" w:lineRule="atLeast"/>
        <w:ind w:left="720" w:hanging="360"/>
        <w:jc w:val="both"/>
        <w:rPr>
          <w:rFonts w:ascii="arial" w:eastAsia="arial" w:hAnsi="arial" w:cs="arial"/>
          <w:sz w:val="20"/>
          <w:lang w:val="en-US" w:eastAsia="en-US" w:bidi="ar-SA"/>
        </w:rPr>
      </w:pPr>
      <w:bookmarkStart w:id="49"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49"/>
      <w:r>
        <w:rPr>
          <w:rFonts w:ascii="arial" w:eastAsia="arial" w:hAnsi="arial" w:cs="arial"/>
          <w:sz w:val="20"/>
          <w:lang w:val="en-US" w:eastAsia="en-US" w:bidi="ar-SA"/>
        </w:rPr>
        <w:tab/>
      </w:r>
      <w:r>
        <w:rPr>
          <w:rFonts w:ascii="arial" w:eastAsia="arial" w:hAnsi="arial" w:cs="arial"/>
          <w:color w:val="6D6E71"/>
          <w:sz w:val="18"/>
          <w:lang w:val="en-US" w:eastAsia="en-US" w:bidi="ar-SA"/>
        </w:rPr>
        <w:t>Ibid. at p. 134</w:t>
      </w:r>
    </w:p>
    <w:p>
      <w:pPr>
        <w:spacing w:before="120" w:after="20" w:line="240" w:lineRule="atLeast"/>
        <w:ind w:left="720" w:hanging="360"/>
        <w:jc w:val="both"/>
        <w:rPr>
          <w:rFonts w:ascii="arial" w:eastAsia="arial" w:hAnsi="arial" w:cs="arial"/>
          <w:sz w:val="20"/>
          <w:lang w:val="en-US" w:eastAsia="en-US" w:bidi="ar-SA"/>
        </w:rPr>
      </w:pPr>
      <w:bookmarkStart w:id="50"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50"/>
      <w:r>
        <w:rPr>
          <w:rFonts w:ascii="arial" w:eastAsia="arial" w:hAnsi="arial" w:cs="arial"/>
          <w:sz w:val="20"/>
          <w:lang w:val="en-US" w:eastAsia="en-US" w:bidi="ar-SA"/>
        </w:rPr>
        <w:tab/>
      </w:r>
      <w:r>
        <w:rPr>
          <w:rFonts w:ascii="arial" w:eastAsia="arial" w:hAnsi="arial" w:cs="arial"/>
          <w:color w:val="6D6E71"/>
          <w:sz w:val="18"/>
          <w:lang w:val="en-US" w:eastAsia="en-US" w:bidi="ar-SA"/>
        </w:rPr>
        <w:t>Ibid</w:t>
      </w:r>
    </w:p>
    <w:p>
      <w:pPr>
        <w:spacing w:before="120" w:after="20" w:line="240" w:lineRule="atLeast"/>
        <w:ind w:left="720" w:hanging="360"/>
        <w:jc w:val="both"/>
        <w:rPr>
          <w:rFonts w:ascii="arial" w:eastAsia="arial" w:hAnsi="arial" w:cs="arial"/>
          <w:sz w:val="20"/>
          <w:lang w:val="en-US" w:eastAsia="en-US" w:bidi="ar-SA"/>
        </w:rPr>
      </w:pPr>
      <w:bookmarkStart w:id="51"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51"/>
      <w:r>
        <w:rPr>
          <w:rFonts w:ascii="arial" w:eastAsia="arial" w:hAnsi="arial" w:cs="arial"/>
          <w:sz w:val="20"/>
          <w:lang w:val="en-US" w:eastAsia="en-US" w:bidi="ar-SA"/>
        </w:rPr>
        <w:tab/>
      </w:r>
      <w:r>
        <w:rPr>
          <w:rFonts w:ascii="arial" w:eastAsia="arial" w:hAnsi="arial" w:cs="arial"/>
          <w:color w:val="6D6E71"/>
          <w:sz w:val="18"/>
          <w:lang w:val="en-US" w:eastAsia="en-US" w:bidi="ar-SA"/>
        </w:rPr>
        <w:t>Canadian Tort Law (Linden) 8th ed. LexisNexis Butterworths at 622 where the authors marvel at the fact that the propensity of American courts to apply strict liability principles to consumer goods has not crossed the border into Canada.</w:t>
      </w:r>
    </w:p>
    <w:p>
      <w:pPr>
        <w:spacing w:before="120" w:after="20" w:line="240" w:lineRule="atLeast"/>
        <w:ind w:left="720" w:hanging="360"/>
        <w:jc w:val="both"/>
        <w:rPr>
          <w:rFonts w:ascii="arial" w:eastAsia="arial" w:hAnsi="arial" w:cs="arial"/>
          <w:sz w:val="20"/>
          <w:lang w:val="en-US" w:eastAsia="en-US" w:bidi="ar-SA"/>
        </w:rPr>
      </w:pPr>
      <w:bookmarkStart w:id="52"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52"/>
      <w:r>
        <w:rPr>
          <w:rFonts w:ascii="arial" w:eastAsia="arial" w:hAnsi="arial" w:cs="arial"/>
          <w:sz w:val="20"/>
          <w:lang w:val="en-US" w:eastAsia="en-US" w:bidi="ar-SA"/>
        </w:rPr>
        <w:tab/>
      </w:r>
      <w:hyperlink r:id="rId88" w:history="1">
        <w:r>
          <w:rPr>
            <w:rFonts w:ascii="arial" w:eastAsia="arial" w:hAnsi="arial" w:cs="arial"/>
            <w:i/>
            <w:color w:val="0077CC"/>
            <w:sz w:val="18"/>
            <w:u w:val="single"/>
            <w:shd w:val="clear" w:color="auto" w:fill="FFFFFF"/>
            <w:lang w:val="en-US" w:eastAsia="en-US" w:bidi="ar-SA"/>
          </w:rPr>
          <w:t>[2000] O.J. No. 1762</w:t>
        </w:r>
      </w:hyperlink>
      <w:r>
        <w:rPr>
          <w:rFonts w:ascii="arial" w:eastAsia="arial" w:hAnsi="arial" w:cs="arial"/>
          <w:color w:val="6D6E71"/>
          <w:sz w:val="18"/>
          <w:lang w:val="en-US" w:eastAsia="en-US" w:bidi="ar-SA"/>
        </w:rPr>
        <w:t xml:space="preserve"> at para. 32</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Bulldog Bag Ltd. v. Axa Pacific Insurance Co., [2010] B.C.J. No. 600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S087431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600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2010 BCSC 419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[2010] I.L.R. I-4972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84 C.C.L.I. (4th) 201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187 A.C.W.S. (3d) 829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2010 CarswellBC 807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Bulldog Bag Ltd., Plaintiff, and Axa Pacific Insurance Company,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5"/>
      <w:bookmarkEnd w:id="53"/>
      <w:r>
        <w:rPr>
          <w:rFonts w:ascii="arial" w:eastAsia="arial" w:hAnsi="arial" w:cs="arial"/>
          <w:b/>
          <w:color w:val="000000"/>
          <w:sz w:val="20"/>
          <w:lang w:val="en-US" w:eastAsia="en-US" w:bidi="ar-SA"/>
        </w:rPr>
        <w:t>Insurance law — The insurance contract — Interpretation — Coverage provisions and exclusion clauses — Application by Bulldog for judgment against Axa for $732,420 allowed in part — Bulldog was seeking indemnity pursuant to an insurance policy issued to Bulldog by Axa — Bulldog supplied defective plastic packaging to Sure-Gro and 10 per cent of Sure-Gro's product was lost during the salvaging process — Axa denied coverage, claiming that there was no physical damage to Sure-Gro's property — While 90 per cent of Sure-Gro's product was salvaged, the defective packaging resulted in damage to the 10 per cent which could not be salvaged — As that loss amounted to approximately $12,000, Bulldog was awarded $12,000.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By insured against insurer — Application by Bulldog for judgment against Axa for $732,420 allowed in part — Bulldog was seeking indemnity pursuant to an insurance policy issued to Bulldog by Axa — Bulldog supplied defective plastic packaging to Sure-Gro and 10 per cent of Sure-Gro's product was lost during the salvaging process — Axa denied coverage, claiming that there was no physical damage to Sure-Gro's property — While 90 per cent of Sure-Gro's product was salvaged, the defective packaging resulted in damage to the 10 per cent which could not be salvaged — As that loss amounted to approximately $12,000, Bulldog was awarded $12,000.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5"/>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Bulldog Bag for judgment against Axa Pacific Insurance in the amount of $732,420. Bulldog was seeking indemnity pursuant to an insurance policy issued to Bulldog by Axa. Bulldog was a manufacturer of plastic packaging and supplied defective plastic packaging to Sure-Gro, a company which manufactured garden products for consumer use, including manure and topsoil. Ultimately, approximately 10 per cent of Sure-Gro's material contained in the defective packaging was lost or rendered unfit for use as a result of the salvaging process. Bulldog settled its claim with Sure-Gro for a total of $823,432 and claimed $732,420 of that settlement against Axa. Axa denied coverage for the claim and took the position that there was no physical injury or damage to any property other than Bulldog's packaging. In the alternative, Axa submitted that any property damage was excluded under the policy. Bulldog took the position that Sure-Gro did suffer property damage as a result of the incorporation of the defective packaging into its manure products.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5" w:name="Holdings of Court_4"/>
            <w:bookmarkEnd w:id="55"/>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Bulldog's packaging was not inseparable from Sure-Gro's product and there was no contamination of Sure-Gro's product by the defective packaging. Approximately 90 per cent of Sure-Gro's product was salvaged, repackaged and sold and no physical injury was sustained by that 90 per cent. Therefore, the property damage was confined to the 10 per cent which could not be salvaged and the value of that loss amounted to approximately $12,000. As the defective packaging resulted in property damage to 10 per cent of Sure-Gro's product, there was an "occurrence" within the meaning of the policy. Furthermore, the policy's exclusion clauses did not apply to exclude Axa's liability to indemnify Bulldog. Therefore, Bulldog was awarded judgment against Axa in the amount of $12,000.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Legislation Cited_3"/>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5"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Fertilizers Regulations, </w:t>
      </w:r>
      <w:hyperlink r:id="rId97" w:history="1">
        <w:r>
          <w:rPr>
            <w:rFonts w:ascii="arial" w:eastAsia="arial" w:hAnsi="arial" w:cs="arial"/>
            <w:i/>
            <w:color w:val="0077CC"/>
            <w:sz w:val="20"/>
            <w:u w:val="single"/>
            <w:shd w:val="clear" w:color="auto" w:fill="FFFFFF"/>
            <w:lang w:val="en-US" w:eastAsia="en-US" w:bidi="ar-SA"/>
          </w:rPr>
          <w:t>C.R.C., c. 666, s. 16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r>
        <w:rPr>
          <w:rFonts w:ascii="arial" w:eastAsia="arial" w:hAnsi="arial" w:cs="arial"/>
          <w:i/>
          <w:color w:val="000000"/>
          <w:sz w:val="20"/>
          <w:lang w:val="en-US" w:eastAsia="en-US" w:bidi="ar-SA"/>
        </w:rPr>
        <w:t>RSBC 1996, CHAPTER 410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7" w:name="Counsel_5"/>
      <w:bookmarkEnd w:id="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 Lilac Bosma and Robert G. Ward,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Bruno De Vita and Hollis Bromley.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8" w:name="Judgment_5"/>
      <w:bookmarkEnd w:id="58"/>
      <w:r>
        <w:pict>
          <v:line id="_x0000_s1057"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9" w:name="P.J. PEARLMAN J."/>
            <w:bookmarkEnd w:id="59"/>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Bulldog Bag Ltd. ("Bulldog") applies for judgment against the defendant, Axa Pacific Insurance Company ("Axa") pursuant to Rule 18A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in the amount of $732,420.60 together with prejudgment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Bulldog claims for indemnity pursuant to Commercial Insurance Policy No. 119088 (the "Policy"), a commercial general liability policy issued by its insurer, Axa. Bulldog was insured under the Policy at all times material to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seeks to recover the loss it incurred in settling the claim of one of its customers, Sure-Gro Inc. ("Sure-Gro"). Briefly, Bulldog supplied defective plastic packaging to Sure-Gro. Bulldog contends that Sure-Gro incorporated the packaging into its product, packaged soil and manure. Following discovery of the defect, Sure-Gro incurred the expense of repackaging manure and soil in order to fulfill its contract with its customer, Canadian Tire Corporation. In addition, Sure-Gro incurred costs to remove and dispose of the defective packaging, and to salvage the manure and soil contained in that packaging. When Sure-Gro salvaged its raw material from the defective packaging, about 10 percent of that material was either rendered unfit for use, or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Bulldog settled and paid Sure-Gro's claim and maintains that the loss it thereby incurred is covered by the Policy. Bulldog claims that Sure-Gro suffered "property damage" within the meaning of the Policy as a result of the incorporation of the defective packaging into its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Axa contends that there was no physical injury or damage to any property other than Bulldog's packaging. The defendant submits that the cost of repairing or replacing the insured's defective work or work product is pure economic loss that is not covered under the Policy. Axa also disputes that the defective packaging and Sure-Gro's manure and soil were incorporated into a single product that sustained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Alternatively, Axa submits that if there was property damage, it was limited to the approximately 10 percent of Sure-Gro's product that was not salvaged. Axa also submits that if there was any property damage, it was not due to an accident or "occurrence" within the meaning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Finally, Axa argues that even if there was property damage, Exclusions 6 and 7 of the Policy, which respectively exclude coverage for damage to the insured's own product, and for loss of use of tangible property resulting from the failure of the insured's products or work, apply to exclude coverage. By paragraphs 11 and 12 of its Statement of Defence, Axa also pleaded the "sister ship" exclusion contained in Exclusion 8 of the Policy. However, on the argument of this application the defendant did not rely upon that provision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on this application consists of an Agreed Statement of Facts supplemented by the affidavits of Ralph Schnitzer, Bulldog's plant manager, and Danny Edward Orser, a Sure-Gro manager, together with the transcript of Mr. Orser's cross-examination on his affidavit. The pertinent facts which I set out below are drawn from the Agreed Statement of Facts and the evidence of Mr. Schnitzer and Mr. Orser.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Bulldog manufactures plastic packaging at its plant located in Richmond,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Sure-Gro Inc. ("Sure-Gro") is a customer of Bulldog that manufactures garden products for consumer use, including packaged sheep manure, cattle manure, top soil and black earth.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Sure-Gro's western Canadian production facilities are located in Abbotsford, British Columbia, Crossfield, Alberta and Winnipeg, Manitoba.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Sure-Gro sells sheep manure, cattle manure, top soil and black earth under one of its brand names, (Circle H Farms) exclusively to the Canadian Tire Corporation, for sale by the Canadian Tire Corporation to its retail customers across Canada. Under the terms of its agreement with the Canadian Tire Corporation, Sure-Gro is not permitted to sell Circle H Farms branded manure and soil products to any retailer other than the Canadian Tire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Sure-Gro's garden products are seasonal, and are generally purchased by consumers in the Spring. Sure-Gro's agreement with the Canadian Tire Corporation requires Sure-Gro to ship its products to Canadian Tire stores by early 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For the 2008 season, Bulldog was one of two manufacturers from which Sure-Gro obtained packaging for its Circle H Farms' sheep manure, cattle manure, top soil and black earth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October 2007, Sure-Gro placed orders with Bulldog for the manufacture and supply to Sure-Gro of printed plastic packaging for the soil and manure to be sold to the Canadian Tire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Bulldog produced the packaging during October through December 2007. The manufacturing process included manufacturing the polyethylene plastic film and printing the customer's product labelling information on the film.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Fertilizers Regulations</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C.R.C., c. 666, s. 16</w:t>
        </w:r>
      </w:hyperlink>
      <w:r>
        <w:rPr>
          <w:rFonts w:ascii="arial" w:eastAsia="arial" w:hAnsi="arial" w:cs="arial"/>
          <w:color w:val="000000"/>
          <w:sz w:val="20"/>
          <w:lang w:val="en-US" w:eastAsia="en-US" w:bidi="ar-SA"/>
        </w:rPr>
        <w:t xml:space="preserve"> requires that every package containing fertilizer shall have a label affixed to it containing certain information, including the manufacturer's name and address, the brand and name of the fertilizer, the guaranteed analysis of its ingredients, and directions for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Bulldog was solely responsible for the manufacture of the plastic packaging and the printing of the packaging.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printing the plastic film, Bulldog used ink designed for outdoor applications, including packaging for garden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plastic packaging that Bulldog supplied to Sure-Gro was of two kinds:</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"open top" printed plastic bags; and</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"v-fold" printed plastic impressions.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open top bags consist of plastic bags which are closed on three sides (bottom and sides) and are open at the top. The open top bags were shipped to the customer in boxes. The customer fills the bags with the contents and then heat seals the top of the bags to close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Each v-fold impression is one continuous sheet of plastic with branding and product information printed on one side. The v-fold impressions are shipped on rolls. The customer utilizes special production equipment, which cuts the impression from the roll, forms the impression into a bag by folding it in half and sealing the sides, then fills the bag with contents, and seals the 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Sure-Gro's end product is the same whether it uses bags or impressions in the manufacturing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the 2008 season, Bulldog supplied Sure-Gro with approximately 1,175,671 printed bags and printed impressions. In early 2008, Sure-Gro began manufacturing its products, utilizing Bulldog's packaging, at Sure-Gro's various plants in western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early February 2008, Sure-Gro discovered that ink was coming off the packaging of the finished Circle H products. The discovery was made in relation to finished goods that were being stored at a warehouse in Alberta while awaiting shipment to the Canadian Tire Corporation. At the time the discovery was made, Sure-Gro had used approximately 331,189 bags or impressions supplied by Bulldog. Sure-Gro continued to have on hand 844,482 unused bags or impressions printed with the labelling with the Circle H brand and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None of the finished Circle H products had yet been shipped to the Canadian Tire Corporation at the time the ink problem was discovered in early February,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Sure-Gro notified Bulldog of the ink problem with Bulldog's packaging on February 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Upon investigation by Sure-Gro, Bulldog and Bulldog's ink supplier, it was discovered that the presence of moisture was causing the ink to come off the packaging. The package labelling was rendered illegible in part. There were significant quantities of ink and moisture, mixed together, pooling on the finished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defective ink did not penetrate the plastic packaging, or otherwise contaminate the packaged soil and manure.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Sure-Gro concluded that due to the defect in Bulldog's packaging, the packaged soil and manure could not be sold to the Canadian Tire Corporation. Sure-Gro also concluded that because the ink was coming off the bags, the bags of soil and manure were unsalable to consumers, and therefore Sure-Gro could not sell the product into the discount market for various reasons, including the fact that the product labelling was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Sure-Gro returned the unused bags and impressions printed with the Circle H branding to Bulldog and received a credit from Bulldog for their cost. This credit does not form any part of Bulldog's insurance claim against Axa.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Bulldog manufactured new packaging for Sure-Gro using different ink supplied by a different manufacturer, to replace the defective packaging previously supplied. Sure-Gro then used the replacement packaging supplied by Bulldog and filled the packaging with new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Sure-Gro was under contractual commitments to supply the Canadian Tire Corporation with the Circle H products by early March 2008. Due to the defective packaging, Sure-Gro incurred additional costs in order to package different soil and manure products in time to meet its contractual commitments to the Canadian Tire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Sure-Gro claimed against Bulldog for its loss resulting from the supply to Sure-Gro of the defective packaging in breach of its contract with Sure-Gro, and the implied conditions of quality or fitness under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Sure-Gro presented Bulldog with a claim for $784,221.34. The losses sustained by Sure-Gro related to the costs directly associated with packaging different soil and manure products for sale to the Canadian Tire Corporation, removing the raw materials from the defective packaging, disposing of the defective packaging, and the loss of about 10 percent of the raw material in the salvaging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Many of the bags of soil and manure at issue were stored in unheated warehouses in Alberta and Manitoba, and were frozen. As a result, the manure and soil materials could not be immediately reused for the remanufacturing of the product in order to meet the deadline for the Canadian Tire Corporation. Therefore, in refilling the packaging, Sure-Gro used other contents held in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or about June 2008, Sure-Gro undertook operations to salvage the sheep manure, cattle manure, top soil and black earth products that had been bagged with the defective packaging supplied by Bulldog. The salvaging operation involved slashing each bag and extracting the raw material. About 90 percent of the material contained in the defective packaging was salvaged and placed back into Sure-Gro's inventory. The salvaged products were not damaged and were reusable.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About 10 percent of the material contained in the defective packaging was lost or rendered unfit for use through the salvaging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September 2008, Bulldog settled the claim made against it by Sure-Gro Inc. for the sum of $784,221.34 plus GST in the amount of $39,221.07 for a total of $823,432.41. Of that amount, $86,677.91 related to the initial cost of the defective bags that had already been filled. Bulldog concedes that this amount is not subject to coverage by Axa. After deducting $86,677.91, and adjusting GST accordingly, the amount of Bulldog's claim against Axa is $732,420.60.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Bulldog reported the loss and Sure-Gro's claim to Axa in early February 2008. By letter dated May 8, 2008, Axa denied coverage for the Sure-Gro claim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relevant provision of the Insuring Agreement under the Policy is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Insurer agrees to pay on behalf of the Insured all sums (including prejudgment interest) that the Insured shall become obligated to pay by reason of the liability imposed by law upon the Insured or assumed by the Insured under contract (as defined herein), for compensatory damages because 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damage (as defined herein) due to an accident or occurrence (as defined herein).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"Property damage" and "occurrence" are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"Property Damage" means physical injury to or physical destruction of tangible property, including loss of use thereof, or loss of use of tangible property that has not been physically injured or destroyed.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"Occurrence" as used in Insuring Agreement 1(c) of this Policy means a continuous or repeated exposure to conditions that result in property damage neither expected nor intended by the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property damage arising out of a continuous or repeated exposure to substantially the same general conditions shall be considered as arising out of one occurrence.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Policy includes the following Exclusions: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insurance does not apply under Insuring Agreement 1(c) to claims for property damage to:</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goods or products manufactured or sold by the Insured; or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work done by or on behalf of the Insured where the cause of the occurrence is a defect in such work, but this exclusion shall only apply to that part of such work that is defective.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insurance does not apply under Insuring Agreement 1(c) to claims arising from loss of use of tangible property that has not been physically injured or destroyed resulting from:</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delay in or lack of performance by or on behalf of the Insured of any contract or agreement; or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Insured's products or work performed by or on behalf of the Insured to meet the level of performance, quality, fitness or durability warranted or represented by the Insured, but this exclusion does not apply to loss of use of other tangible property resulting from the sudden and accidental physical injury to or destruction of the Insured's products or work performed by or on behalf of the Insured after such products or work have been put to use by any person or organization other than an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Bulldog, as the insured, bears the onus of demonstrating that its claim for property damage comes within the insuring agreement. If Bulldog meets that burden, then Axa must establish that a claim that would otherwise be covered is excluded under the policy: </w:t>
      </w:r>
      <w:r>
        <w:rPr>
          <w:rFonts w:ascii="arial" w:eastAsia="arial" w:hAnsi="arial" w:cs="arial"/>
          <w:i/>
          <w:color w:val="000000"/>
          <w:sz w:val="20"/>
          <w:lang w:val="en-US" w:eastAsia="en-US" w:bidi="ar-SA"/>
        </w:rPr>
        <w:t>Alie v. Bertrand &amp; Fr</w:t>
      </w:r>
      <w:r>
        <w:rPr>
          <w:rFonts w:ascii="arial" w:eastAsia="arial" w:hAnsi="arial" w:cs="arial"/>
          <w:color w:val="000000"/>
          <w:sz w:val="20"/>
          <w:lang w:val="en-US" w:eastAsia="en-US" w:bidi="ar-SA"/>
        </w:rPr>
        <w:t>è</w:t>
      </w:r>
      <w:r>
        <w:rPr>
          <w:rFonts w:ascii="arial" w:eastAsia="arial" w:hAnsi="arial" w:cs="arial"/>
          <w:i/>
          <w:color w:val="000000"/>
          <w:sz w:val="20"/>
          <w:lang w:val="en-US" w:eastAsia="en-US" w:bidi="ar-SA"/>
        </w:rPr>
        <w:t>re Construction Co.</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(2002), 62 O.R. (3d) 345</w:t>
        </w:r>
      </w:hyperlink>
      <w:r>
        <w:rPr>
          <w:rFonts w:ascii="arial" w:eastAsia="arial" w:hAnsi="arial" w:cs="arial"/>
          <w:color w:val="000000"/>
          <w:sz w:val="20"/>
          <w:lang w:val="en-US" w:eastAsia="en-US" w:bidi="ar-SA"/>
        </w:rPr>
        <w:t xml:space="preserve"> at para. 22 (Ont. C.A.). However, the insuring agreement must be read as a whole: </w:t>
      </w:r>
      <w:r>
        <w:rPr>
          <w:rFonts w:ascii="arial" w:eastAsia="arial" w:hAnsi="arial" w:cs="arial"/>
          <w:i/>
          <w:color w:val="000000"/>
          <w:sz w:val="20"/>
          <w:lang w:val="en-US" w:eastAsia="en-US" w:bidi="ar-SA"/>
        </w:rPr>
        <w:t>Progressive Homes Ltd. v. Lombard General Insurance Co.</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2009 BCCA 129</w:t>
        </w:r>
      </w:hyperlink>
      <w:r>
        <w:rPr>
          <w:rFonts w:ascii="arial" w:eastAsia="arial" w:hAnsi="arial" w:cs="arial"/>
          <w:color w:val="000000"/>
          <w:sz w:val="20"/>
          <w:lang w:val="en-US" w:eastAsia="en-US" w:bidi="ar-SA"/>
        </w:rPr>
        <w:t xml:space="preserve">, (leave to appeal to Supreme Court of Canada granted, </w:t>
      </w:r>
      <w:hyperlink r:id="rId100" w:history="1">
        <w:r>
          <w:rPr>
            <w:rFonts w:ascii="arial" w:eastAsia="arial" w:hAnsi="arial" w:cs="arial"/>
            <w:i/>
            <w:color w:val="0077CC"/>
            <w:sz w:val="20"/>
            <w:u w:val="single"/>
            <w:shd w:val="clear" w:color="auto" w:fill="FFFFFF"/>
            <w:lang w:val="en-US" w:eastAsia="en-US" w:bidi="ar-SA"/>
          </w:rPr>
          <w:t>[2009] S.C.C.A. No. 206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Madam Justice Ryan explained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an exclusion clause, by definition, references the grant of coverage -- it takes something away from it. Thus, insurance clauses and exclusionary clauses cannot be read in isolation. They must be understood as a whole, and to understand them as a whole the court must read them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each case, the language of the insurance policy will govern. In </w:t>
      </w:r>
      <w:r>
        <w:rPr>
          <w:rFonts w:ascii="arial" w:eastAsia="arial" w:hAnsi="arial" w:cs="arial"/>
          <w:i/>
          <w:color w:val="000000"/>
          <w:sz w:val="20"/>
          <w:lang w:val="en-US" w:eastAsia="en-US" w:bidi="ar-SA"/>
        </w:rPr>
        <w:t>Reid Crowther and Partners Ltd. v. Simcoe and Erie General Insurance Co.</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[1993] 1 S.C.R. 252</w:t>
        </w:r>
      </w:hyperlink>
      <w:r>
        <w:rPr>
          <w:rFonts w:ascii="arial" w:eastAsia="arial" w:hAnsi="arial" w:cs="arial"/>
          <w:color w:val="000000"/>
          <w:sz w:val="20"/>
          <w:lang w:val="en-US" w:eastAsia="en-US" w:bidi="ar-SA"/>
        </w:rPr>
        <w:t>, McLachlin J. (as she then was), for the Court, stated these general principles for the interpretation of insurance policies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each case the courts must examine the provisions of the particular policy at issue (and the surrounding circumstances) to determine if the events in question fall within the terms of coverage of that particular policy. This is not to say that there are no principles governing this type of analysis. Far from it. In each case, the courts must interpret the provisions of the policy at issue in light of general principles of interpretation of insurance policies, including, but not limited to:</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rule;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principle that coverage provisions should be construed broadly and exclusion clauses narrowly;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at least where the policy is ambiguous, of giving effect to the reasonable expectations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issues arising on this application concerning the interpretation and application of the Policy are as follows: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damage constituting "property damage" within the meaning of the Policy?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an accident or "occurrence" within the meaning of the Policy?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an occurrence resulting in property damage, is coverage excluded under Exclusions 6 or 7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Privest Properties Ltd. v. Foundation Co. of Canada Ltd.</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(1991), 57 B.C.L.R. (2d) 88</w:t>
        </w:r>
      </w:hyperlink>
      <w:r>
        <w:rPr>
          <w:rFonts w:ascii="arial" w:eastAsia="arial" w:hAnsi="arial" w:cs="arial"/>
          <w:color w:val="000000"/>
          <w:sz w:val="20"/>
          <w:lang w:val="en-US" w:eastAsia="en-US" w:bidi="ar-SA"/>
        </w:rPr>
        <w:t xml:space="preserve"> at para. 46 (B.C.S.C.), Drost J., commenting on the purpose of comprehensive general liability policies, adopted the following passage from </w:t>
      </w:r>
      <w:r>
        <w:rPr>
          <w:rFonts w:ascii="arial" w:eastAsia="arial" w:hAnsi="arial" w:cs="arial"/>
          <w:i/>
          <w:color w:val="000000"/>
          <w:sz w:val="20"/>
          <w:lang w:val="en-US" w:eastAsia="en-US" w:bidi="ar-SA"/>
        </w:rPr>
        <w:t>Ohio Casualty Insurance Co. v. Bazzi Construction Co.</w:t>
      </w:r>
      <w:r>
        <w:rPr>
          <w:rFonts w:ascii="arial" w:eastAsia="arial" w:hAnsi="arial" w:cs="arial"/>
          <w:color w:val="000000"/>
          <w:sz w:val="20"/>
          <w:lang w:val="en-US" w:eastAsia="en-US" w:bidi="ar-SA"/>
        </w:rPr>
        <w:t>, 815 F. 2d 1146 (U.S. Ct. App., 1987) at 1148: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Comprehensive general liability policies ... are intended to protect the insured from liability for injury or damage to the persons or property of others; they are not intended to pay the costs associated with repairing or replacing the insured's defective work and products, which are purely economic losses ... Finding coverage for the cost of replacing or repairing defective work would transform the policy into something akin to a performance 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Privest</w:t>
      </w:r>
      <w:r>
        <w:rPr>
          <w:rFonts w:ascii="arial" w:eastAsia="arial" w:hAnsi="arial" w:cs="arial"/>
          <w:color w:val="000000"/>
          <w:sz w:val="20"/>
          <w:lang w:val="en-US" w:eastAsia="en-US" w:bidi="ar-SA"/>
        </w:rPr>
        <w:t>, the insured, a general contractor, applied for declaratory orders to compel its insurers to pay its defence costs of an action brought against it for the use of asbestos fireproofing in a condominium, and for loss and damages related to the removal and replacement of the hazardous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After an extensive review of the case law, and in the course of finding there was no property damage within the meaning of the insurance policies, Drost J. said this at para. 156: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far as Canadian law is concerned, it seems clear that unless there has actually been personal injury or damage to other property, the cost of repairing or replacing defective work is considered to be pure economic loss rather than damage to property: </w:t>
      </w:r>
      <w:r>
        <w:rPr>
          <w:rFonts w:ascii="arial" w:eastAsia="arial" w:hAnsi="arial" w:cs="arial"/>
          <w:i/>
          <w:color w:val="000000"/>
          <w:sz w:val="20"/>
          <w:lang w:val="en-US" w:eastAsia="en-US" w:bidi="ar-SA"/>
        </w:rPr>
        <w:t>Rivtow Marine Ltd. v. Washington Iron Works</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[1973] 6 W.W.R. 692</w:t>
        </w:r>
      </w:hyperlink>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40 D.L.R. (3d) 530</w:t>
        </w:r>
      </w:hyperlink>
      <w:r>
        <w:rPr>
          <w:rFonts w:ascii="arial" w:eastAsia="arial" w:hAnsi="arial" w:cs="arial"/>
          <w:color w:val="000000"/>
          <w:sz w:val="20"/>
          <w:lang w:val="en-US" w:eastAsia="en-US" w:bidi="ar-SA"/>
        </w:rPr>
        <w:t xml:space="preserve">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para. 160, His Lordship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Harbour Machine Ltd. v. Guardian Insurance Co. of Canada</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(1985), 60 B.C.L.R. 360</w:t>
        </w:r>
      </w:hyperlink>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10 C.C.L.I. 72</w:t>
        </w:r>
      </w:hyperlink>
      <w:r>
        <w:rPr>
          <w:rFonts w:ascii="arial" w:eastAsia="arial" w:hAnsi="arial" w:cs="arial"/>
          <w:color w:val="000000"/>
          <w:sz w:val="20"/>
          <w:lang w:val="en-US" w:eastAsia="en-US" w:bidi="ar-SA"/>
        </w:rPr>
        <w:t xml:space="preserve"> (C.A.), also provides support for the proposition that, under our law, the mere presence of a defective product in an otherwise sound structure does not, in itself, constitute damage to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Privest</w:t>
      </w:r>
      <w:r>
        <w:rPr>
          <w:rFonts w:ascii="arial" w:eastAsia="arial" w:hAnsi="arial" w:cs="arial"/>
          <w:color w:val="000000"/>
          <w:sz w:val="20"/>
          <w:lang w:val="en-US" w:eastAsia="en-US" w:bidi="ar-SA"/>
        </w:rPr>
        <w:t xml:space="preserve">, a subcontractor had sprayed the asbestos fireproofing material into the walls of the condominium that the general contractor was renovating for the owner. Under its contract with the owner, the general contractor had assumed full responsibility for the acts or omissions of the subcontractor. The court found that in the absence of any allegation of physical injury or damage to any part of the building, or of damage to other tangible property, the general contractor's insurers, who had defined property damage as "physical injury to tangible property", had no duty to defend the claim: </w:t>
      </w:r>
      <w:r>
        <w:rPr>
          <w:rFonts w:ascii="arial" w:eastAsia="arial" w:hAnsi="arial" w:cs="arial"/>
          <w:i/>
          <w:color w:val="000000"/>
          <w:sz w:val="20"/>
          <w:lang w:val="en-US" w:eastAsia="en-US" w:bidi="ar-SA"/>
        </w:rPr>
        <w:t>Privest</w:t>
      </w:r>
      <w:r>
        <w:rPr>
          <w:rFonts w:ascii="arial" w:eastAsia="arial" w:hAnsi="arial" w:cs="arial"/>
          <w:color w:val="000000"/>
          <w:sz w:val="20"/>
          <w:lang w:val="en-US" w:eastAsia="en-US" w:bidi="ar-SA"/>
        </w:rPr>
        <w:t>, at para. 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Privest</w:t>
      </w:r>
      <w:r>
        <w:rPr>
          <w:rFonts w:ascii="arial" w:eastAsia="arial" w:hAnsi="arial" w:cs="arial"/>
          <w:color w:val="000000"/>
          <w:sz w:val="20"/>
          <w:lang w:val="en-US" w:eastAsia="en-US" w:bidi="ar-SA"/>
        </w:rPr>
        <w:t xml:space="preserve"> also explained the policy reasons for excluding coverage for the costs incurred by an insured in repairing or replacing its own defective work or work products. At para. 209,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the insurance proceeds could be used to pay for the repairing or replacing of defective work and products, a contractor or subcontractor could receive initial payment for its work and then receive further payment from the insurer to repair or replace it. Equally repugnant on policy grounds is the notion that the presence of insurance obviates the obligation to perform the job initially in a good and workmanlike manner: see </w:t>
      </w:r>
      <w:r>
        <w:rPr>
          <w:rFonts w:ascii="arial" w:eastAsia="arial" w:hAnsi="arial" w:cs="arial"/>
          <w:i/>
          <w:color w:val="000000"/>
          <w:sz w:val="20"/>
          <w:lang w:val="en-US" w:eastAsia="en-US" w:bidi="ar-SA"/>
        </w:rPr>
        <w:t>Centex Homes Corp. v. Prestressed Systems Inc.</w:t>
      </w:r>
      <w:r>
        <w:rPr>
          <w:rFonts w:ascii="arial" w:eastAsia="arial" w:hAnsi="arial" w:cs="arial"/>
          <w:color w:val="000000"/>
          <w:sz w:val="20"/>
          <w:lang w:val="en-US" w:eastAsia="en-US" w:bidi="ar-SA"/>
        </w:rPr>
        <w:t>, 444 So. 2d 66 (Fla. App. 3 Dist.,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Swagger Construction Ltd. v. ING Insurance Co. of Canada et al.</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2005 BCSC 1269</w:t>
        </w:r>
      </w:hyperlink>
      <w:r>
        <w:rPr>
          <w:rFonts w:ascii="arial" w:eastAsia="arial" w:hAnsi="arial" w:cs="arial"/>
          <w:color w:val="000000"/>
          <w:sz w:val="20"/>
          <w:lang w:val="en-US" w:eastAsia="en-US" w:bidi="ar-SA"/>
        </w:rPr>
        <w:t xml:space="preserve">, the court followed </w:t>
      </w:r>
      <w:r>
        <w:rPr>
          <w:rFonts w:ascii="arial" w:eastAsia="arial" w:hAnsi="arial" w:cs="arial"/>
          <w:i/>
          <w:color w:val="000000"/>
          <w:sz w:val="20"/>
          <w:lang w:val="en-US" w:eastAsia="en-US" w:bidi="ar-SA"/>
        </w:rPr>
        <w:t>Privest</w:t>
      </w:r>
      <w:r>
        <w:rPr>
          <w:rFonts w:ascii="arial" w:eastAsia="arial" w:hAnsi="arial" w:cs="arial"/>
          <w:color w:val="000000"/>
          <w:sz w:val="20"/>
          <w:lang w:val="en-US" w:eastAsia="en-US" w:bidi="ar-SA"/>
        </w:rPr>
        <w:t>. Swagger was the general contractor under a contract with the University of British Columbia ("UBC") for construction of its Forest Science Centre. UBC claimed damages from Swagger for breaches of the construction contract. Swagger claimed that under the terms of its commercial general liability policy, ING was obliged to defend allegations of construction deficiencies. UBC claimed against Swagger for the cost of repairing the defective work, for the cost of repairing other work damaged by Swagger's allegedly defective work, and for costs associated with the loss of use of its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Following </w:t>
      </w:r>
      <w:r>
        <w:rPr>
          <w:rFonts w:ascii="arial" w:eastAsia="arial" w:hAnsi="arial" w:cs="arial"/>
          <w:i/>
          <w:color w:val="000000"/>
          <w:sz w:val="20"/>
          <w:lang w:val="en-US" w:eastAsia="en-US" w:bidi="ar-SA"/>
        </w:rPr>
        <w:t>Privest</w:t>
      </w:r>
      <w:r>
        <w:rPr>
          <w:rFonts w:ascii="arial" w:eastAsia="arial" w:hAnsi="arial" w:cs="arial"/>
          <w:color w:val="000000"/>
          <w:sz w:val="20"/>
          <w:lang w:val="en-US" w:eastAsia="en-US" w:bidi="ar-SA"/>
        </w:rPr>
        <w:t>, the court held at para. 28 that the cost of repairing Swagger's defective work was pure economic loss rather than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claim for defects in one part of the building causing damage to other parts also involved defects in, or damage to, work performed by Swagger. The court observed that in </w:t>
      </w:r>
      <w:r>
        <w:rPr>
          <w:rFonts w:ascii="arial" w:eastAsia="arial" w:hAnsi="arial" w:cs="arial"/>
          <w:i/>
          <w:color w:val="000000"/>
          <w:sz w:val="20"/>
          <w:lang w:val="en-US" w:eastAsia="en-US" w:bidi="ar-SA"/>
        </w:rPr>
        <w:t>Winnipeg Condominium Corporation No. 36 v. Bird Construction Co.</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the Supreme Court of Canada had rejected the "complex structure theory" which asserted that one element of the structure should be regarded as distinct from another, so that damage to one part of the structure caused by a defect in another qualifies as damage to "other property". At paras. 36 and 37, the court held that absent specific language in the insurance contract, the basic principle that for the purpose of commercial general liability policies, damage to "tangible property" does not include the cost of remedying defects in the insured's own work cannot be avoided by an artificial division of the insured's work into its component parts. In </w:t>
      </w:r>
      <w:r>
        <w:rPr>
          <w:rFonts w:ascii="arial" w:eastAsia="arial" w:hAnsi="arial" w:cs="arial"/>
          <w:i/>
          <w:color w:val="000000"/>
          <w:sz w:val="20"/>
          <w:lang w:val="en-US" w:eastAsia="en-US" w:bidi="ar-SA"/>
        </w:rPr>
        <w:t>Swagger</w:t>
      </w:r>
      <w:r>
        <w:rPr>
          <w:rFonts w:ascii="arial" w:eastAsia="arial" w:hAnsi="arial" w:cs="arial"/>
          <w:color w:val="000000"/>
          <w:sz w:val="20"/>
          <w:lang w:val="en-US" w:eastAsia="en-US" w:bidi="ar-SA"/>
        </w:rPr>
        <w:t>, there was no language in the insurance contract that would support such a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the Court of Appeal also rejected a submission that the insuring provisions of the commercial general liability policy in issue in that case provided coverage for damage to one part of the building caused by a defect in another. Progressive, a general contractor, appealed from the decision of the chambers judge refusing a declaration that its insurer was under a duty to defend Progressive in actions by the owners of a condominium project that had sustained extensive water damage through the failure of the building envelope. Progressive alleged that it sustained losses when defects in one part of the condominium project built by its subcontractors caused damage to other parts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at 60, Ryan J.A., for the majority of the Court of Appeal, declined to take from</w:t>
      </w:r>
      <w:r>
        <w:rPr>
          <w:rFonts w:ascii="arial" w:eastAsia="arial" w:hAnsi="arial" w:cs="arial"/>
          <w:i/>
          <w:color w:val="000000"/>
          <w:sz w:val="20"/>
          <w:lang w:val="en-US" w:eastAsia="en-US" w:bidi="ar-SA"/>
        </w:rPr>
        <w:t xml:space="preserve"> Winnipeg Condominium</w:t>
      </w:r>
      <w:r>
        <w:rPr>
          <w:rFonts w:ascii="arial" w:eastAsia="arial" w:hAnsi="arial" w:cs="arial"/>
          <w:color w:val="000000"/>
          <w:sz w:val="20"/>
          <w:lang w:val="en-US" w:eastAsia="en-US" w:bidi="ar-SA"/>
        </w:rPr>
        <w:t xml:space="preserve"> the proposition that damage resulting from a defect in one part of a building causing damage to other parts of the building could never be covered by a contract of insurance. Rather, coverage depended upon the wording of the policy. At para. 69, Ryan J.A., after noting that a plain reading of the policy could support the interpretation advanced by the insured,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such an interpretation flies in the face of the underlying assumption that insurance is designed to provide for fortuitous contingent risk. Progressive has allegedly constructed buildings which allow the entry of water from its roofs and walls, so much so that they are not inhabitable. The expected consequences of poor workmanship can hardly be classified as fortuitous. It follows that to establish the policies in question were designed to cover poor workmanship or faulty design, Progressive must demonstrate the policies contain clear language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Ryan J.A. noted that the pleadings alleged that the defects in the buildings were caused by Progressive's poor workmanship, and concluded, at para.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policies of insurance in the case at bar do not cover losses to the insured caused by poor workmanship. The policies in question do not contain the clear language necessary to overcome the implied assumption that insurance is designed to transfer fortuitous contingent risk. I would dismiss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GCAN Insurance Co. v. Concord Pacific Group Inc.</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2007 BCSC 241</w:t>
        </w:r>
      </w:hyperlink>
      <w:r>
        <w:rPr>
          <w:rFonts w:ascii="arial" w:eastAsia="arial" w:hAnsi="arial" w:cs="arial"/>
          <w:color w:val="000000"/>
          <w:sz w:val="20"/>
          <w:lang w:val="en-US" w:eastAsia="en-US" w:bidi="ar-SA"/>
        </w:rPr>
        <w:t>, the insured sought indemnity for claims made against it for the construction of a defective building envelope. The insured's defective work was alleged to have permitted water ingress causing damage to both the interior and exterior of the building. The court held that the insurance policy did not provide coverage where the insured was responsible for the construction of the building and its own defective work caused damage to other components of the building. At para. 95, the court stated that "</w:t>
      </w:r>
      <w:r>
        <w:rPr>
          <w:rFonts w:ascii="arial" w:eastAsia="arial" w:hAnsi="arial" w:cs="arial"/>
          <w:i/>
          <w:color w:val="000000"/>
          <w:sz w:val="20"/>
          <w:lang w:val="en-US" w:eastAsia="en-US" w:bidi="ar-SA"/>
        </w:rPr>
        <w:t>Swagger</w:t>
      </w:r>
      <w:r>
        <w:rPr>
          <w:rFonts w:ascii="arial" w:eastAsia="arial" w:hAnsi="arial" w:cs="arial"/>
          <w:color w:val="000000"/>
          <w:sz w:val="20"/>
          <w:lang w:val="en-US" w:eastAsia="en-US" w:bidi="ar-SA"/>
        </w:rPr>
        <w:t xml:space="preserve"> stands for the principle that in the context of an insurance policy covering physical injury to tangible property, defective construction is not an "accident" (and therefore coverage is excluded) unless there is damage to the person or property of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Privest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Swagger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GCAN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are authority for the proposition that under comprehensive general liability insurance policies that define property damage as physical injury to or destruction of tangible property, the insurer's obligation to indemnify will generally not be triggered where the property damage resulting from the insured's defective work is confined to the insured's own property, or to property for which the insured is responsible. In the absence of damage to a third party's property, the insured will not be entitled to indemnity for the cost of replacing or repairing its own defective work, or work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Hamilton Die Cast Inc. v. United States Fidelity and Guaranty Co.</w:t>
      </w:r>
      <w:r>
        <w:rPr>
          <w:rFonts w:ascii="arial" w:eastAsia="arial" w:hAnsi="arial" w:cs="arial"/>
          <w:color w:val="000000"/>
          <w:sz w:val="20"/>
          <w:lang w:val="en-US" w:eastAsia="en-US" w:bidi="ar-SA"/>
        </w:rPr>
        <w:t xml:space="preserve"> (1975), 508 F. 2d 417, the United States Court of Appeals, Seventh Circuit, held that the insured's supplying of defective tennis racquet frames to a customer did not engage coverage for property damage under the insured's commercial general liability insurance policy. Under that policy, "property damage" was defined as "injury to or destruction of tangible property." At para. 3,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an inventive, if far-fetched, approach, the plaintiff contends in this Court that there was "property damage" to the finished product, the racquet, by reason of the incorporation of the allegedly defective part, the frame. We do not think that the mere inclusion of a defective component, when no physical harm to other parts results therefrom, constitutes "property damage" within the meaning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Hamilton Die Cast</w:t>
      </w:r>
      <w:r>
        <w:rPr>
          <w:rFonts w:ascii="arial" w:eastAsia="arial" w:hAnsi="arial" w:cs="arial"/>
          <w:color w:val="000000"/>
          <w:sz w:val="20"/>
          <w:lang w:val="en-US" w:eastAsia="en-US" w:bidi="ar-SA"/>
        </w:rPr>
        <w:t>, the loss suffered by the insured's customer was diminution in the value of its finished product, and damage to its reputation, rather than property damage. The absence of physical harm to the third party's product resulting from the installation of the defective component was fatal to the insured's claim for indemnification for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 leading case on the distinction between property damage and pure economic loss is </w:t>
      </w:r>
      <w:r>
        <w:rPr>
          <w:rFonts w:ascii="arial" w:eastAsia="arial" w:hAnsi="arial" w:cs="arial"/>
          <w:i/>
          <w:color w:val="000000"/>
          <w:sz w:val="20"/>
          <w:lang w:val="en-US" w:eastAsia="en-US" w:bidi="ar-SA"/>
        </w:rPr>
        <w:t>Ontario (Attorney General) v. Fatehi</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[1984] 2 S.C.R. 536</w:t>
        </w:r>
      </w:hyperlink>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[1984] S.C.J. No. 57</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Fatehi</w:t>
      </w:r>
      <w:r>
        <w:rPr>
          <w:rFonts w:ascii="arial" w:eastAsia="arial" w:hAnsi="arial" w:cs="arial"/>
          <w:color w:val="000000"/>
          <w:sz w:val="20"/>
          <w:lang w:val="en-US" w:eastAsia="en-US" w:bidi="ar-SA"/>
        </w:rPr>
        <w:t>, at p. 4 (Q.L.), the Court held that the cost of removal of debris from a highway resulted from property damage to the highway because the road had "ceased to be a road in the sense of a traffic-carrying facility". The Crown as the owner of the road had suffered damage to its property as a result of the respondent rendering it unusable. The Court, at p. 5,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contrast to this direct injury to the property of the appellant, is the instance of what in law is sometimes called "pure economic loss". All pecuniary damage incurred with reference to property of a plaintiff is economic loss which entitles the plaintiff to be made whole so far as a monetary award can do. However, in the case of pure economic loss the Courts have historically taken a different approach. By "pure economic loss" the Courts have usually been taken to refer to a diminution of worth incurred without any physical injury to any asset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classic illustration of unrecoverable pure economic loss is the negligent damage to a highway which blocked traffic to the plaintiff's toll bridge. The Crown suffered the actual damage (in my view a recoverable category) to its highway while the plaintiff, the owner of the toll bridge, suffered pure economic loss, heretofore generally regarded as unrecoverable in the United Kingdom, the United States and Canada: see </w:t>
      </w:r>
      <w:r>
        <w:rPr>
          <w:rFonts w:ascii="arial" w:eastAsia="arial" w:hAnsi="arial" w:cs="arial"/>
          <w:i/>
          <w:color w:val="000000"/>
          <w:sz w:val="20"/>
          <w:lang w:val="en-US" w:eastAsia="en-US" w:bidi="ar-SA"/>
        </w:rPr>
        <w:t>Rickards v. Sun Oil Co.</w:t>
      </w:r>
      <w:r>
        <w:rPr>
          <w:rFonts w:ascii="arial" w:eastAsia="arial" w:hAnsi="arial" w:cs="arial"/>
          <w:color w:val="000000"/>
          <w:sz w:val="20"/>
          <w:lang w:val="en-US" w:eastAsia="en-US" w:bidi="ar-SA"/>
        </w:rPr>
        <w:t xml:space="preserve">, 41 A.2d 267 (1945); </w:t>
      </w:r>
      <w:r>
        <w:rPr>
          <w:rFonts w:ascii="arial" w:eastAsia="arial" w:hAnsi="arial" w:cs="arial"/>
          <w:i/>
          <w:color w:val="000000"/>
          <w:sz w:val="20"/>
          <w:lang w:val="en-US" w:eastAsia="en-US" w:bidi="ar-SA"/>
        </w:rPr>
        <w:t>Cattle v. Stockton Waterworks Co.</w:t>
      </w:r>
      <w:r>
        <w:rPr>
          <w:rFonts w:ascii="arial" w:eastAsia="arial" w:hAnsi="arial" w:cs="arial"/>
          <w:color w:val="000000"/>
          <w:sz w:val="20"/>
          <w:lang w:val="en-US" w:eastAsia="en-US" w:bidi="ar-SA"/>
        </w:rPr>
        <w:t xml:space="preserve">, L.R. 10 Q.B. 453,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Bulldog contends that there was physical damage to Sure-Gro's raw product, the soil and manure, insofar as 10 percent of that product could not be salvaged. In addition, Bulldog argues that its defective packaging was incorporated into Sure-Gro's end product, which consisted of the packaged soil and manure, and that there was physical damage to that product because it was rendered useless for its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Carwald Concrete and Gravel Co. v. General Security Insurance Company of Canada and The Canadian Indemnity Co.</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(1985), 24 D.L.R. (4th) 58</w:t>
        </w:r>
      </w:hyperlink>
      <w:r>
        <w:rPr>
          <w:rFonts w:ascii="arial" w:eastAsia="arial" w:hAnsi="arial" w:cs="arial"/>
          <w:color w:val="000000"/>
          <w:sz w:val="20"/>
          <w:lang w:val="en-US" w:eastAsia="en-US" w:bidi="ar-SA"/>
        </w:rPr>
        <w:t xml:space="preserve"> (Alta. C.A.). The general contractor engaged Carwald to supply and pour concrete for a concrete pad on which a gas plant was to be constructed. Carwald mixed and poured defective concrete over the general contractor's steel rebar, ducting, wiring and plumbing, rendering all of that material useless for the purpose for which it had been installed. The court found at para. 20 that this constituted physical injury to tangible property. At para. 51, the court found that damage to property occurred when Carwald mixed the defective cement with aggregate in manufacturing the concrete, and that further damage to property occurred when the concrete was poured over the embedded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Carwald</w:t>
      </w:r>
      <w:r>
        <w:rPr>
          <w:rFonts w:ascii="arial" w:eastAsia="arial" w:hAnsi="arial" w:cs="arial"/>
          <w:color w:val="000000"/>
          <w:sz w:val="20"/>
          <w:lang w:val="en-US" w:eastAsia="en-US" w:bidi="ar-SA"/>
        </w:rPr>
        <w:t>, an "own product" exclusion excluded coverage for the defective cement or the cost of replacement cement. However the cost of removing the defective concrete and the cost of replacing the defective cement was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Carwald</w:t>
      </w:r>
      <w:r>
        <w:rPr>
          <w:rFonts w:ascii="arial" w:eastAsia="arial" w:hAnsi="arial" w:cs="arial"/>
          <w:color w:val="000000"/>
          <w:sz w:val="20"/>
          <w:lang w:val="en-US" w:eastAsia="en-US" w:bidi="ar-SA"/>
        </w:rPr>
        <w:t xml:space="preserve">, the Alberta Court of Appeal referred to a number of American cases which considered the meaning of the words "damage to property" in general liability policies, including </w:t>
      </w:r>
      <w:r>
        <w:rPr>
          <w:rFonts w:ascii="arial" w:eastAsia="arial" w:hAnsi="arial" w:cs="arial"/>
          <w:i/>
          <w:color w:val="000000"/>
          <w:sz w:val="20"/>
          <w:lang w:val="en-US" w:eastAsia="en-US" w:bidi="ar-SA"/>
        </w:rPr>
        <w:t>Bundy Tubing Company v. Royal Indemnity Company</w:t>
      </w:r>
      <w:r>
        <w:rPr>
          <w:rFonts w:ascii="arial" w:eastAsia="arial" w:hAnsi="arial" w:cs="arial"/>
          <w:color w:val="000000"/>
          <w:sz w:val="20"/>
          <w:lang w:val="en-US" w:eastAsia="en-US" w:bidi="ar-SA"/>
        </w:rPr>
        <w:t xml:space="preserve"> (1962), 298 F. 2d 151, a judgment of the United States Court of Appeals, Sixth Circuit. Bundy was the manufacturer of defective radiant heat tubing that building contractors incorporated into cement floors. Although the tubing did not damage the cement, in order to repair the defect, the cement floors had to be removed and replaced. When Bundy claimed against its insurer for indemnification for the costs of removal and replacement of the concrete floors, the insurer argued that the old concrete had not been damaged in any accident and that liability was excluded under an exclusion clause which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does not apply ... to injury or destruction of ... any goods or products manufactured, sold, handled or distributed or premises alienated by the named insured, or work completed by or for the named insured, out of which the accident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Bundy</w:t>
      </w:r>
      <w:r>
        <w:rPr>
          <w:rFonts w:ascii="arial" w:eastAsia="arial" w:hAnsi="arial" w:cs="arial"/>
          <w:color w:val="000000"/>
          <w:sz w:val="20"/>
          <w:lang w:val="en-US" w:eastAsia="en-US" w:bidi="ar-SA"/>
        </w:rPr>
        <w:t xml:space="preserve"> at p. 153, the court found that property was damaged by the installation of defective tubing in a radiant heating system which caused the system to fail and become useless, and that the failure of the tubing in the heating system in a relatively short time was unforeseen, unexpected and unintended. Damage to the property was therefore caused by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exclusion clause precluded recovery by Bundy for the value of the defective tubing or the cost of new tubing to replace it. However, the exclusion for "work completed by or for the named insured" did not apply because Bundy did not install any of the tubing. At p. 154, the court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value of the defective tubing or the cost of new tubing cannot be included as part of the damage. The cost of removing the defective tubing and the cost of installing new tubing is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Carwald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Bundy</w:t>
      </w:r>
      <w:r>
        <w:rPr>
          <w:rFonts w:ascii="arial" w:eastAsia="arial" w:hAnsi="arial" w:cs="arial"/>
          <w:color w:val="000000"/>
          <w:sz w:val="20"/>
          <w:lang w:val="en-US" w:eastAsia="en-US" w:bidi="ar-SA"/>
        </w:rPr>
        <w:t xml:space="preserve"> are persuasive authority for the principle that where the installation or incorporation of the insured's defective component cause physical damage to a third party's property, the cost of repairing the damage caused by the defective component is recoverable. Where property damage will only be incurred during the repair or replacement of the defective component, the costs of repair or replacement, other than the value of the defective component and the cost of the new component, will be recoverable, subject to any exclusions in the policy: </w:t>
      </w:r>
      <w:r>
        <w:rPr>
          <w:rFonts w:ascii="arial" w:eastAsia="arial" w:hAnsi="arial" w:cs="arial"/>
          <w:i/>
          <w:color w:val="000000"/>
          <w:sz w:val="20"/>
          <w:lang w:val="en-US" w:eastAsia="en-US" w:bidi="ar-SA"/>
        </w:rPr>
        <w:t>Bundy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Axa submits that the concept of incorporation applies to determine whether the property of a third party has suffered damage. The defendant says this is not a case where the use of Bulldog's packaging changed the essential nature of either its product, or Sure-Gro's product, so as to make it impossible to identify which product was manufactured by the plaintiff and which was produced by Sure-Gro. Axa submits that Bulldog's product was the plastic packaging, whereas the third party's property was separate and identifiable as the soil and manure contained in that packaging.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Subject always to the language of the insurance policy, where an insured's defective product is completely incorporated into a product of a third party, and the end product is rendered wholly useless for its intended purpose, the court may find that the third party's product has sustained property damage: </w:t>
      </w:r>
      <w:r>
        <w:rPr>
          <w:rFonts w:ascii="arial" w:eastAsia="arial" w:hAnsi="arial" w:cs="arial"/>
          <w:i/>
          <w:color w:val="000000"/>
          <w:sz w:val="20"/>
          <w:lang w:val="en-US" w:eastAsia="en-US" w:bidi="ar-SA"/>
        </w:rPr>
        <w:t>Carwald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Gulf Plastics Ltd. v. Cornhill Insurance Co.</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(1990), 47 B.C.L.R. (2d) 379</w:t>
        </w:r>
      </w:hyperlink>
      <w:r>
        <w:rPr>
          <w:rFonts w:ascii="arial" w:eastAsia="arial" w:hAnsi="arial" w:cs="arial"/>
          <w:color w:val="000000"/>
          <w:sz w:val="20"/>
          <w:lang w:val="en-US" w:eastAsia="en-US" w:bidi="ar-SA"/>
        </w:rPr>
        <w:t xml:space="preserve"> In (S.C.), aff'd </w:t>
      </w:r>
      <w:hyperlink r:id="rId112" w:history="1">
        <w:r>
          <w:rPr>
            <w:rFonts w:ascii="arial" w:eastAsia="arial" w:hAnsi="arial" w:cs="arial"/>
            <w:i/>
            <w:color w:val="0077CC"/>
            <w:sz w:val="20"/>
            <w:u w:val="single"/>
            <w:shd w:val="clear" w:color="auto" w:fill="FFFFFF"/>
            <w:lang w:val="en-US" w:eastAsia="en-US" w:bidi="ar-SA"/>
          </w:rPr>
          <w:t>61 B.C.L.R. (2d) 64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Hironaka v. Co-Operators General Insurance Co.</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2005 ABQB 705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Gulf Plastics</w:t>
      </w:r>
      <w:r>
        <w:rPr>
          <w:rFonts w:ascii="arial" w:eastAsia="arial" w:hAnsi="arial" w:cs="arial"/>
          <w:color w:val="000000"/>
          <w:sz w:val="20"/>
          <w:lang w:val="en-US" w:eastAsia="en-US" w:bidi="ar-SA"/>
        </w:rPr>
        <w:t>, the insured, after receiving a faulty chemical from a supplier, used that chemical in its "master batch", and then shipped the master batch to its customer who used it to manufacture freezer bags. The defective chemical prevented the bags from sealing properly. The court held that there was physical damage to the freezer bags. The trial judge, at p. 383,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Flexpack, as the owner of the film, has suffered damage to its property because the film has been deprived of one of the qualities that gave it utility and value, that is, the property of being sealed by heat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court reasoned that the film was physically injured by the loss of its vital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Hironaka</w:t>
      </w:r>
      <w:r>
        <w:rPr>
          <w:rFonts w:ascii="arial" w:eastAsia="arial" w:hAnsi="arial" w:cs="arial"/>
          <w:color w:val="000000"/>
          <w:sz w:val="20"/>
          <w:lang w:val="en-US" w:eastAsia="en-US" w:bidi="ar-SA"/>
        </w:rPr>
        <w:t>, the insured grew and sold potatoes that were warranted not to contain genetically modified organisms ("GMOs") to a purchaser who used them to manufacture a GMO free snack food. The potatoes did contain GMOs, although not as a result of any deficiency in Hironaka's farming methods. The snack food was recalled, and the purchaser of the potatoes sued Hironaka for breach of warranty and breach of contract. Co-Operators applied for a declaration that it was not obliged to defend Hironaka.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court held in </w:t>
      </w:r>
      <w:r>
        <w:rPr>
          <w:rFonts w:ascii="arial" w:eastAsia="arial" w:hAnsi="arial" w:cs="arial"/>
          <w:i/>
          <w:color w:val="000000"/>
          <w:sz w:val="20"/>
          <w:lang w:val="en-US" w:eastAsia="en-US" w:bidi="ar-SA"/>
        </w:rPr>
        <w:t>Hironaka</w:t>
      </w:r>
      <w:r>
        <w:rPr>
          <w:rFonts w:ascii="arial" w:eastAsia="arial" w:hAnsi="arial" w:cs="arial"/>
          <w:color w:val="000000"/>
          <w:sz w:val="20"/>
          <w:lang w:val="en-US" w:eastAsia="en-US" w:bidi="ar-SA"/>
        </w:rPr>
        <w:t xml:space="preserve"> at para. 39 that the presence of the GMO modified the potato and made it wholly unsuitable for its intended use. The presence of the GMO was a defect which caused property damage to the finished product -- the fully grown potato and the snack food. The court concluded that there was possible "physical injury or destruction of tangible property" within the meaning of the insured's general liability insurance policy. The insurer therefore had a duty to defend its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both </w:t>
      </w:r>
      <w:r>
        <w:rPr>
          <w:rFonts w:ascii="arial" w:eastAsia="arial" w:hAnsi="arial" w:cs="arial"/>
          <w:i/>
          <w:color w:val="000000"/>
          <w:sz w:val="20"/>
          <w:lang w:val="en-US" w:eastAsia="en-US" w:bidi="ar-SA"/>
        </w:rPr>
        <w:t>Gulf Plastics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Hironaka</w:t>
      </w:r>
      <w:r>
        <w:rPr>
          <w:rFonts w:ascii="arial" w:eastAsia="arial" w:hAnsi="arial" w:cs="arial"/>
          <w:color w:val="000000"/>
          <w:sz w:val="20"/>
          <w:lang w:val="en-US" w:eastAsia="en-US" w:bidi="ar-SA"/>
        </w:rPr>
        <w:t>, the third parties' final product was irreparably damaged or rendered wholly unsuitable for the purpose for which it was finally sold (</w:t>
      </w:r>
      <w:r>
        <w:rPr>
          <w:rFonts w:ascii="arial" w:eastAsia="arial" w:hAnsi="arial" w:cs="arial"/>
          <w:i/>
          <w:color w:val="000000"/>
          <w:sz w:val="20"/>
          <w:lang w:val="en-US" w:eastAsia="en-US" w:bidi="ar-SA"/>
        </w:rPr>
        <w:t>Hironaka</w:t>
      </w:r>
      <w:r>
        <w:rPr>
          <w:rFonts w:ascii="arial" w:eastAsia="arial" w:hAnsi="arial" w:cs="arial"/>
          <w:color w:val="000000"/>
          <w:sz w:val="20"/>
          <w:lang w:val="en-US" w:eastAsia="en-US" w:bidi="ar-SA"/>
        </w:rPr>
        <w:t xml:space="preserve"> at para. 39). The instant case is distinguishable in that most of Sure-Gro's raw materials were salvaged unharmed, were repackaged, and ultimately sold to Canadian Tire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National Union Fire Insurance Co. v. Terra Industries</w:t>
      </w:r>
      <w:r>
        <w:rPr>
          <w:rFonts w:ascii="arial" w:eastAsia="arial" w:hAnsi="arial" w:cs="arial"/>
          <w:color w:val="000000"/>
          <w:sz w:val="20"/>
          <w:lang w:val="en-US" w:eastAsia="en-US" w:bidi="ar-SA"/>
        </w:rPr>
        <w:t>, 216 F. Supp. 2d 899 (U.S. Dist. Ct.), the insured supplied benzene contaminated carbon dioxide to a bottler, who incorporated the insured's contaminated product into its soft drinks. The contaminated carbon dioxide could not be removed from the beverages, and as a result the entire beverage was rendered unfit for human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court considered whether the incorporation of the contaminated product in the third party's beverage constituted property damage under National Union's policy. That policy defined "property damage" as "Physical injury to tangible property, including all resulting loss of use of that property." In </w:t>
      </w:r>
      <w:r>
        <w:rPr>
          <w:rFonts w:ascii="arial" w:eastAsia="arial" w:hAnsi="arial" w:cs="arial"/>
          <w:i/>
          <w:color w:val="000000"/>
          <w:sz w:val="20"/>
          <w:lang w:val="en-US" w:eastAsia="en-US" w:bidi="ar-SA"/>
        </w:rPr>
        <w:t>Terra Industries</w:t>
      </w:r>
      <w:r>
        <w:rPr>
          <w:rFonts w:ascii="arial" w:eastAsia="arial" w:hAnsi="arial" w:cs="arial"/>
          <w:color w:val="000000"/>
          <w:sz w:val="20"/>
          <w:lang w:val="en-US" w:eastAsia="en-US" w:bidi="ar-SA"/>
        </w:rPr>
        <w:t xml:space="preserve"> at p. 913, the court referred to a line of American authority, including </w:t>
      </w:r>
      <w:r>
        <w:rPr>
          <w:rFonts w:ascii="arial" w:eastAsia="arial" w:hAnsi="arial" w:cs="arial"/>
          <w:i/>
          <w:color w:val="000000"/>
          <w:sz w:val="20"/>
          <w:lang w:val="en-US" w:eastAsia="en-US" w:bidi="ar-SA"/>
        </w:rPr>
        <w:t>Kartig Pak Co. v. Travelers Indem. Co.</w:t>
      </w:r>
      <w:r>
        <w:rPr>
          <w:rFonts w:ascii="arial" w:eastAsia="arial" w:hAnsi="arial" w:cs="arial"/>
          <w:color w:val="000000"/>
          <w:sz w:val="20"/>
          <w:lang w:val="en-US" w:eastAsia="en-US" w:bidi="ar-SA"/>
        </w:rPr>
        <w:t xml:space="preserve">, 425 N.W. 2d 687 (Iowa Ct. App. 1988), which established that the diminution in value of a product that resulted from the inclusion of a defective part did not constitute property damage. The court held at p. 918 that the term "physical injury to tangible property" unambiguously connoted "damage to tangible property causing an alteration in appearance, shape, colour, or other material dimension". The carbon dioxide adulterated by a known carcinogen altered the third party's beverage "in other material dimension" by rendering it unfit for human consumption. In </w:t>
      </w:r>
      <w:r>
        <w:rPr>
          <w:rFonts w:ascii="arial" w:eastAsia="arial" w:hAnsi="arial" w:cs="arial"/>
          <w:i/>
          <w:color w:val="000000"/>
          <w:sz w:val="20"/>
          <w:lang w:val="en-US" w:eastAsia="en-US" w:bidi="ar-SA"/>
        </w:rPr>
        <w:t>Terra Industries</w:t>
      </w:r>
      <w:r>
        <w:rPr>
          <w:rFonts w:ascii="arial" w:eastAsia="arial" w:hAnsi="arial" w:cs="arial"/>
          <w:color w:val="000000"/>
          <w:sz w:val="20"/>
          <w:lang w:val="en-US" w:eastAsia="en-US" w:bidi="ar-SA"/>
        </w:rPr>
        <w:t xml:space="preserve"> at p. 919, the court concluded that the contamination of the insured's product and its sale for incorporation into carbonated beverages intended for human consumption was an "occurrence" under National Union's policy that resulted in "property damage" when the adulterated product was incorporated into the beverages.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Carwald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Gulf Plastic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Terra Industries</w:t>
      </w:r>
      <w:r>
        <w:rPr>
          <w:rFonts w:ascii="arial" w:eastAsia="arial" w:hAnsi="arial" w:cs="arial"/>
          <w:color w:val="000000"/>
          <w:sz w:val="20"/>
          <w:lang w:val="en-US" w:eastAsia="en-US" w:bidi="ar-SA"/>
        </w:rPr>
        <w:t xml:space="preserve"> are all cases where the insured's defective product was completely incorporated into the third party's product with the result that the two products could not be physically separated. In </w:t>
      </w:r>
      <w:r>
        <w:rPr>
          <w:rFonts w:ascii="arial" w:eastAsia="arial" w:hAnsi="arial" w:cs="arial"/>
          <w:i/>
          <w:color w:val="000000"/>
          <w:sz w:val="20"/>
          <w:lang w:val="en-US" w:eastAsia="en-US" w:bidi="ar-SA"/>
        </w:rPr>
        <w:t>Gulf Plastic</w:t>
      </w:r>
      <w:r>
        <w:rPr>
          <w:rFonts w:ascii="arial" w:eastAsia="arial" w:hAnsi="arial" w:cs="arial"/>
          <w:color w:val="000000"/>
          <w:sz w:val="20"/>
          <w:lang w:val="en-US" w:eastAsia="en-US" w:bidi="ar-SA"/>
        </w:rPr>
        <w:t xml:space="preserve">, the insured's defective product damaged the whole of the third party's product. The defective ingredient in the master batch manufactured by the insured completely ruined the third party's property. In </w:t>
      </w:r>
      <w:r>
        <w:rPr>
          <w:rFonts w:ascii="arial" w:eastAsia="arial" w:hAnsi="arial" w:cs="arial"/>
          <w:i/>
          <w:color w:val="000000"/>
          <w:sz w:val="20"/>
          <w:lang w:val="en-US" w:eastAsia="en-US" w:bidi="ar-SA"/>
        </w:rPr>
        <w:t>Gulf Plastic</w:t>
      </w:r>
      <w:r>
        <w:rPr>
          <w:rFonts w:ascii="arial" w:eastAsia="arial" w:hAnsi="arial" w:cs="arial"/>
          <w:color w:val="000000"/>
          <w:sz w:val="20"/>
          <w:lang w:val="en-US" w:eastAsia="en-US" w:bidi="ar-SA"/>
        </w:rPr>
        <w:t>, at p. 386,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a case where one component is damaged and it reduces the value of the whole and is withdrawn, but a case where the whole, the very thing itself, is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Bulldog also relies upon</w:t>
      </w:r>
      <w:r>
        <w:rPr>
          <w:rFonts w:ascii="arial" w:eastAsia="arial" w:hAnsi="arial" w:cs="arial"/>
          <w:i/>
          <w:color w:val="000000"/>
          <w:sz w:val="20"/>
          <w:lang w:val="en-US" w:eastAsia="en-US" w:bidi="ar-SA"/>
        </w:rPr>
        <w:t xml:space="preserve"> Sethness-Greenleaf, Inc. v. Cigna Property and Casualty Insurance Company</w:t>
      </w:r>
      <w:r>
        <w:rPr>
          <w:rFonts w:ascii="arial" w:eastAsia="arial" w:hAnsi="arial" w:cs="arial"/>
          <w:color w:val="000000"/>
          <w:sz w:val="20"/>
          <w:lang w:val="en-US" w:eastAsia="en-US" w:bidi="ar-SA"/>
        </w:rPr>
        <w:t xml:space="preserve">, 1995 U.S. Dist. LEXIS 14022 (U.S. Dist. Ct.), for the principle that where a defective component is so intertwined with an entire product that the defective component may not be removed without physical injury to the completed product, there is property damage to the completed product. In </w:t>
      </w:r>
      <w:r>
        <w:rPr>
          <w:rFonts w:ascii="arial" w:eastAsia="arial" w:hAnsi="arial" w:cs="arial"/>
          <w:i/>
          <w:color w:val="000000"/>
          <w:sz w:val="20"/>
          <w:lang w:val="en-US" w:eastAsia="en-US" w:bidi="ar-SA"/>
        </w:rPr>
        <w:t>Sethness-Greenleaf</w:t>
      </w:r>
      <w:r>
        <w:rPr>
          <w:rFonts w:ascii="arial" w:eastAsia="arial" w:hAnsi="arial" w:cs="arial"/>
          <w:color w:val="000000"/>
          <w:sz w:val="20"/>
          <w:lang w:val="en-US" w:eastAsia="en-US" w:bidi="ar-SA"/>
        </w:rPr>
        <w:t>, the insured supplied defective concentrate to a manufacturer of soft drinks. The incorporation of the defective concentrate into the manufacturer's product resulted in the recall and destruction of the entire product manufactured from the defective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 more analogous fact situation to the case at bar would be one where an insured produced and supplied to a soft drink manufacturer defective bottles which, without contaminating the contents, rendered the third party's bottled soft drink unfit for sale. Assume that the soft drink manufacturer was able to salvage 90 percent of the contents of the defective bottles, and that 10 percent of the soft drink was lost in the salvaging process. In this situation, it would be possible to separate the insured's defective product from the manufacturer's soft drink, to replace the defective bottles, and to reuse the salvaged soft drink. The insured would have no claim for the cost of the defective bottles or for the cost of salvaging the manufacturer's soft drink and re-bottling it since all of those costs would flow from the insured's own faulty workmanship. In the absence of property damage to the third party's product, the soft drink, the insured would not be able to recover those costs from its insurer. At best, and depending on the language of the policy, the insured's claim would be limited to the 10 percent of the soft drink lost in the salvaging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Alie v. Bertrand &amp; Fr</w:t>
      </w:r>
      <w:r>
        <w:rPr>
          <w:rFonts w:ascii="arial" w:eastAsia="arial" w:hAnsi="arial" w:cs="arial"/>
          <w:color w:val="000000"/>
          <w:sz w:val="20"/>
          <w:lang w:val="en-US" w:eastAsia="en-US" w:bidi="ar-SA"/>
        </w:rPr>
        <w:t>è</w:t>
      </w:r>
      <w:r>
        <w:rPr>
          <w:rFonts w:ascii="arial" w:eastAsia="arial" w:hAnsi="arial" w:cs="arial"/>
          <w:i/>
          <w:color w:val="000000"/>
          <w:sz w:val="20"/>
          <w:lang w:val="en-US" w:eastAsia="en-US" w:bidi="ar-SA"/>
        </w:rPr>
        <w:t>re Construction Co.</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[2000] O.J. No. 1360</w:t>
        </w:r>
      </w:hyperlink>
      <w:r>
        <w:rPr>
          <w:rFonts w:ascii="arial" w:eastAsia="arial" w:hAnsi="arial" w:cs="arial"/>
          <w:color w:val="000000"/>
          <w:sz w:val="20"/>
          <w:lang w:val="en-US" w:eastAsia="en-US" w:bidi="ar-SA"/>
        </w:rPr>
        <w:t xml:space="preserve"> (Ont. S.C.J.) aff'd in part </w:t>
      </w:r>
      <w:hyperlink r:id="rId98" w:history="1">
        <w:r>
          <w:rPr>
            <w:rFonts w:ascii="arial" w:eastAsia="arial" w:hAnsi="arial" w:cs="arial"/>
            <w:i/>
            <w:color w:val="0077CC"/>
            <w:sz w:val="20"/>
            <w:u w:val="single"/>
            <w:shd w:val="clear" w:color="auto" w:fill="FFFFFF"/>
            <w:lang w:val="en-US" w:eastAsia="en-US" w:bidi="ar-SA"/>
          </w:rPr>
          <w:t>(2002), 62 O.R. (3d) 345</w:t>
        </w:r>
      </w:hyperlink>
      <w:r>
        <w:rPr>
          <w:rFonts w:ascii="arial" w:eastAsia="arial" w:hAnsi="arial" w:cs="arial"/>
          <w:color w:val="000000"/>
          <w:sz w:val="20"/>
          <w:lang w:val="en-US" w:eastAsia="en-US" w:bidi="ar-SA"/>
        </w:rPr>
        <w:t xml:space="preserve">, the insured's defective fly ash was incorporated into concrete used in the foundations for a housing product. The court found that there was property damage. After reviewing </w:t>
      </w:r>
      <w:r>
        <w:rPr>
          <w:rFonts w:ascii="arial" w:eastAsia="arial" w:hAnsi="arial" w:cs="arial"/>
          <w:i/>
          <w:color w:val="000000"/>
          <w:sz w:val="20"/>
          <w:lang w:val="en-US" w:eastAsia="en-US" w:bidi="ar-SA"/>
        </w:rPr>
        <w:t>Gulf Plastics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Carwald</w:t>
      </w:r>
      <w:r>
        <w:rPr>
          <w:rFonts w:ascii="arial" w:eastAsia="arial" w:hAnsi="arial" w:cs="arial"/>
          <w:color w:val="000000"/>
          <w:sz w:val="20"/>
          <w:lang w:val="en-US" w:eastAsia="en-US" w:bidi="ar-SA"/>
        </w:rPr>
        <w:t>, Roy J. of the Ontario Superior Court of Justice held at paras. 308 and 309: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308 Whether there is or is not coverage will depend on the facts of each case. Clearly if the defective product becomes part of the whole of a third party's product, or is incorporated in a third party's product and can't be removed or repaired without either rendering the third party's product useless or damaging it, the Courts have concluded that that is property damage and coverage will follow.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309 In following the sequences of events here, insertion of Lafarge's faulty FA into Bertrand's concrete would result in property damage suffered by a third party, that is Bertrand. Obviously, the problem cannot be resolved by attempting to remove the FA from Bertrand's concrete. I would have no difficulty, therefore, in concluding there had been property damage resulting in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case at bar, Bulldog's product was an integral but not inseparable part of Sure-Gro's finished product. The packaging supplied by Bulldog identified Sure-Gro's product, and provided customers with directions as to its use. The defective packaging contained Sure-Gro's product in the individual bags of soil or manure designed and intended for sale to Canadian Tire customers across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Unlike </w:t>
      </w:r>
      <w:r>
        <w:rPr>
          <w:rFonts w:ascii="arial" w:eastAsia="arial" w:hAnsi="arial" w:cs="arial"/>
          <w:i/>
          <w:color w:val="000000"/>
          <w:sz w:val="20"/>
          <w:lang w:val="en-US" w:eastAsia="en-US" w:bidi="ar-SA"/>
        </w:rPr>
        <w:t>Alie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Gulf Plastics</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Terra</w:t>
      </w:r>
      <w:r>
        <w:rPr>
          <w:rFonts w:ascii="arial" w:eastAsia="arial" w:hAnsi="arial" w:cs="arial"/>
          <w:color w:val="000000"/>
          <w:sz w:val="20"/>
          <w:lang w:val="en-US" w:eastAsia="en-US" w:bidi="ar-SA"/>
        </w:rPr>
        <w:t>, there was no penetration or contamination of Sure-Gro's product by the defective ink. When the ink ran, rendering the labels at least partially illegible, Sure-Gro's finished product, the bagged manure and soil, was no longer suitable for its intended purpose. However, at that point, the manure and soil contained in the defective packaging was undamaged, and could be separated from the packaging.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When the ink ran as a result of exposure to moisture, there was physical damage to the labelling, which formed part of Bulldog's defective work product. Bulldog acknowledges that it has no claim -- and it advances no claim -- for recovery of the cost of its defective packaging. As a result of the physical damage to the packaging, Sure-Gro was unable to sell the bagged manure and soil to Canadian Tire. It was necessary to slash the bags and remove the soil and manure, which had sustained no physical injury as a result of the damage to the insured's defective packaging. The additional expenses incurred by Sure-Gro to package replacement soil and manure products in order to fulfil its contract with Canadian Tire were incurred as a result of Bulldog's defective work product, rather than any physical injury to Sure-Gro's manure and soil.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About 90 percent of Sure-Gro's product was salvaged, repackaged, and then sold to Canadian Tire at a later date. Sure-Gro only temporarily lost the use of this undamaged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costs incurred by Sure-Gro in removing its product from the defective packaging, disposing of that packaging, and packaging replacement material for sale to Canadian Tire all constitute economic loss flowing from Bulldog's supply of defective packaging in breach of its contract with Sure-Gro. Bulldog was obligated under law and by its contract to compensate Sure-Gro for this loss. However, Bulldog is not entitled to indemnification for the cost of replacing its defective product, unless there was physical injury to or destruction of some tangible property of Sure-Gro.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the course of salvaging Sure-Gro's product, 10 percent of the material was either lost or discarded when it could not be readily or economically separated from the plastic packaging. Some frozen material adhered to the bags and was disposed of with the defective packaging. Some frozen material was screened out during reprocessing and then discarded. The definition of "destruction" in the Compact Edition of the </w:t>
      </w:r>
      <w:r>
        <w:rPr>
          <w:rFonts w:ascii="arial" w:eastAsia="arial" w:hAnsi="arial" w:cs="arial"/>
          <w:i/>
          <w:color w:val="000000"/>
          <w:sz w:val="20"/>
          <w:lang w:val="en-US" w:eastAsia="en-US" w:bidi="ar-SA"/>
        </w:rPr>
        <w:t>Oxford English Dictionary</w:t>
      </w:r>
      <w:r>
        <w:rPr>
          <w:rFonts w:ascii="arial" w:eastAsia="arial" w:hAnsi="arial" w:cs="arial"/>
          <w:color w:val="000000"/>
          <w:sz w:val="20"/>
          <w:lang w:val="en-US" w:eastAsia="en-US" w:bidi="ar-SA"/>
        </w:rPr>
        <w:t xml:space="preserve"> includes: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of demolishing a building or structure of any kind, of pulling to pieces, reducing to fragments, undoing, wasting, rendering useless, putting an end to, or doing away with anything material or immaterial.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Giving the words of the Policy their ordinary meaning, and bearing in mind the principle that coverage provisions should be construed broadly and exclusion clauses narrowly, in my view, the permanent loss and disposal of 10 percent of Sure-Gro's material through the salvaging process amounted to the physical destruction of tangible property within the meaning of the Policy, and constituted property damage to Sure-Gro's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property damage was confined to the 10 percent of the product which could not be salvaged. Mr. Orser has given evidence that the claim for lost Sure-Gro product amounts to about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Bulldog has established a claim for property damage, which, subject to there being an "occurrence", comes within the Insuring Agreement, but is limited to the 10 percent of Sure-Gro's product lost through the salvaging process.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Was there an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Under the Policy, the property damage must be due to an accident or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Axa first raised in its Outline the submission that there was no "occurrence" within the meaning of the Policy. The defendant did not plead this point in its statement of defence. However, both parties made written and oral submissions on this issue, which I will address in order to determine whether there is coverage under the Policy for any part of the loss for which Bulldog claims indemnification.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Axa submits that there is no occurrence where loss flows from the insured's defective work, or work product. In support of this proposition, Axa relies upon </w:t>
      </w:r>
      <w:r>
        <w:rPr>
          <w:rFonts w:ascii="arial" w:eastAsia="arial" w:hAnsi="arial" w:cs="arial"/>
          <w:i/>
          <w:color w:val="000000"/>
          <w:sz w:val="20"/>
          <w:lang w:val="en-US" w:eastAsia="en-US" w:bidi="ar-SA"/>
        </w:rPr>
        <w:t>Celestica Inc v. ACE INA Insurance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(2003), 229 D.L.R. (4th) 392</w:t>
        </w:r>
      </w:hyperlink>
      <w:r>
        <w:rPr>
          <w:rFonts w:ascii="arial" w:eastAsia="arial" w:hAnsi="arial" w:cs="arial"/>
          <w:color w:val="000000"/>
          <w:sz w:val="20"/>
          <w:lang w:val="en-US" w:eastAsia="en-US" w:bidi="ar-SA"/>
        </w:rPr>
        <w:t xml:space="preserve"> (Ont. C.A.). In </w:t>
      </w:r>
      <w:r>
        <w:rPr>
          <w:rFonts w:ascii="arial" w:eastAsia="arial" w:hAnsi="arial" w:cs="arial"/>
          <w:i/>
          <w:color w:val="000000"/>
          <w:sz w:val="20"/>
          <w:lang w:val="en-US" w:eastAsia="en-US" w:bidi="ar-SA"/>
        </w:rPr>
        <w:t>Celestica</w:t>
      </w:r>
      <w:r>
        <w:rPr>
          <w:rFonts w:ascii="arial" w:eastAsia="arial" w:hAnsi="arial" w:cs="arial"/>
          <w:color w:val="000000"/>
          <w:sz w:val="20"/>
          <w:lang w:val="en-US" w:eastAsia="en-US" w:bidi="ar-SA"/>
        </w:rPr>
        <w:t>, the insured supplied defective parts for transformers installed in Xerox copiers. The insured's product created a risk of electrical damage to Xerox copiers sold outside North America. For all European countries other than France, the insured was required to replace the power cord. In France, the insured was required to replace a power supply board, which required dismantling the copier, removing the original power supply board and replacing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Celestica</w:t>
      </w:r>
      <w:r>
        <w:rPr>
          <w:rFonts w:ascii="arial" w:eastAsia="arial" w:hAnsi="arial" w:cs="arial"/>
          <w:color w:val="000000"/>
          <w:sz w:val="20"/>
          <w:lang w:val="en-US" w:eastAsia="en-US" w:bidi="ar-SA"/>
        </w:rPr>
        <w:t>, the insurer made a concession that the insertion of its defective part in the transformers caused notional damage to Xerox's copiers and that but for the remedial work, there would be a diminution in value of those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Ontario Court of Appeal, relying on the same policy reasons which in </w:t>
      </w:r>
      <w:r>
        <w:rPr>
          <w:rFonts w:ascii="arial" w:eastAsia="arial" w:hAnsi="arial" w:cs="arial"/>
          <w:i/>
          <w:color w:val="000000"/>
          <w:sz w:val="20"/>
          <w:lang w:val="en-US" w:eastAsia="en-US" w:bidi="ar-SA"/>
        </w:rPr>
        <w:t>Privest</w:t>
      </w:r>
      <w:r>
        <w:rPr>
          <w:rFonts w:ascii="arial" w:eastAsia="arial" w:hAnsi="arial" w:cs="arial"/>
          <w:color w:val="000000"/>
          <w:sz w:val="20"/>
          <w:lang w:val="en-US" w:eastAsia="en-US" w:bidi="ar-SA"/>
        </w:rPr>
        <w:t xml:space="preserve"> militated against the use of insurance proceeds to pay for the repair or replacement of an insured's defective work and products, concluded at paras. 31 and 34 that defective workmanship did not constitute an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insurance policy in question defined "occurrence" as "an accident including continuous or repeated exposure to substantially the same general harmful condition." (</w:t>
      </w:r>
      <w:r>
        <w:rPr>
          <w:rFonts w:ascii="arial" w:eastAsia="arial" w:hAnsi="arial" w:cs="arial"/>
          <w:i/>
          <w:color w:val="000000"/>
          <w:sz w:val="20"/>
          <w:lang w:val="en-US" w:eastAsia="en-US" w:bidi="ar-SA"/>
        </w:rPr>
        <w:t>Celestica</w:t>
      </w:r>
      <w:r>
        <w:rPr>
          <w:rFonts w:ascii="arial" w:eastAsia="arial" w:hAnsi="arial" w:cs="arial"/>
          <w:color w:val="000000"/>
          <w:sz w:val="20"/>
          <w:lang w:val="en-US" w:eastAsia="en-US" w:bidi="ar-SA"/>
        </w:rPr>
        <w:t>,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Celestica</w:t>
      </w:r>
      <w:r>
        <w:rPr>
          <w:rFonts w:ascii="arial" w:eastAsia="arial" w:hAnsi="arial" w:cs="arial"/>
          <w:color w:val="000000"/>
          <w:sz w:val="20"/>
          <w:lang w:val="en-US" w:eastAsia="en-US" w:bidi="ar-SA"/>
        </w:rPr>
        <w:t>, unlike the instant case, the actual property damage was confined to the insured's own defective product. Further, in essence the notional damage conceded by the insurer was limited to the diminution in the value of the Xerox copiers. Nor did the notional damage render the third party's property useless for its intended purpose. At most, limited remedial action was required in order to prevent the possibility of damage to copiers sold outside of North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A.R.G. Construction Corp. v. Allstate Insurance Company of Canada</w:t>
      </w:r>
      <w:r>
        <w:rPr>
          <w:rFonts w:ascii="arial" w:eastAsia="arial" w:hAnsi="arial" w:cs="arial"/>
          <w:color w:val="000000"/>
          <w:sz w:val="20"/>
          <w:lang w:val="en-US" w:eastAsia="en-US" w:bidi="ar-SA"/>
        </w:rPr>
        <w:t xml:space="preserve">, 2004 CanLII 34997, </w:t>
      </w:r>
      <w:hyperlink r:id="rId116" w:history="1">
        <w:r>
          <w:rPr>
            <w:rFonts w:ascii="arial" w:eastAsia="arial" w:hAnsi="arial" w:cs="arial"/>
            <w:i/>
            <w:color w:val="0077CC"/>
            <w:sz w:val="20"/>
            <w:u w:val="single"/>
            <w:shd w:val="clear" w:color="auto" w:fill="FFFFFF"/>
            <w:lang w:val="en-US" w:eastAsia="en-US" w:bidi="ar-SA"/>
          </w:rPr>
          <w:t>73 O.R. (3d) 211</w:t>
        </w:r>
      </w:hyperlink>
      <w:r>
        <w:rPr>
          <w:rFonts w:ascii="arial" w:eastAsia="arial" w:hAnsi="arial" w:cs="arial"/>
          <w:color w:val="000000"/>
          <w:sz w:val="20"/>
          <w:lang w:val="en-US" w:eastAsia="en-US" w:bidi="ar-SA"/>
        </w:rPr>
        <w:t xml:space="preserve"> (Ont. S.C.), there was no accident or occurrence where damage to a building was caused by the insured's defective work, or the work of sub trades for which the insured was responsible. The property damage was confined to the insured's own work product. Axa also relies upon </w:t>
      </w:r>
      <w:r>
        <w:rPr>
          <w:rFonts w:ascii="arial" w:eastAsia="arial" w:hAnsi="arial" w:cs="arial"/>
          <w:i/>
          <w:color w:val="000000"/>
          <w:sz w:val="20"/>
          <w:lang w:val="en-US" w:eastAsia="en-US" w:bidi="ar-SA"/>
        </w:rPr>
        <w:t>Twin Cities Mechanical and Electrical Inc. v. Progressive Homes Inc</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2004 NLSCTD 157</w:t>
        </w:r>
      </w:hyperlink>
      <w:r>
        <w:rPr>
          <w:rFonts w:ascii="arial" w:eastAsia="arial" w:hAnsi="arial" w:cs="arial"/>
          <w:color w:val="000000"/>
          <w:sz w:val="20"/>
          <w:lang w:val="en-US" w:eastAsia="en-US" w:bidi="ar-SA"/>
        </w:rPr>
        <w:t xml:space="preserve"> for the proposition that there is no occurrence where loss results from the insured's faulty workmanship. In </w:t>
      </w:r>
      <w:r>
        <w:rPr>
          <w:rFonts w:ascii="arial" w:eastAsia="arial" w:hAnsi="arial" w:cs="arial"/>
          <w:i/>
          <w:color w:val="000000"/>
          <w:sz w:val="20"/>
          <w:lang w:val="en-US" w:eastAsia="en-US" w:bidi="ar-SA"/>
        </w:rPr>
        <w:t>Twin Cities</w:t>
      </w:r>
      <w:r>
        <w:rPr>
          <w:rFonts w:ascii="arial" w:eastAsia="arial" w:hAnsi="arial" w:cs="arial"/>
          <w:color w:val="000000"/>
          <w:sz w:val="20"/>
          <w:lang w:val="en-US" w:eastAsia="en-US" w:bidi="ar-SA"/>
        </w:rPr>
        <w:t>, unlike the instant case, there was no allegation or evidence of damage to the property of a third party caused by the insured's defective work or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However, loss caused by the insured's defective product may be the result of an occurrence where there is damage to the property of a third party. In </w:t>
      </w:r>
      <w:r>
        <w:rPr>
          <w:rFonts w:ascii="arial" w:eastAsia="arial" w:hAnsi="arial" w:cs="arial"/>
          <w:i/>
          <w:color w:val="000000"/>
          <w:sz w:val="20"/>
          <w:lang w:val="en-US" w:eastAsia="en-US" w:bidi="ar-SA"/>
        </w:rPr>
        <w:t>Alie</w:t>
      </w:r>
      <w:r>
        <w:rPr>
          <w:rFonts w:ascii="arial" w:eastAsia="arial" w:hAnsi="arial" w:cs="arial"/>
          <w:color w:val="000000"/>
          <w:sz w:val="20"/>
          <w:lang w:val="en-US" w:eastAsia="en-US" w:bidi="ar-SA"/>
        </w:rPr>
        <w:t xml:space="preserve">, the defective cement supplied by the insured caused damage to third parties' building foundations, which had to be removed and replaced. The court in </w:t>
      </w:r>
      <w:r>
        <w:rPr>
          <w:rFonts w:ascii="arial" w:eastAsia="arial" w:hAnsi="arial" w:cs="arial"/>
          <w:i/>
          <w:color w:val="000000"/>
          <w:sz w:val="20"/>
          <w:lang w:val="en-US" w:eastAsia="en-US" w:bidi="ar-SA"/>
        </w:rPr>
        <w:t>Alie</w:t>
      </w:r>
      <w:r>
        <w:rPr>
          <w:rFonts w:ascii="arial" w:eastAsia="arial" w:hAnsi="arial" w:cs="arial"/>
          <w:color w:val="000000"/>
          <w:sz w:val="20"/>
          <w:lang w:val="en-US" w:eastAsia="en-US" w:bidi="ar-SA"/>
        </w:rPr>
        <w:t>, at para. 313, after referring to the definitions of "occurrence" in the various commercial general liability insurance policies before it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Generally, occurrence means "an accident including continuous or repeated exposures to conditions neither expected nor intended by the insured". The insurers have suggested that the faulty concrete was not accidental because it resulted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 It is suggested by the insurers that when a product supplied simply fails to function properly, it is not an accident or an occurrence. One does not have to do any in depth research of insurance law to conclude that in most cases where an accident or occurrence takes place there is usually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somebody. What usually takes it out of the realm of accident or occurrence is when there is a finding of intent to cause that loss or a realization and assumption of the risk of that loss. </w:t>
      </w:r>
      <w:r>
        <w:rPr>
          <w:rFonts w:ascii="arial" w:eastAsia="arial" w:hAnsi="arial" w:cs="arial"/>
          <w:i/>
          <w:color w:val="000000"/>
          <w:sz w:val="20"/>
          <w:lang w:val="en-US" w:eastAsia="en-US" w:bidi="ar-SA"/>
        </w:rPr>
        <w:t>Canadian Indemnity Co. v. Walkem Machinery and Equipment Ltd.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[1976] 1 S.C.R. 309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Ontario Court of Appeal in </w:t>
      </w:r>
      <w:r>
        <w:rPr>
          <w:rFonts w:ascii="arial" w:eastAsia="arial" w:hAnsi="arial" w:cs="arial"/>
          <w:i/>
          <w:color w:val="000000"/>
          <w:sz w:val="20"/>
          <w:lang w:val="en-US" w:eastAsia="en-US" w:bidi="ar-SA"/>
        </w:rPr>
        <w:t>Alie v. Bertrand and Fr</w:t>
      </w:r>
      <w:r>
        <w:rPr>
          <w:rFonts w:ascii="arial" w:eastAsia="arial" w:hAnsi="arial" w:cs="arial"/>
          <w:color w:val="000000"/>
          <w:sz w:val="20"/>
          <w:lang w:val="en-US" w:eastAsia="en-US" w:bidi="ar-SA"/>
        </w:rPr>
        <w:t>è</w:t>
      </w:r>
      <w:r>
        <w:rPr>
          <w:rFonts w:ascii="arial" w:eastAsia="arial" w:hAnsi="arial" w:cs="arial"/>
          <w:i/>
          <w:color w:val="000000"/>
          <w:sz w:val="20"/>
          <w:lang w:val="en-US" w:eastAsia="en-US" w:bidi="ar-SA"/>
        </w:rPr>
        <w:t>re Construction Co.</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[2000] O.J. No. 4697</w:t>
        </w:r>
      </w:hyperlink>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62 O.R. (3d) 345</w:t>
        </w:r>
      </w:hyperlink>
      <w:r>
        <w:rPr>
          <w:rFonts w:ascii="arial" w:eastAsia="arial" w:hAnsi="arial" w:cs="arial"/>
          <w:color w:val="000000"/>
          <w:sz w:val="20"/>
          <w:lang w:val="en-US" w:eastAsia="en-US" w:bidi="ar-SA"/>
        </w:rPr>
        <w:t>, dealt with the insurer's appeal from the trial judge's finding of an occurrence at paras. 60,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Bertrand's insurers have appealed from this finding. Their appeal is essentially founded on the contention that the loss to the plaintiffs consisted solely of Bertrand's defective product. They submit that neither the simple failure of an insured's product to function properly nor the damage caused by the intentional process of repair of an insured's defective product constitutes an occurrence.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In our view, the position advanced on this ground of appeal stands or falls on the correctness of the trial judge's findings on the issue of property damage. Having correctly found, as we have concluded, that the loss to the plaintiffs went beyond a simple failure of the insured's product, and that the damage to their property was caused by the defective product, the trial judge was correct in finding that the loss resulted from an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Cansulex Ltd. v. Reed Stenhouse Ltd.</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[1986] B.C.J. No. 3125</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70 B.C.L.R. 273</w:t>
        </w:r>
      </w:hyperlink>
      <w:r>
        <w:rPr>
          <w:rFonts w:ascii="arial" w:eastAsia="arial" w:hAnsi="arial" w:cs="arial"/>
          <w:color w:val="000000"/>
          <w:sz w:val="20"/>
          <w:lang w:val="en-US" w:eastAsia="en-US" w:bidi="ar-SA"/>
        </w:rPr>
        <w:t xml:space="preserve">, McEachern C.J.S.C. (as he then was) at paras. 152-157, adopted and applied the definition of "accident" as "any unlooked for mishap or occurrence" approved by Pigeon J. in </w:t>
      </w:r>
      <w:r>
        <w:rPr>
          <w:rFonts w:ascii="arial" w:eastAsia="arial" w:hAnsi="arial" w:cs="arial"/>
          <w:i/>
          <w:color w:val="000000"/>
          <w:sz w:val="20"/>
          <w:lang w:val="en-US" w:eastAsia="en-US" w:bidi="ar-SA"/>
        </w:rPr>
        <w:t>Canadian Indemnity Co. v. Walkem Machinery and Equipment Ltd.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[1976] 1 S.C.R. 309</w:t>
        </w:r>
      </w:hyperlink>
      <w:r>
        <w:rPr>
          <w:rFonts w:ascii="arial" w:eastAsia="arial" w:hAnsi="arial" w:cs="arial"/>
          <w:color w:val="000000"/>
          <w:sz w:val="20"/>
          <w:lang w:val="en-US" w:eastAsia="en-US" w:bidi="ar-SA"/>
        </w:rPr>
        <w:t xml:space="preserve"> at 315-16.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Here, the Policy contains no definition of "accident", but defines "occurrence" as "a continuous or repeated exposure to conditions that result in property damage neither expected nor intended by the insured". The failure of the ink when exposed to moisture was neither expected nor intended by Bulldog, and resulted in property damage to 10 percent of Sure-Gro's product. It therefore constituted an "occurrence" within the meaning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Axa argues that there was no occurrence with respect to the product lost in the salvaging process because Sure-Gro made a deliberate decision to dispose of that product when it calculated that the cost of extracting the remnants of the product from the defective packaging was uneconomical. The answer to this submission is that the occurrence was the failure of the ink, rather than the subsequent business decision of Sure-Gro to limit its salvaging process to the cost effective recovery of its raw material, and to accept that some product would be lost or discarded in the salvaging operation.</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Exclusion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Ambiguities in the exclusion clauses should be interpreted in favour of the insured unless that interpretation would create an inconsistency with the main purpose of the coverage of the policy: </w:t>
      </w:r>
      <w:r>
        <w:rPr>
          <w:rFonts w:ascii="arial" w:eastAsia="arial" w:hAnsi="arial" w:cs="arial"/>
          <w:i/>
          <w:color w:val="000000"/>
          <w:sz w:val="20"/>
          <w:lang w:val="en-US" w:eastAsia="en-US" w:bidi="ar-SA"/>
        </w:rPr>
        <w:t>Foodpro National Inc. v. General Accident Assurance Co. of Canada et al</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(1986), 33 D.L.R. (4th) 427</w:t>
        </w:r>
      </w:hyperlink>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[1986] O.J. No. 1299</w:t>
        </w:r>
      </w:hyperlink>
      <w:r>
        <w:rPr>
          <w:rFonts w:ascii="arial" w:eastAsia="arial" w:hAnsi="arial" w:cs="arial"/>
          <w:color w:val="000000"/>
          <w:sz w:val="20"/>
          <w:lang w:val="en-US" w:eastAsia="en-US" w:bidi="ar-SA"/>
        </w:rPr>
        <w:t xml:space="preserve">, aff'd </w:t>
      </w:r>
      <w:hyperlink r:id="rId123" w:history="1">
        <w:r>
          <w:rPr>
            <w:rFonts w:ascii="arial" w:eastAsia="arial" w:hAnsi="arial" w:cs="arial"/>
            <w:i/>
            <w:color w:val="0077CC"/>
            <w:sz w:val="20"/>
            <w:u w:val="single"/>
            <w:shd w:val="clear" w:color="auto" w:fill="FFFFFF"/>
            <w:lang w:val="en-US" w:eastAsia="en-US" w:bidi="ar-SA"/>
          </w:rPr>
          <w:t>(1988), 49 D.L.R. (4th) 480</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Axa submits that two exclusions apply to limit coverage. The first is Exclusion 6(a), the own work/products exclusion, which provides that Insuring Agreement 1(c) does not apply to claims for property damage to goods or products manufactured or sold by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Both parties agree that the plastic packaging was a product manufactured and sold by Bulldog. For that reason, Bulldog has made no claim for the cost of the defective bags.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own work/products exclusion does not apply where the property of a third party has sustained damage as a result of the complete incorporation of the insured's faulty product into the third party's end product: </w:t>
      </w:r>
      <w:r>
        <w:rPr>
          <w:rFonts w:ascii="arial" w:eastAsia="arial" w:hAnsi="arial" w:cs="arial"/>
          <w:i/>
          <w:color w:val="000000"/>
          <w:sz w:val="20"/>
          <w:lang w:val="en-US" w:eastAsia="en-US" w:bidi="ar-SA"/>
        </w:rPr>
        <w:t>Gulf Plastics</w:t>
      </w:r>
      <w:r>
        <w:rPr>
          <w:rFonts w:ascii="arial" w:eastAsia="arial" w:hAnsi="arial" w:cs="arial"/>
          <w:color w:val="000000"/>
          <w:sz w:val="20"/>
          <w:lang w:val="en-US" w:eastAsia="en-US" w:bidi="ar-SA"/>
        </w:rPr>
        <w:t xml:space="preserve"> at 384, </w:t>
      </w:r>
      <w:r>
        <w:rPr>
          <w:rFonts w:ascii="arial" w:eastAsia="arial" w:hAnsi="arial" w:cs="arial"/>
          <w:i/>
          <w:color w:val="000000"/>
          <w:sz w:val="20"/>
          <w:lang w:val="en-US" w:eastAsia="en-US" w:bidi="ar-SA"/>
        </w:rPr>
        <w:t>Alie</w:t>
      </w:r>
      <w:r>
        <w:rPr>
          <w:rFonts w:ascii="arial" w:eastAsia="arial" w:hAnsi="arial" w:cs="arial"/>
          <w:color w:val="000000"/>
          <w:sz w:val="20"/>
          <w:lang w:val="en-US" w:eastAsia="en-US" w:bidi="ar-SA"/>
        </w:rPr>
        <w:t xml:space="preserve"> at para. 319. However, even where the insured's defective product has been combined with a third party's product, the own products exclusion will exclude that portion of the damage done to the insured's own product: </w:t>
      </w:r>
      <w:r>
        <w:rPr>
          <w:rFonts w:ascii="arial" w:eastAsia="arial" w:hAnsi="arial" w:cs="arial"/>
          <w:i/>
          <w:color w:val="000000"/>
          <w:sz w:val="20"/>
          <w:lang w:val="en-US" w:eastAsia="en-US" w:bidi="ar-SA"/>
        </w:rPr>
        <w:t>Carwald</w:t>
      </w:r>
      <w:r>
        <w:rPr>
          <w:rFonts w:ascii="arial" w:eastAsia="arial" w:hAnsi="arial" w:cs="arial"/>
          <w:color w:val="000000"/>
          <w:sz w:val="20"/>
          <w:lang w:val="en-US" w:eastAsia="en-US" w:bidi="ar-SA"/>
        </w:rPr>
        <w:t>, at paras. 29,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Here, there was no complete incorporation of the plastic packaging and Sure Gro's product so as to render Bulldog's defective product inseparable from the third party's manure and soil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Exclusion 6(a) applies to exclude coverage for property damage to the plastic packaging supplied by Bulldog.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Similarly, Exclusion 6(b) applies to exclude claims for property damage to work done by or on behalf of the insured where, as here, the cause of the occurrence is a defect in the insured's own work. Bulldog was responsible for the production and supply of the plastic packaging. A defect in the insured's own work -- the use of the defective ink -- resulted in the property damage to the insured's own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Exclusions 6(a) and (b) apply to exclude all of Bulldog's claims that flow from the plaintiff's own defective work or work product, and do not relate to physical injury, destruction, or loss of use of Sure-Gro's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have found that there was property damage to the 10 percent of Sure-Gro's product lost in the salvaging process. With respect to this loss, Axa relies on Exclusion 7(b), the failure of performance exclusion. Exclusion 7(b) excludes insurance under Insuring Agreement 1(c) for claims arising from loss of use of tangible property that has not been physically injured or destroyed resulting from:</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insured's products or work performed by or on behalf of the Insured to meet the level of performance, quality, fitness or durability warranted or represented by the Insured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This exclusion clause applies only in circumstances where the loss of use of property does not involve physical injury to tangible property: </w:t>
      </w:r>
      <w:r>
        <w:rPr>
          <w:rFonts w:ascii="arial" w:eastAsia="arial" w:hAnsi="arial" w:cs="arial"/>
          <w:i/>
          <w:color w:val="000000"/>
          <w:sz w:val="20"/>
          <w:lang w:val="en-US" w:eastAsia="en-US" w:bidi="ar-SA"/>
        </w:rPr>
        <w:t>Carwald</w:t>
      </w:r>
      <w:r>
        <w:rPr>
          <w:rFonts w:ascii="arial" w:eastAsia="arial" w:hAnsi="arial" w:cs="arial"/>
          <w:color w:val="000000"/>
          <w:sz w:val="20"/>
          <w:lang w:val="en-US" w:eastAsia="en-US" w:bidi="ar-SA"/>
        </w:rPr>
        <w:t xml:space="preserve"> at paras. 32,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Axa submits that Exclusion 7(b) applies to exclude coverage for the costs associated with the 10 percent of Sure-Gro's product discarded in the salvaging process. Counsel for the defendant referred to </w:t>
      </w:r>
      <w:r>
        <w:rPr>
          <w:rFonts w:ascii="arial" w:eastAsia="arial" w:hAnsi="arial" w:cs="arial"/>
          <w:i/>
          <w:color w:val="000000"/>
          <w:sz w:val="20"/>
          <w:lang w:val="en-US" w:eastAsia="en-US" w:bidi="ar-SA"/>
        </w:rPr>
        <w:t>Modern Agro Systems Ltd. v. Wellington Insurance Company</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[1986] I.L.R. 1-2096</w:t>
        </w:r>
      </w:hyperlink>
      <w:r>
        <w:rPr>
          <w:rFonts w:ascii="arial" w:eastAsia="arial" w:hAnsi="arial" w:cs="arial"/>
          <w:color w:val="000000"/>
          <w:sz w:val="20"/>
          <w:lang w:val="en-US" w:eastAsia="en-US" w:bidi="ar-SA"/>
        </w:rPr>
        <w:t xml:space="preserve"> (Ont. S.C.), where the insured sold a bulk milk tank to a farmer, and incorrectly calibrated the volume gauge. As a result, the farmer was paid for less milk than he delivered, and claimed against the insured for the price of the milk for which he had not received payment from the Ontario Milk Marketing Board. The insurance policy excluded coverage for the loss of use of tangible property which had not been physically injured or destroyed resulting from the failure of the insured's products or work. The parties agreed that there had been a loss of use of the milk. The court expressed doubt about whether the failure to receive proper payment for a product could be described as a loss of use, but ultimately assumed without deciding that there had been a loss of use of the milk. On that assumption, and where it was clear that there had been no physical injury or destruction of the milk, and the insured had guaranteed the tank against defects in workmanship, the exclusion clause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Here, I have found that 10 percent of Sure-Gro's product was destroyed in the salvaging process. Some of this material could not be readily extracted from the plastic packaging or could not be recovered at an economical cost, and was disposed of along with the bags. Some of the material was lost during reprocessing when it was screened out, and then discarded, along with stones and other impurities removed through the screening process. The disposal of this material physically removed and eliminated it from Sure-Gro's inventory, and amounted to its physical destruction. In my view, the loss of 10 percent of the material during the salvaging process was not "a loss of use of tangible property that has not been physically injured or destroyed". In these circumstances, Exclusion 7(b) does not apply to exclude Axa's liability to indemnify Bulldog for the costs associated with the 10 percent of Sure-Gro's product that was discarded in the salvaging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 have found that Bulldog is only entitled to indemnification with respect to the costs associated with the loss of 10 percent of Sure-Gro's product through the salvaging process. On the evidence on this application, the value of that loss is $12,000. The plaintiff will have judgment against the defendant for $12,000, together with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balance of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 has had the greater success in this proceeding and is entitled to the costs of this action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Casses v. Canadian Broadcasting Corp., [2014] B.C.J. No. 2531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L. Muir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S115272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2531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1901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Fernando Casses and Dr. Fernando Casses Inc., Plaintiffs, and Canadian Broadcasting Corporation, Kathy Tomlinson, Enza Uda, Chris Doe, Wayne Williams, Chris Poe, Brett Hyde, Charlie Cho, and Kim Loe,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9"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0" w:name="Keywords_6"/>
      <w:bookmarkEnd w:id="60"/>
      <w:r>
        <w:rPr>
          <w:rFonts w:ascii="arial" w:eastAsia="arial" w:hAnsi="arial" w:cs="arial"/>
          <w:b/>
          <w:color w:val="000000"/>
          <w:sz w:val="20"/>
          <w:lang w:val="en-US" w:eastAsia="en-US" w:bidi="ar-SA"/>
        </w:rPr>
        <w:t>Civil litigation — Civil procedure — Pleadings — Particulars — Discovery — Production and inspection of documents — Application by the defendants for production of various documents allowed in part — Application by the plaintiffs for particulars allowed in part — The plaintiffs commenced an action in defamation — Some of the documents sought were to be disclosed — However, other documents were privileged or were covered by the prohibition in section 53 of the Health Professions Act — While some of the particulars were not sufficiently clear, the particulars sought by the plaintiffs were excessive.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Pleadings — Particulars — Discovery — Inspection of documents — Application by the defendants for production of various documents allowed in part — Application by the plaintiffs for particulars allowed in part — The plaintiffs commenced an action in defamation — Some of the documents sought were to be disclosed — However, other documents were privileged or were covered by the prohibition in section 53 of the Health Professions Act — While some of the particulars were not sufficiently clear, the particulars sought by the plaintiffs were excessive.</w:t>
      </w:r>
    </w:p>
    <w:p>
      <w:pPr>
        <w:jc w:val="both"/>
        <w:rPr>
          <w:rFonts w:ascii="arial" w:eastAsia="arial" w:hAnsi="arial" w:cs="arial"/>
          <w:sz w:val="20"/>
          <w:lang w:val="en-US" w:eastAsia="en-US" w:bidi="ar-SA"/>
        </w:rPr>
      </w:pPr>
      <w:bookmarkStart w:id="61" w:name="Legislation Cited_4"/>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0"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Professions Act, </w:t>
      </w:r>
      <w:hyperlink r:id="rId132" w:history="1">
        <w:r>
          <w:rPr>
            <w:rFonts w:ascii="arial" w:eastAsia="arial" w:hAnsi="arial" w:cs="arial"/>
            <w:i/>
            <w:color w:val="0077CC"/>
            <w:sz w:val="20"/>
            <w:u w:val="single"/>
            <w:shd w:val="clear" w:color="auto" w:fill="FFFFFF"/>
            <w:lang w:val="en-US" w:eastAsia="en-US" w:bidi="ar-SA"/>
          </w:rPr>
          <w:t>RSBC 1996, c. 183, s. 53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Hospital Act, </w:t>
      </w:r>
      <w:hyperlink r:id="rId133" w:history="1">
        <w:r>
          <w:rPr>
            <w:rFonts w:ascii="arial" w:eastAsia="arial" w:hAnsi="arial" w:cs="arial"/>
            <w:i/>
            <w:color w:val="0077CC"/>
            <w:sz w:val="20"/>
            <w:u w:val="single"/>
            <w:shd w:val="clear" w:color="auto" w:fill="FFFFFF"/>
            <w:lang w:val="en-US" w:eastAsia="en-US" w:bidi="ar-SA"/>
          </w:rPr>
          <w:t>RSBC 1996, c. 200, s. 46</w:t>
        </w:r>
      </w:hyperlink>
      <w:r>
        <w:rPr>
          <w:rFonts w:ascii="arial" w:eastAsia="arial" w:hAnsi="arial" w:cs="arial"/>
          <w:color w:val="000000"/>
          <w:sz w:val="20"/>
          <w:lang w:val="en-US" w:eastAsia="en-US" w:bidi="ar-SA"/>
        </w:rPr>
        <w:t>(6)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2" w:name="Counsel_6"/>
      <w:bookmarkEnd w:id="6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R.D. McConchie.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Canadian Broadcasting Corporation, Kathy Tomlinson, Enza Uda, Wayne Williams, Brett Hyde, Charlie Cho: D.W. Burnett,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British Columbia College of Physicians and Surgeons: D. Martin.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3" w:name="Judgment_6"/>
      <w:bookmarkEnd w:id="63"/>
      <w:r>
        <w:pict>
          <v:line id="_x0000_s1062"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4" w:name="MASTER L. MUIR (orally)"/>
            <w:bookmarkEnd w:id="64"/>
            <w:r>
              <w:rPr>
                <w:rFonts w:ascii="arial" w:eastAsia="arial" w:hAnsi="arial" w:cs="arial"/>
                <w:b/>
                <w:color w:val="000000"/>
                <w:sz w:val="30"/>
                <w:lang w:val="en-US" w:eastAsia="en-US" w:bidi="ar-SA"/>
              </w:rPr>
              <w:t>MASTER L. MUIR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fairly complicated motions and, in the ordinary course, I might take more time to consider them, but given the proximity to trial, I am going to give you reasons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Notice of Application filed July 31,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application before me is an application by the defendants filed July 31, 2014 for production of various documents (the "July 31, 2014 application"). This action is an action in defamation brought by the individual plaintiff, Fernando Casses (the "plaintiff Casses") and the corporate plaintiff, Dr. Fernando Casses Inc. (collectively the "plaintiffs") against the Canadian Broadcasting Corporation ("CBC") and others alleging defamatory comments were published with respect to his competency, if I can just put it that shorthand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documents sought in the July 31, 2014 application are within the possession of third parties with the exception of para. 2 of the July 31, 2014 application which is in its form in the notice of application directed to Harper Grey LLP. In fact, I have been advised that the documents sought to be produced by Harper Grey LLP are now in the possession of the plaintiff Casses and so the July 31, 2014 application is with respect to production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first set of documents in para. 1 of the July 31, 2014 application are sought to be produced from the British Columbia College of Physicians and Surgeons (the "College"). The application is resisted both by the plaintiff Casses and by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College brings forward the evidence of Heidi Oetter, the registrar of the College , who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College's records concerning Dr. Fernando Casses, a registrant of the College, and the documents sought from the College in paragraph 1 of Part 1 of the application of the CBC Defendants dated July 30,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Which is the application at issue here, and in para. 3, she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College is prohibited by Section 53 of the </w:t>
      </w:r>
      <w:r>
        <w:rPr>
          <w:rFonts w:ascii="arial" w:eastAsia="arial" w:hAnsi="arial" w:cs="arial"/>
          <w:i/>
          <w:color w:val="000000"/>
          <w:sz w:val="20"/>
          <w:lang w:val="en-US" w:eastAsia="en-US" w:bidi="ar-SA"/>
        </w:rPr>
        <w:t>Health Professions Act</w:t>
      </w:r>
      <w:r>
        <w:rPr>
          <w:rFonts w:ascii="arial" w:eastAsia="arial" w:hAnsi="arial" w:cs="arial"/>
          <w:color w:val="000000"/>
          <w:sz w:val="20"/>
          <w:lang w:val="en-US" w:eastAsia="en-US" w:bidi="ar-SA"/>
        </w:rPr>
        <w:t xml:space="preserve"> ("the Act") from voluntarily disclosing any information it has on a registrant or former registrant. Specifically, if the documents sought at paragraphs 1(c) to (h), 1(j) and 1(k) exist, they would all relate to the exercise of power or the performance of a duty under Part 2.1 or Part 3 of the Act as such documents would invoke the practice reviewing complaint process set out in those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Then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prohibitions contained in Section 53 of the Act, I am unable to provide any further details of what the College's records reveal.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Section 53 of the </w:t>
      </w:r>
      <w:r>
        <w:rPr>
          <w:rFonts w:ascii="arial" w:eastAsia="arial" w:hAnsi="arial" w:cs="arial"/>
          <w:i/>
          <w:color w:val="000000"/>
          <w:sz w:val="20"/>
          <w:lang w:val="en-US" w:eastAsia="en-US" w:bidi="ar-SA"/>
        </w:rPr>
        <w:t>Health Professions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183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is regarding confidential information. I will not read the whole of it. The first subsection provides that:</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a person must preserve confidentiality with respect to all matters or things that come to the person's knowledge while exercising a power or performing a duty under [the] 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paraphrasing, and then s. (3) which is perhaps more germane: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records relating to the exercise of a power or the performance of a duty under Part 2.1 or Part 3 are not compellable in a court or in proceedings of a judicial nature insofar as the laws of British Columbia apply unless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are under this Act, or</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of the knowledge is authorized under subsection (1) (b) [of] the bylaws or regulations made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gather that s-s. 3(b) is not relevant to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is the prohibition that is invoked by Ms. Oetter in her affidavit. The defendants argue that Ms. Oetter's evidence is wholly inadequate as usurping the position of the court in determining whether these documents are, in fact, covered by the prohibition in s. 53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should say, as well, that with respect to the three documents sought in 1(a), (b) and (i) of the July 31, 2014 application, the College takes no issue with their production other than saying that the production should be made to counsel for the plaintiffs who can then review and disclose them if they determine it is appropriate to do so. With respect to those three documents, I am satisfied that they are not covered by the prohibition in s. 53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there is no obvious reason to me why they should not be disclosed immediately to the defendants and I so order. So the order will go with respect to documents sought in 1(a), (b), and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should say that the documents sought in 1(d) and (e) are no longer being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documents sought in 1(c), (f), (g), (h), and (j) are documents, according to Ms. Oetter's evidence, that would fall into the purview of the prohibition in s. 53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On a review of evidence and the descriptions of those documents, there is nothing that dissuades me of that, despite the able submissions of the defendants that these are simply documents relating to the plaintiff Casses' licencing or that they are not shown to be documents that arose in the context of the proceedings contemplated in Part 2.1 or Part 2.3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So these applications are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to document sought in 1(k), it was admitted that falls within the prohibition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that application is also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should say, too, that I have considered the decision of the Court of Appeal in </w:t>
      </w:r>
      <w:r>
        <w:rPr>
          <w:rFonts w:ascii="arial" w:eastAsia="arial" w:hAnsi="arial" w:cs="arial"/>
          <w:i/>
          <w:color w:val="000000"/>
          <w:sz w:val="20"/>
          <w:lang w:val="en-US" w:eastAsia="en-US" w:bidi="ar-SA"/>
        </w:rPr>
        <w:t>Beale v. Nagra</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[1998] B.C.J. No. 2347</w:t>
        </w:r>
      </w:hyperlink>
      <w:r>
        <w:rPr>
          <w:rFonts w:ascii="arial" w:eastAsia="arial" w:hAnsi="arial" w:cs="arial"/>
          <w:color w:val="000000"/>
          <w:sz w:val="20"/>
          <w:lang w:val="en-US" w:eastAsia="en-US" w:bidi="ar-SA"/>
        </w:rPr>
        <w:t xml:space="preserve"> (C.A.) and particularly Madam Justice Southin's reasons at para. 23 of that decision where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reason for concluding that what is in issue here is purely a matter of statutory construction is simple. When the Legislature has addressed a question promulgated what appears to be a code on the subject the court should not be quick to find ways to undermine the legislative purpose. The plain purpose of s. 61 is to insulate, from the processes of civil litigation, the College and those engaged by it to assist in its processes concerning the quality of medical care in the Province. What the College does or does not do is not to be used in medical malpractice 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Turning to para. 2 of the July 31, 2014 application, these are documents sought directly from the plaintiff Casses. 2(c) has been dealt with and is not being proceeded with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Documents sought in 2(a) and (b) in the July 31, 2014 application are, first, a letter from the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committee of Boswell Memorial Hospital in Arizona indicating that they were conducting a peer review of 17 of the plaintiff Casses' surgical cases and, second, a letter from the plaintiff Casses in response. They are the same documents as those sought in 1(d) and (e), which were before the College and fall into the purview of the prohibition in s. 53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issue is whether they are disclosable in the hands of the plaintiff Casses and, in that regard, I take instruction again from </w:t>
      </w:r>
      <w:r>
        <w:rPr>
          <w:rFonts w:ascii="arial" w:eastAsia="arial" w:hAnsi="arial" w:cs="arial"/>
          <w:i/>
          <w:color w:val="000000"/>
          <w:sz w:val="20"/>
          <w:lang w:val="en-US" w:eastAsia="en-US" w:bidi="ar-SA"/>
        </w:rPr>
        <w:t>Beale</w:t>
      </w:r>
      <w:r>
        <w:rPr>
          <w:rFonts w:ascii="arial" w:eastAsia="arial" w:hAnsi="arial" w:cs="arial"/>
          <w:color w:val="000000"/>
          <w:sz w:val="20"/>
          <w:lang w:val="en-US" w:eastAsia="en-US" w:bidi="ar-SA"/>
        </w:rPr>
        <w:t xml:space="preserve"> where, at paras. 27 through 30, Southin J. in dealing with the report of a Dr. Galliford who was consulted by the College, says: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Galliford, consulted as he was by the College, which does not, I think, keep a staff of specialists, is a person "employed in the administration...". I do not give the word "administration" a narrow construction.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Had his report not been sent to the appellants [who I add are the doctors], subsection (4.1) would be a bar to this production. The appellants could not have obtained it from him or from the College.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however, as part of the inquiry process in order to permit the appellants to make full answer and defence a copy was sent to the solicitor for the appellant Asfeldt, is that copy now out of the protection of the 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not. To so hold would either undermine the fairness of the inquiry process it might lead to the College not giving the member a full opportunity to meet the findings of consultants as expressed by them in writing or would undermine the plain intent of the section. Whether one calls this a record of Dr. Galliford or a record of the College, the existence of this copy is not sufficient ground for ignoring the plain purpose of the 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also argued that those are documents that were produced in the Arizona review and that they are also given protection by the Arizona statute. In my view, it is not necessary to conclude that point here. I agree with the -- or perhaps, better phrased, consider myself bound by the comments of Southin J. and do not consider that these documents are removed from the prohibition in s. 53 simply by the fact that they are not in the hands of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Now, documents sought in 2(d) of the July 31, 2014 application are copies of documents 5 through 9 on the list referred to in Dr. Turner's expert opinion letter of April 15, 2006, I am frank to say I do not recall the position of anyone with respect to this particular set of documents. I gather that this was an expert report that is produced in this litigation and those documents are referred to specifically in the expert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[SUBMISSIONS RE DR. TURNER'S EXPERT OPINION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The position of the plaintiffs with respect to the documents sought in 2(d) is that no document production should be ordered until such time as the particulars which are the subject of the second application before me are provided and various case law is cited in that regard. In my view, these documents are copies of documents referred to in an expert report that is apparently intended to be used in this proceeding. As such, the documents should be produced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With respect to paras. 3, 4 and 5 of the July 31, 2014 application, they all deal with documents in the hands of various health authorities in the Province and they are in relation to the plaintiff Casses' application for privileges in those regions. The plaintiffs refer to s. 46(6) of the </w:t>
      </w:r>
      <w:r>
        <w:rPr>
          <w:rFonts w:ascii="arial" w:eastAsia="arial" w:hAnsi="arial" w:cs="arial"/>
          <w:i/>
          <w:color w:val="000000"/>
          <w:sz w:val="20"/>
          <w:lang w:val="en-US" w:eastAsia="en-US" w:bidi="ar-SA"/>
        </w:rPr>
        <w:t>Hospital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200</w:t>
      </w:r>
      <w:r>
        <w:rPr>
          <w:rFonts w:ascii="arial" w:eastAsia="arial" w:hAnsi="arial" w:cs="arial"/>
          <w:color w:val="000000"/>
          <w:sz w:val="20"/>
          <w:lang w:val="en-US" w:eastAsia="en-US" w:bidi="ar-SA"/>
        </w:rPr>
        <w:t>, which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information or evidence</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an application for a practitioner's permit to practise in a hospital, or contained in the decision of a board of management resulting from the application, or</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received by, or presented to, the Hospital Appeal Board for an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privileged and an action must not be brought against [the] person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argue that "privilege" means that they are privileged from production. The defendants argue that this is not a privilege in the sense of documents being privileged from production, that this is a privilege as defined by the second clause in that sentence; that is, they are privileged to the extent that they cannot be used to found an action against a person. I am advised that there is no judicial authority either on point or comparable to this section and, in the circumstances, I conclude that "privilege" should be read in its normal sense of privileged from production and that these documents are, accordingly, protected and the application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Notice of Application filed August 8,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second application before me is an application by the plaintiffs filed August 8, 2014 for particulars with respect to the amended response to civil claim (the "August 8, 2014 application"). The history is basically that the plaintiffs presented a 15-page demand for particulars dated December 11, 2013, which is appended as Schedule "A" to the August 8, 2014 application, and argue that the amended response to civil claim of the defendants is wholly inadequate as the basis for defending this action on the basis of justification or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place to start, I suppose, is with the amended response to civil claim which is filed on October 25, 2013 (the "ARTCC"). Under para. 1 of Division 2 - These Defendants' Version of Facts, there are what are alleged to be ordinary meanings of the words complained of and they are the "CBC Pleaded Meanings" which differ, of course, substantially from the meanings which are attributed to the alleged defamatory statements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Under para. 4 of Division 2 of the ARTCC which deals with the defence of justification, the defendants plead that "the literal words complained of as well as the CBC Pleaded Meanings were true or substantially true," and that "Particulars of defence of justification are those set forth under the Particulars above... .". The first issue taken with the Particulars is that there are no "Particulars" set forth above. There is nothing that is identified by the label "Particulars" in the ARTCC. There are, however, details, to use a neutral word, pleaded in paras. 2(a) through (u) of Division 2, dealing with Responsible Communication that the defendants say are the Particulars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satisfied that the Particulars in the para. 2 that I have just referred to are sufficient for the purposes of para. 4 of Division 2 of the ARTCC.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However, in para. 4.1 of the ARTCC, the response is that, "In the alternative, if the words complained of bore the plaintiff's' alleged meanings that the plaintiff has been guilty of "professional misconduct,"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"failed to admit or treat," complications and "concealed" complications under paragraphs 27, 29, 30 to 35, and 38 of the Amended Notice of Civil Claim, these defendants say that those meanings were true or substantially true, and the defendants rely on the Particulars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essentially, said that they would stand or fall on the extent of the Particulars set out in paras. 2(a) through (u) and that if there was not a statement of "professional misconduct" or a statement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that paragraph, that that was not something that was going to be advanced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That may be sufficient with respect to allegations that are as specific as "professional misconduct"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 am not satisfied on whole that the Particulars of that paragraph are sufficiently clear for the purpose of this matter. I am, however, of the view that the Particulars sought by the plaintiffs with respect to these allegations are excessive. The Particulars with respect to para. 4.1 that are sought totalled some 12 pages of the demand for particulars. I am satisfied that the matters would be sufficiently particularized if the defendants identify which medical conditions or which medical cases, perhaps better stated, are alleged to fall under the categories of "professional misconduct,"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"failed to admit or treat" complications, and "concealed" complications. I will order that Particulars of those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Given the narrow confines of the Particulars ordered, I am satisfied that the documents that I have ordered disclosed can be disclosed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All right. Did I miss anything? Are there any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McCONCHIE: No, thank you, Your Honour. My apologies. Costs in the cause, I presume?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I agree, I think the College should have its costs, them being a relatively neutral party in all of this. Other than that, the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L. MUIR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Chisamore v. Cumis Life Insurance Co., [2006] B.C.J. No. 877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S94512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877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462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147 A.C.W.S. (3d) 1097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Harold V. Chisamore, plaintiff, and Cumis Life Insurance Company, Cuna Mutual Insurance Society, North Shore Credit Union,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5" w:name="Keywords_7"/>
      <w:bookmarkEnd w:id="65"/>
      <w:r>
        <w:rPr>
          <w:rFonts w:ascii="arial" w:eastAsia="arial" w:hAnsi="arial" w:cs="arial"/>
          <w:b/>
          <w:color w:val="000000"/>
          <w:sz w:val="20"/>
          <w:lang w:val="en-US" w:eastAsia="en-US" w:bidi="ar-SA"/>
        </w:rPr>
        <w:t>Limitation of actions — Statutory limitation periods — Use as a defence — When time begins to run — The plaintiffs claims against all three defendants were statute barred as they were not brought within the time limits stipulated by the Limitation Act — Further, the claims were barred by the ultimate cut off date under said Act of 30 years.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6" w:name="Case Summary_6"/>
            <w:bookmarkEnd w:id="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claims against all three defendants were dismissed for being statute barred, as they were not brought within the time limits stipulated by the Limitation Act -- The plaintiff's claims arose from a back injury he suffered in 1955 -- His claim for benefits from the Workers Compensation Board was denied in 1955 on the basis that his injury did not arise out of or in the course of employment, and a subsequent appeal was denied -- The plaintiff now sued a credit union that that he alleged breached various duties to him in commencing foreclosure proceedings at that time when he was unable to pay his bills, the insurance company which allegedly failed to provide him with benefits that would have enabled him to pay the mortgage, and the WCB for unjustly denying him benefits in 1955 and in a separate claim in 1996 -- HELD: All of the plaintiff's actions were dismissed -- The plaintiff was mistaken about the discoverability principle; it did not mean that time began to run when the evidence became available to him, but rather when the duty of care arose, which was back in 1955 -- Section 22 of the Limitation Act provides an ultimate cut-off point of 30 years, which resulted in all the claims save one being statute-barred -- The last claim, against the WCB decision in 1996 did not comply with the provisions of the Judicial Review Procedure Act and was dismissed -- The plaintiff's claim did not disclose any reasonable cause of action and had no prospect of success.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7" w:name="Legislation Cited_5"/>
      <w:bookmarkEnd w:id="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5"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Act, R.S.B.C. 1948, c. 164, s.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Act, R.S.B.C. 1996, c. 226, s.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6(3), s. 6(4),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s. 96(1)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8" w:name="Counsel_7"/>
      <w:bookmarkEnd w:id="6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acting on his own behalf: Harold V. Chisamore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Cumis Life Insurance Company and Cuna Mutual Insurance Society: S.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North Shore Credit Union: A.J. Davison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Board: S. Nielsen, J. Courtenay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9" w:name="Judgment_7"/>
      <w:bookmarkEnd w:id="69"/>
      <w:r>
        <w:pict>
          <v:line id="_x0000_s1067" style="position:absolute;z-index:25182003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April 18, 2006.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0" w:name="GROPPER J."/>
            <w:bookmarkEnd w:id="70"/>
            <w:r>
              <w:rPr>
                <w:rFonts w:ascii="arial" w:eastAsia="arial" w:hAnsi="arial" w:cs="arial"/>
                <w:b/>
                <w:color w:val="000000"/>
                <w:sz w:val="30"/>
                <w:lang w:val="en-US" w:eastAsia="en-US" w:bidi="ar-SA"/>
              </w:rPr>
              <w:t>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Chisamore, the plaintiff, has brought an action against several defendants. Three of the defendants have brought applications to have his claim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statement of claim is lengthy and includes many details. I will describe the allegations made which are relevant to my consideration of the defendants' applications. I have added details, including specific dates, provided through affidavit evidence filed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claims arise from a back injury which occurred on April 30, 1955. He made an application to the Workers' Compensation Board (the "WCB" or the "Board") for benefits. On July 6, 1955, WCB denied the claim on the basis that the injury did not arise out of or in the course of employment. The plaintiff appealed the decision through the process in place at the WCB at the time. On April 29, 1960, the Commissioners of the Board, the final level of appeal, upheld the denial.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November 1958, the North Shore Credit Union (the "credit union"), the mortgagee of the plaintiff's home in North Vancouver, began foreclosure proceedings against his property because he failed to make mortgage payments. The foreclosure proceedings were complete by December 2, 1959 when the credit union acknowledged satisfaction of the debt owing to it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alleges that at the time of the foreclosure he advised several members of the board of directors of the credit union that he had suffered a back injury. Because of the injury he could not work and was unable to make the mortgage payments. He further alleges that he asked the credit union to apply for benefits under the Mortgage Protection Insurance which was in effect at the time, but the credit union refused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foreclosure proceedings, CUNA Mutual Insurance Society (the "insurer") provided loan protection coverage to the customers of the credit union. The plaintiff alleges that the insurer failed to provide benefits to him which would have enabled him to pay the mortgage and avoid the foreclosure proceedings. The plaintiff further alleges that despite his providing the insurer with documents describing surgery he had related to his back injury in 1964, the insurer refused to provide benefits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applied to the WCB for benefits in December 1996. He alleged that he was injured in a slip and fall accident in October 1995, while at work. WCB denied benefits, because the injury did not occur in the course of employment. The plaintiff says the denial of benefits was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 credit union applies for an order that the plaintiff's statement of claim be dismissed on the grounds that the claims are statute barred by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defendants CUMAS Life Insurance Company and CUNA Mutual Insurance Society (collectively the "insurer") make the same application relying on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as well as section 22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R.S.B.C. 1948, c. 164 and section 22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Its application also relies on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insurer says that the plaintiff did not make any claim for insurance benefits in 1959. The plaintiff contacted the insurer (now CUMAS Life Insurance Company, which succeeded CUNA in providing mortgage protection insurance to customers of the credit union) in early 2004 to advise that he wished to "reopen" his claim for insurance benefits. On February 17, 2004 the insurer advised the plaintiff that it would not accept his claim or provide coverage of any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 WCB reiterates the other defendants' applications. It also maintains that decisions of the WCB can only be reviewed by the court by petition pursuant to the provisions of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The WCB cannot be sued for damages in respect of decisions that it makes in accordance with its judicial or quasi judicial powers. Further, it does not owe a duty of care to the plaintiff in the exercise of those duties and it is not an entity which can be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Response to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asserts that the "statute of limitations starts when you have the evidence of wrong doing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says that the limitation period on his claim began to run on November 14,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outline in response to the defendants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waited a long time to get evidence and proof of my physical condition of 1958 and 1959 when the North Shore Credit Union took foreclosure action against me for the property located at 155 Pemberton Avenue [in North Vancouver]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the 14 of November 2003 I received a full copy of all documentation through the Freedom of Information and Privacy Act which had previously been denied. My request for complete disclosure of my health condition while you people held the mortgage of the said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describes the periods during which a right to bring an action exists. The limitation period runs from the time the cause of action arises. This occurs when "all elements of the cause of action [have] crystallized' or accrued' entitling the plaintiff to commence action: </w:t>
      </w:r>
      <w:r>
        <w:rPr>
          <w:rFonts w:ascii="arial" w:eastAsia="arial" w:hAnsi="arial" w:cs="arial"/>
          <w:b/>
          <w:i/>
          <w:color w:val="000000"/>
          <w:sz w:val="20"/>
          <w:lang w:val="en-US" w:eastAsia="en-US" w:bidi="ar-SA"/>
        </w:rPr>
        <w:t>Arishenkoff v. British Columbia</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30 B.C.L.R. (4th) 1</w:t>
        </w:r>
      </w:hyperlink>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2004 BCCA 299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provides varying limitation periods, depending on the cause of action. For example,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limitation period is two years; in an action for breach of contract, the limitation period is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purposes of limitation periods is explained by the Supreme Court of Canada in </w:t>
      </w:r>
      <w:r>
        <w:rPr>
          <w:rFonts w:ascii="arial" w:eastAsia="arial" w:hAnsi="arial" w:cs="arial"/>
          <w:b/>
          <w:i/>
          <w:color w:val="000000"/>
          <w:sz w:val="20"/>
          <w:lang w:val="en-US" w:eastAsia="en-US" w:bidi="ar-SA"/>
        </w:rPr>
        <w:t>Novak v. Bond</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Almost all applications of limitations statutes will seem harsh. But their finality should not obscure their value. They bring needed stability to society by enabling potential defendants to plan their affairs in the safe assumption that state claims cannot be raised against them. They minimize the risk that evidence relevant to the claim will not be lost. In addition, they are an incentive for plaintiffs not to "sleep on their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Subsections 6(3) and 6(4)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deal with the postponement of the running of the time in regard to a limitation period. Those subsections codify the discoverability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Wittman v. Emmott</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(1991), 53 B.C.L.R. (2d) 228</w:t>
        </w:r>
      </w:hyperlink>
      <w:r>
        <w:rPr>
          <w:rFonts w:ascii="arial" w:eastAsia="arial" w:hAnsi="arial" w:cs="arial"/>
          <w:color w:val="000000"/>
          <w:sz w:val="20"/>
          <w:lang w:val="en-US" w:eastAsia="en-US" w:bidi="ar-SA"/>
        </w:rPr>
        <w:t>, at page 236, the Court of Appeal describes the principle: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has expressly made special provisions to avoid, in certain specific circumstances, the injustice of a statute-barred claim before a plaintiff is even aware of its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However, even the discoverability principle does not allow a plaintiff to bring an action outside of the ultimate limitation period as provided in Section 8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The ultimate limitation period is 30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ultimate limitation period is described by the Court in </w:t>
      </w:r>
      <w:r>
        <w:rPr>
          <w:rFonts w:ascii="arial" w:eastAsia="arial" w:hAnsi="arial" w:cs="arial"/>
          <w:b/>
          <w:i/>
          <w:color w:val="000000"/>
          <w:sz w:val="20"/>
          <w:lang w:val="en-US" w:eastAsia="en-US" w:bidi="ar-SA"/>
        </w:rPr>
        <w:t>Arishenkoff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simply imposes a final "cut-off" date which no action may be brought - even where the plaintiff has not "discovered" his or her right to sue .... It does not, like ss. 6 and 7, </w:t>
      </w:r>
      <w:r>
        <w:rPr>
          <w:rFonts w:ascii="arial" w:eastAsia="arial" w:hAnsi="arial" w:cs="arial"/>
          <w:color w:val="000000"/>
          <w:sz w:val="20"/>
          <w:u w:val="single"/>
          <w:lang w:val="en-US" w:eastAsia="en-US" w:bidi="ar-SA"/>
        </w:rPr>
        <w:t>postpone</w:t>
      </w:r>
      <w:r>
        <w:rPr>
          <w:rFonts w:ascii="arial" w:eastAsia="arial" w:hAnsi="arial" w:cs="arial"/>
          <w:color w:val="000000"/>
          <w:sz w:val="20"/>
          <w:lang w:val="en-US" w:eastAsia="en-US" w:bidi="ar-SA"/>
        </w:rPr>
        <w:t xml:space="preserve"> or </w:t>
      </w:r>
      <w:r>
        <w:rPr>
          <w:rFonts w:ascii="arial" w:eastAsia="arial" w:hAnsi="arial" w:cs="arial"/>
          <w:color w:val="000000"/>
          <w:sz w:val="20"/>
          <w:u w:val="single"/>
          <w:lang w:val="en-US" w:eastAsia="en-US" w:bidi="ar-SA"/>
        </w:rPr>
        <w:t>extend</w:t>
      </w:r>
      <w:r>
        <w:rPr>
          <w:rFonts w:ascii="arial" w:eastAsia="arial" w:hAnsi="arial" w:cs="arial"/>
          <w:color w:val="000000"/>
          <w:sz w:val="20"/>
          <w:lang w:val="en-US" w:eastAsia="en-US" w:bidi="ar-SA"/>
        </w:rPr>
        <w:t xml:space="preserve"> the running of time: nor can it be read a reviving a previously barred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Insurance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Section 22(1)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action on a contract must be commenced within on year after furnishing of reasonably sufficient proof of a loss or claim under the contract and not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Court of Appeal considered this provision in </w:t>
      </w:r>
      <w:r>
        <w:rPr>
          <w:rFonts w:ascii="arial" w:eastAsia="arial" w:hAnsi="arial" w:cs="arial"/>
          <w:b/>
          <w:i/>
          <w:color w:val="000000"/>
          <w:sz w:val="20"/>
          <w:lang w:val="en-US" w:eastAsia="en-US" w:bidi="ar-SA"/>
        </w:rPr>
        <w:t>Balzer v. Sun Life Assurance Co. of Canada</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(2003), 15 B.C.L.R. (4th) 6</w:t>
        </w:r>
      </w:hyperlink>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2003 BCCA 306</w:t>
        </w:r>
      </w:hyperlink>
      <w:r>
        <w:rPr>
          <w:rFonts w:ascii="arial" w:eastAsia="arial" w:hAnsi="arial" w:cs="arial"/>
          <w:color w:val="000000"/>
          <w:sz w:val="20"/>
          <w:lang w:val="en-US" w:eastAsia="en-US" w:bidi="ar-SA"/>
        </w:rPr>
        <w:t>. The court states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at denial of coverage of termination of benefits that an insured would have reason to sue the insurer. That is when a limitation period should begin to run, not while benefits are being received, not on some later date when an insured decided to file a proof of loss or commence an action. This sensible result is at the root of the reasoning in the authorities cited to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Workers'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At the relevant time, Section 96(1) of the </w:t>
      </w:r>
      <w:r>
        <w:rPr>
          <w:rFonts w:ascii="arial" w:eastAsia="arial" w:hAnsi="arial" w:cs="arial"/>
          <w:b/>
          <w:i/>
          <w:color w:val="000000"/>
          <w:sz w:val="20"/>
          <w:lang w:val="en-US" w:eastAsia="en-US" w:bidi="ar-SA"/>
        </w:rPr>
        <w:t>Workers' Compensation Act</w:t>
      </w:r>
      <w:r>
        <w:rPr>
          <w:rFonts w:ascii="arial" w:eastAsia="arial" w:hAnsi="arial" w:cs="arial"/>
          <w:color w:val="000000"/>
          <w:sz w:val="20"/>
          <w:lang w:val="en-US" w:eastAsia="en-US" w:bidi="ar-SA"/>
        </w:rPr>
        <w:t xml:space="preserv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 has exclusive jurisdiction to inquire into, hear and determine all matters and questions of fact and law arising under this Part, and the action or decision of the board on them is final and conclusive and is not open to question or review in any court, and no proceedings by or before the board shall be restrained by injunction, prohibition or other process or proceeding in any court or be removable by certiorari or otherwise into any court, nor shall an action be maintained or brought against a governor, officer, appeal commissioner or employee of the board in respect of an act, omission or decision done or made in the belief that it was within the jurisdiction of the board; and, without restricting the generality of the foregoing, the board has exclusive jurisdiction to inquire into, hear and determine:</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whether an injury has arisen out of or in the course of an employment within the scope of this Part;</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and degree of disability by reason of an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Given the exclusive jurisdiction of the WCB to adjudicate disability claims arising out of or in the course of employment, it decisions can only be reviewed by the court under the provisions of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where the petitioner demonstrates that the Board's decision is made in excess of jurisdiction. The court's intervention is only warranted where the decision is patently unreasonable and cannot rationally be supported on either the relevant facts or legislation: </w:t>
      </w:r>
      <w:r>
        <w:rPr>
          <w:rFonts w:ascii="arial" w:eastAsia="arial" w:hAnsi="arial" w:cs="arial"/>
          <w:b/>
          <w:i/>
          <w:color w:val="000000"/>
          <w:sz w:val="20"/>
          <w:lang w:val="en-US" w:eastAsia="en-US" w:bidi="ar-SA"/>
        </w:rPr>
        <w:t>Speckling v. WCB</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[2005] B.C.J. No. 270</w:t>
        </w:r>
      </w:hyperlink>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2005 BCCA 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WCB cannot be sued for damages in its exercise of it judicial or quasi-judicial powers: </w:t>
      </w:r>
      <w:r>
        <w:rPr>
          <w:rFonts w:ascii="arial" w:eastAsia="arial" w:hAnsi="arial" w:cs="arial"/>
          <w:b/>
          <w:i/>
          <w:color w:val="000000"/>
          <w:sz w:val="20"/>
          <w:lang w:val="en-US" w:eastAsia="en-US" w:bidi="ar-SA"/>
        </w:rPr>
        <w:t>Polson v. WCB,</w:t>
      </w:r>
      <w:r>
        <w:rPr>
          <w:rFonts w:ascii="arial" w:eastAsia="arial" w:hAnsi="arial" w:cs="arial"/>
          <w:color w:val="000000"/>
          <w:sz w:val="20"/>
          <w:lang w:val="en-US" w:eastAsia="en-US" w:bidi="ar-SA"/>
        </w:rPr>
        <w:t xml:space="preserve"> unreported, May 19, 1988, Vancouver Registry C881656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Neither can the WCB be sued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exercise of its exclusive jurisdiction. It does not owe a private law duty of care to a claimant, in this case,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Judicial Review Procedure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authorizes the court to set aside decisions of administrative tribunals where the tribunal has committed a jurisdictional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outlines the procedure for review of a decision of an administrative tribunal, such as the WCB. An application for judicial review must be commenced by petition (s. 2(1)); it must state the grounds upon which the relief is sought (s. 14); the Attorney General of the province must be given notice of the application (s. 16). Non-compliance with these procedural requirements is fatal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Rule 19(24)(a)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 can apply this rule where it is plain and obvious that the statement of claim discloses no reasonable claim, even assuming that the facts pled are true. If it can be deduced from the pleadings that the action is bound to fail, or if the action is statement barred, the action can be struck: </w:t>
      </w:r>
      <w:r>
        <w:rPr>
          <w:rFonts w:ascii="arial" w:eastAsia="arial" w:hAnsi="arial" w:cs="arial"/>
          <w:b/>
          <w:i/>
          <w:color w:val="000000"/>
          <w:sz w:val="20"/>
          <w:lang w:val="en-US" w:eastAsia="en-US" w:bidi="ar-SA"/>
        </w:rPr>
        <w:t>Hunt v. T. &amp; 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Associates Realty Credit Ltd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v. ICBC</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(1979), 16 B.C.L.R. 54</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action canters upon a back injury that he suffered in 1955. He asserts that the applicants, the three defendants acted negligently or in breach of contract. He brought the action in October, 2005 because he had proof of his back injury when he received documents in November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suffered his back injury in 1955. The foreclosure by the credit union was completed by December 1959. If the plaintiff did make any claim to the insurers at that time, or in 1964, those claims were not accepted. The plaintiff did not receive benefits form the WCB. It rejected his claim at the time, based upon its decision that his back injury did not occur in the course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cause of action arose in respect of the credit union, when it commenced its foreclosure proceeding against him. His action against the insurer arose when he was denied benefits, either in 1959 or 1964. The denial of his back injury claim by the WCB was made in 1955, and upheld by the commissioners in 1959.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All of the relevant facts were known to the plaintiff at the time they occurred. He knew the identity of the defendants. Thus, the discoverability principle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says that he did not have the evidence required until he received documents in 2003. Receipt of those documents does not alter the date that the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plaintiff's understanding of the date upon which the limitation period begins to run is wrong: it is not the date that he received evidence to prove his claim. If the action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on the date the duty of care has arisen, there has been a breach of that duty and the plaintiff has suffered damages. The claim must be made within two years. In a breach of contract claim, it is the date the contract was breached. The claim must be made within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plaintiff's claim against all three defendants is statute barred. The claims were not brought in accordance with the time limits prescribed by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Further, the claims are barred by s. 22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which provides an ultimate cut off date of thirty years. The plaintiff brought his claim in October 2005. The claims arose more than 30 years before. The claims are statute barred in accordance with section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action against the insured must be brought within one year of the denial of benefits. The latest denial by the insured was made on February 17, 2004. The plaintiff did not bring his action against the insured until October 2005. That action is statute barred by s. 22 of the </w:t>
      </w:r>
      <w:r>
        <w:rPr>
          <w:rFonts w:ascii="arial" w:eastAsia="arial" w:hAnsi="arial" w:cs="arial"/>
          <w:b/>
          <w:i/>
          <w:color w:val="000000"/>
          <w:sz w:val="20"/>
          <w:lang w:val="en-US" w:eastAsia="en-US" w:bidi="ar-SA"/>
        </w:rPr>
        <w:t>Insurance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cannot bring his action against the WCB for denial of his claim in 1996. It does not comply with the requirements of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He can not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WCB not can he sue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Finally, the plaintiffs claim does not disclose any reasonable cause of action. It has no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signature on the form of order is dispensed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GROPPER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April 18,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advising that Counsel for the Defendant, Workers' Compensation Board should be listed as S. Nielsen and L. Courtenay.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Conor Pacific Group Inc. v. Canada (Attorney General), [2010] B.C.J. No. 743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A.W. 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 5, 9, 11, 12, 15 and 16,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S030102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743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570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B.C.L.R. (5th) 118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700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1005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Conor Pacific Group Inc., Plaintiff, and The Attorney General of Canada and Defence Construction (1951)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(92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May 26, 2010. See </w:t>
      </w:r>
      <w:hyperlink r:id="rId157" w:history="1">
        <w:r>
          <w:rPr>
            <w:rFonts w:ascii="arial" w:eastAsia="arial" w:hAnsi="arial" w:cs="arial"/>
            <w:i/>
            <w:color w:val="0077CC"/>
            <w:sz w:val="18"/>
            <w:u w:val="single"/>
            <w:shd w:val="clear" w:color="auto" w:fill="FFFFFF"/>
            <w:lang w:val="en-US" w:eastAsia="en-US" w:bidi="ar-SA"/>
          </w:rPr>
          <w:t>[2010] B.C.J. No. 995</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9"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1" w:name="Keywords_8"/>
      <w:bookmarkEnd w:id="71"/>
      <w:r>
        <w:rPr>
          <w:rFonts w:ascii="arial" w:eastAsia="arial" w:hAnsi="arial" w:cs="arial"/>
          <w:b/>
          <w:color w:val="000000"/>
          <w:sz w:val="20"/>
          <w:lang w:val="en-US" w:eastAsia="en-US" w:bidi="ar-SA"/>
        </w:rPr>
        <w:t>Conflict of laws — Jurisdiction — Determination of — Real and substantial connection — Where cause of action arose — Submission to — Application to dismiss the outstanding claims in the amended statement of claim allowed — Geographical or jurisdictional facts about British Columbia were conspicuously absent from the Amended Statement of Claim — The defendants did not attorn to the jurisdiction — The plaintiff had not pled any jurisdictional or geographic facts to establish a "real and substantial connection" between any of the claims and British Columbia — Court Jurisdiction and Proceedings Transfer Act, s. 3 — Crown Liability and Proceedings Act, s. 21(1).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Negligent misrepresentation — Application to dismiss the outstanding claims in the amended statement of claim allowed — Geographical or jurisdictional facts about British Columbia were conspicuously absent from the Amended Statement of Claim — The defendants did not attorn to the jurisdiction — The plaintiff had not pled any jurisdictional or geographic facts to establish a "real and substantial connection" between any of the claims and British Columbia — Court Jurisdiction and Proceedings Transfer Act, s. 3 — Crown Liability and Proceedings Act, s. 21(1).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2" w:name="Case Summary_7"/>
            <w:bookmarkEnd w:id="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an order the outstanding claims in the amended statement of claim be struck or dismissed. The application was brought on the basis that the pleadings did not allege facts that if true, would establish that the Court had jurisdiction to hear any of those claims. The plaintiff was in incorporated under the laws of Alberta and was registered extraprovincially in British Columbia and Ontario. The outstanding claims, being claims #1, 4 and 5, related to environmental remediation work regarding a business or lands in Ontario. In claim #1 the plaintiff alleged that certain employees of the federal Department of Environment, and Public Works and Government Services, made negligent misrepresentations to the plaintiff in the months leading up to the plaintiff's purchase of WTI Holdings Ltd. (WTI Holdings) shares. WTI Holdings was registered in Burlington, Ontario and was owned by former federal employees. Water Technology International Corporation (WTI), a wholly-owned subsidiary of WTI Holdings, operated the Waste Water Technology Centre in Burlington, Ontario (the WTC). WTI purchased the government owned/contactor operated contract (the GOCO contract). The plaintiff failed to profit from WTI and took the position the Crown was responsible for those losses, because of the alleged negligent misrepresentations. In claim #3 the plaintiff alleged that Defence Construction (1951) Ltd. (Defence Construction) made negligent misrepresentations and breached a contract in relation to the remediation of fuel storage sites and hydrocarbon-contaminated groundwater in North Bay, Ontario (the North Bay Project). The plaintiff also made quantum meruit claims. The plaintiff referred to misrepresentations made at site meetings in North Bay and during the bid/tender process that occurred in Ontario. In claim #4 the plaintiff alleged the Crown should be legally liable for unpaid contracts the plaintiff entered into with six Indian Bands. The defendants had taken no steps in the litigation to defend the claim on its merits. The Federal Court made an order by consent of the parties that disposed of claim #5 and the plaintiff no longer advanced claims #2 and 6.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3" w:name="Holdings of Court_5"/>
            <w:bookmarkEnd w:id="7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amended statement of claim was dismissed in its entirety. All of the outstanding claims were struck for want of jurisdiction. There were no jurisdictional facts alleged in the pleadings of claim #1, nor did the plaintiff's evidence establish that the alleged tort of negligent misrepresentation arose in British Columbia. None of the alleged misrepresentations, breaches of contract, or quantum meruit claims in claim #3 arose in British Columbia. Claim #3 contained no facts on which the plaintiff could establish a real and substantial connection to British Columbia. Claim #4 lacked any geographic detail and did not raise a cause of action against the Crown. The plaintiff provided no details of the written agreements and had not pleaded any material facts that would establish the Crown's legal liability to pay for the Indian Bands' contracts. The Federal Court made an order by consent of the parties that disposed of claim #5, so the Court had no jurisdiction over that claim. Geographical or jurisdictional facts about British Columbia were conspicuously absent from the Amended Statement of Claim. The defendants did not attorn to the jurisdiction and the plaintiff had not pled any jurisdictional or geographic facts to establish a "real and substantial connection" between any of the claims and British Columbia.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4" w:name="Legislation Cited_6"/>
      <w:bookmarkEnd w:id="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0"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Arbitration Act 1991, </w:t>
      </w:r>
      <w:hyperlink r:id="rId158" w:history="1">
        <w:r>
          <w:rPr>
            <w:rFonts w:ascii="arial" w:eastAsia="arial" w:hAnsi="arial" w:cs="arial"/>
            <w:i/>
            <w:color w:val="0077CC"/>
            <w:sz w:val="20"/>
            <w:u w:val="single"/>
            <w:shd w:val="clear" w:color="auto" w:fill="FFFFFF"/>
            <w:lang w:val="en-US" w:eastAsia="en-US" w:bidi="ar-SA"/>
          </w:rPr>
          <w:t>S.O. 1991, c. 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Federal Courts Act, </w:t>
      </w:r>
      <w:hyperlink r:id="rId159"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Jurisdiction and Proceedings Transfer Act, </w:t>
      </w:r>
      <w:hyperlink r:id="rId160" w:history="1">
        <w:r>
          <w:rPr>
            <w:rFonts w:ascii="arial" w:eastAsia="arial" w:hAnsi="arial" w:cs="arial"/>
            <w:i/>
            <w:color w:val="0077CC"/>
            <w:sz w:val="20"/>
            <w:u w:val="single"/>
            <w:shd w:val="clear" w:color="auto" w:fill="FFFFFF"/>
            <w:lang w:val="en-US" w:eastAsia="en-US" w:bidi="ar-SA"/>
          </w:rPr>
          <w:t>SBC 2003, CHAPTER 28, s. 3</w:t>
        </w:r>
      </w:hyperlink>
      <w:r>
        <w:rPr>
          <w:rFonts w:ascii="arial" w:eastAsia="arial" w:hAnsi="arial" w:cs="arial"/>
          <w:color w:val="000000"/>
          <w:sz w:val="20"/>
          <w:lang w:val="en-US" w:eastAsia="en-US" w:bidi="ar-SA"/>
        </w:rPr>
        <w:t>,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Liability and Proceedings Act, </w:t>
      </w:r>
      <w:hyperlink r:id="rId161" w:history="1">
        <w:r>
          <w:rPr>
            <w:rFonts w:ascii="arial" w:eastAsia="arial" w:hAnsi="arial" w:cs="arial"/>
            <w:i/>
            <w:color w:val="0077CC"/>
            <w:sz w:val="20"/>
            <w:u w:val="single"/>
            <w:shd w:val="clear" w:color="auto" w:fill="FFFFFF"/>
            <w:lang w:val="en-US" w:eastAsia="en-US" w:bidi="ar-SA"/>
          </w:rPr>
          <w:t>R.S.C. 1985, c. C-50, s. 9</w:t>
        </w:r>
      </w:hyperlink>
      <w:r>
        <w:rPr>
          <w:rFonts w:ascii="arial" w:eastAsia="arial" w:hAnsi="arial" w:cs="arial"/>
          <w:color w:val="000000"/>
          <w:sz w:val="20"/>
          <w:lang w:val="en-US" w:eastAsia="en-US" w:bidi="ar-SA"/>
        </w:rPr>
        <w:t>, s. 21(1), s.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Defence Production Act, </w:t>
      </w:r>
      <w:hyperlink r:id="rId162" w:history="1">
        <w:r>
          <w:rPr>
            <w:rFonts w:ascii="arial" w:eastAsia="arial" w:hAnsi="arial" w:cs="arial"/>
            <w:i/>
            <w:color w:val="0077CC"/>
            <w:sz w:val="20"/>
            <w:u w:val="single"/>
            <w:shd w:val="clear" w:color="auto" w:fill="FFFFFF"/>
            <w:lang w:val="en-US" w:eastAsia="en-US" w:bidi="ar-SA"/>
          </w:rPr>
          <w:t>R.S.C. 1985, c. D-1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Federal Courts Act, </w:t>
      </w:r>
      <w:hyperlink r:id="rId159"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Ontario Standards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14, Rule 14(6.4), Rule 19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5" w:name="Counsel_8"/>
      <w:bookmarkEnd w:id="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1"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M.G. Armstrong, A. Smolianskaia.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Chow, D.W. Jacyk, C. Mah.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6" w:name="Judgment_8"/>
      <w:bookmarkEnd w:id="76"/>
      <w:r>
        <w:pict>
          <v:line id="_x0000_s1072"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7" w:name="A.W. MacKENZIE J."/>
            <w:bookmarkEnd w:id="77"/>
            <w:r>
              <w:rPr>
                <w:rFonts w:ascii="arial" w:eastAsia="arial" w:hAnsi="arial" w:cs="arial"/>
                <w:b/>
                <w:color w:val="000000"/>
                <w:sz w:val="30"/>
                <w:lang w:val="en-US" w:eastAsia="en-US" w:bidi="ar-SA"/>
              </w:rPr>
              <w:t>A.W. 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issue on this application is whether the British Columbia Supreme Court has jurisdiction to hear any of the outstanding claims in the Amended Statement of Claim filed August 12, 2003 by the plaintiff, Conor Pacific Group Inc. ("Conor").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the Attorney General of Canada (the "Crown") and the Crown corporation, Defence Construction (1951) Limited ("Defence Construction") seek an order that each of claims #1, 3, 4, and 5 of the Amended Statement of Claim be struck or dismissed on the basis that the pleadings do not allege facts that if true, would establish that this Court has jurisdiction to hear any of those claims. Specifically, the defendants say the pleadings fail to allege any geographical facts to establish this Court's jurisdiction over claims #1 and 4, and that this Court has no territorial competence over claim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Federal Court has made an order by consent of the parties that disposes of claim #5, so this Court has no jurisdiction over that claim. The plaintiff no longer advances claims #2 and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bring this motion pursuant to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as amended by S.C. 1990, c. 8, s. 28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Federal Courts Act,</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R.S.C. 1985, c. F-7</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and Rules 14 and 19 of the </w:t>
      </w:r>
      <w:r>
        <w:rPr>
          <w:rFonts w:ascii="arial" w:eastAsia="arial" w:hAnsi="arial" w:cs="arial"/>
          <w:i/>
          <w:color w:val="000000"/>
          <w:sz w:val="20"/>
          <w:lang w:val="en-US" w:eastAsia="en-US" w:bidi="ar-SA"/>
        </w:rPr>
        <w:t>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Section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provides that where a claim is made against the Crown, (except where the Federal Court has exclusive jurisdiction), the superior court of the province "</w:t>
      </w:r>
      <w:r>
        <w:rPr>
          <w:rFonts w:ascii="arial" w:eastAsia="arial" w:hAnsi="arial" w:cs="arial"/>
          <w:i/>
          <w:color w:val="000000"/>
          <w:sz w:val="20"/>
          <w:lang w:val="en-US" w:eastAsia="en-US" w:bidi="ar-SA"/>
        </w:rPr>
        <w:t>in which the claim arises</w:t>
      </w:r>
      <w:r>
        <w:rPr>
          <w:rFonts w:ascii="arial" w:eastAsia="arial" w:hAnsi="arial" w:cs="arial"/>
          <w:color w:val="000000"/>
          <w:sz w:val="20"/>
          <w:lang w:val="en-US" w:eastAsia="en-US" w:bidi="ar-SA"/>
        </w:rPr>
        <w:t>" has concurrent jurisdiction with respect to the subject-matter of the claim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reasons that follow, an examination of claims #1 and 4 reveals that each concerns events that did not occur in British Columbia, so the claims did not "arise" in British Columbia, and this Court has no jurisdiction over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 3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has territorial competence in a proceeding that is brought against a person only if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the plaintiff in another proceeding in the court to which the proceeding in question is a counterclaim,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course of the proceeding that person submits to the court's jurisdiction,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agreement between the plaintiff and that person to the effect that the court has jurisdiction in the proceeding,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ordinarily resident in British Columbia at the time of the commencement of the proceeding,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British Columbia and the facts on which the proceeding against that person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does govern this Court's jurisdiction to hear claims #1 and 4 then on application of s. 3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 would have reached a similar conclusion: this Court has no territorial competence (formerly </w:t>
      </w:r>
      <w:r>
        <w:rPr>
          <w:rFonts w:ascii="arial" w:eastAsia="arial" w:hAnsi="arial" w:cs="arial"/>
          <w:i/>
          <w:color w:val="000000"/>
          <w:sz w:val="20"/>
          <w:lang w:val="en-US" w:eastAsia="en-US" w:bidi="ar-SA"/>
        </w:rPr>
        <w:t>jurisdiction simpliciter)</w:t>
      </w:r>
      <w:r>
        <w:rPr>
          <w:rFonts w:ascii="arial" w:eastAsia="arial" w:hAnsi="arial" w:cs="arial"/>
          <w:color w:val="000000"/>
          <w:sz w:val="20"/>
          <w:lang w:val="en-US" w:eastAsia="en-US" w:bidi="ar-SA"/>
        </w:rPr>
        <w:t xml:space="preserve"> to hear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governs this Court's jurisdiction as to claim #3 and upon application of s. 3 of that Act; this Court lacks territorial competence over claim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Therefore, the defendants' application is granted. All the outstanding claims in the Amended Statement of Claim are struck for want of jurisdiction. Given the plaintiff is not proceeding with claims #2 and #6, the Amended Statement of Claim is dismissed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the plaintiff describes itself as "a public company incorporated under the laws of Alberta with its head office and principal place of business in Vancouver, British Columbia" (Amended Statement of Claim, para. 1), an Extraprovincial Company Search showed the company having a head office in Alberta. It is registered extraprovincially in British Columbia and in other provinces, including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claims it "was founded as a consolidator of technical knowledge and practical solutions in the highly fragmented North American environmental services industry", and that it "commenced operations in 1994, and by 1999, had emerged as a profitable leader in its field with offices across Canada and approximately 350 employees" (Amended Statement of Claim,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Amended Statement of Claim, the Crown is the defendant in claims #1, 4 and 5. Defence Construction is the defendant in claim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this one proceeding, the plaintiff links claims in tort and contract that are completely unrelated. Claims #1, 3 and 4 relate to environmental remediation work regarding a business or lands in Ontario. Claim #5 is a matter over which the Federal Court has exclusive jurisdiction. The plaintiff also makes a general allegation in the Amended Statement of Claim that the defendants maliciously caused injury to the plaintiff in "successive" and "repeated" attempts to destroy the plaintiff corporation, for which it claims damages in addition to those sought for individual claims. The defendants call this a "piggyback" claim for extra damages that amounts to a claim for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original Statement of Claim was filed in January 2003. Within two weeks of being served with the Writ of Summons and Statement of Claim, counsel for the Crown alerted the plaintiff to serious jurisdictional problems with all the claims. Throughout 2003, the Crown repeatedly told plaintiff's counsel about its concerns regarding this Court's jurisdiction to hear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Amended Statement of Claim at issue on this motion was filed August 12, 2003. The defendants filed an Appearance to the original Statement of Claim. When plaintiff's counsel advised that the plaintiff would take default judgment against the defendants because they had not filed an Appearance to the Amended Statement of Claim, the defendants filed an Appearance to the Amended Statement of Claim. The defendants have never filed a Statement of Defence, or attempted to defend any of the claims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late August 2003, counsel for the Crown delivered a very lengthy and extensive Demand for Particulars. Counsel for the plaintiff has never responded to the Demand. He has only provided a "summary" of the claims which did not answer the many questions in the Demand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For over six years, from its last correspondence on August 22, 2003 until March 2009 when the plaintiff served the Notice of Intention to Proceed, the plaintiff did nothing to advance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 #1: The WTI Sale and Purchase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Amended Statement of Claim, the plaintiff introduces its individual claims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Parties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Conor Pacific Group Inc., formerly named Conor Pacific Environmental Technologies Inc. ("CPET") is a public company incorporated under the laws of Alberta with its head office and principal place of business in Vancouver, British Columbia. CPET's shares are listed for trading on the Toronto Stock Exchange.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CPET was founded as a consolidator of technical knowledge and practical solutions in the highly fragmented North American environmental services industry. It commenced operations in 1994 and by 1999 had emerged as a profitable leader in its field with offices across Canada and approximately 350 employees.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w:t>
      </w:r>
      <w:r>
        <w:rPr>
          <w:rFonts w:ascii="arial" w:eastAsia="arial" w:hAnsi="arial" w:cs="arial"/>
          <w:color w:val="000000"/>
          <w:sz w:val="20"/>
          <w:u w:val="single"/>
          <w:lang w:val="en-US" w:eastAsia="en-US" w:bidi="ar-SA"/>
        </w:rPr>
        <w:t>the Attorney General of Canada (the "Government" or "the Defendant") is named as the representative of</w:t>
      </w:r>
      <w:r>
        <w:rPr>
          <w:rFonts w:ascii="arial" w:eastAsia="arial" w:hAnsi="arial" w:cs="arial"/>
          <w:color w:val="000000"/>
          <w:sz w:val="20"/>
          <w:lang w:val="en-US" w:eastAsia="en-US" w:bidi="ar-SA"/>
        </w:rPr>
        <w:t xml:space="preserve"> Her Majesty the Queen in Right of Canada </w:t>
      </w:r>
      <w:r>
        <w:rPr>
          <w:rFonts w:ascii="arial" w:eastAsia="arial" w:hAnsi="arial" w:cs="arial"/>
          <w:color w:val="000000"/>
          <w:sz w:val="20"/>
          <w:u w:val="single"/>
          <w:lang w:val="en-US" w:eastAsia="en-US" w:bidi="ar-SA"/>
        </w:rPr>
        <w:t>who</w:t>
      </w:r>
      <w:r>
        <w:rPr>
          <w:rFonts w:ascii="arial" w:eastAsia="arial" w:hAnsi="arial" w:cs="arial"/>
          <w:color w:val="000000"/>
          <w:sz w:val="20"/>
          <w:lang w:val="en-US" w:eastAsia="en-US" w:bidi="ar-SA"/>
        </w:rPr>
        <w:t xml:space="preserve"> acted at all relevant times through </w:t>
      </w:r>
      <w:r>
        <w:rPr>
          <w:rFonts w:ascii="arial" w:eastAsia="arial" w:hAnsi="arial" w:cs="arial"/>
          <w:color w:val="000000"/>
          <w:sz w:val="20"/>
          <w:u w:val="single"/>
          <w:lang w:val="en-US" w:eastAsia="en-US" w:bidi="ar-SA"/>
        </w:rPr>
        <w:t>employees</w:t>
      </w:r>
      <w:r>
        <w:rPr>
          <w:rFonts w:ascii="arial" w:eastAsia="arial" w:hAnsi="arial" w:cs="arial"/>
          <w:color w:val="000000"/>
          <w:sz w:val="20"/>
          <w:lang w:val="en-US" w:eastAsia="en-US" w:bidi="ar-SA"/>
        </w:rPr>
        <w:t xml:space="preserve"> of the following departments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agencies, </w:t>
      </w:r>
      <w:r>
        <w:rPr>
          <w:rFonts w:ascii="arial" w:eastAsia="arial" w:hAnsi="arial" w:cs="arial"/>
          <w:color w:val="000000"/>
          <w:sz w:val="20"/>
          <w:u w:val="single"/>
          <w:lang w:val="en-US" w:eastAsia="en-US" w:bidi="ar-SA"/>
        </w:rPr>
        <w:t>all as further detailed below:</w:t>
      </w:r>
      <w:r>
        <w:rPr>
          <w:rFonts w:ascii="arial" w:eastAsia="arial" w:hAnsi="arial" w:cs="arial"/>
          <w:color w:val="000000"/>
          <w:sz w:val="20"/>
          <w:lang w:val="en-US" w:eastAsia="en-US" w:bidi="ar-SA"/>
        </w:rPr>
        <w:t xml:space="preserve"> Department of Public Works and Government Services ("PWC"), Department of Indian &amp; Northern Affairs ("DIANA"), Department of Environment ("DOE"), Department of National Defence ("DND"), Canada Customs and Revenue Agency ("CCRA"), and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Department of Transportation ("DOT"). The Plaintiff states that the Government is liable for the acts and omissions of each of these </w:t>
      </w:r>
      <w:r>
        <w:rPr>
          <w:rFonts w:ascii="arial" w:eastAsia="arial" w:hAnsi="arial" w:cs="arial"/>
          <w:color w:val="000000"/>
          <w:sz w:val="20"/>
          <w:u w:val="single"/>
          <w:lang w:val="en-US" w:eastAsia="en-US" w:bidi="ar-SA"/>
        </w:rPr>
        <w:t>employees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3a. The Defendant Defence Construction (1951) Limited, known as Defence Construction Canada ("DCC"), is a federal crown corporation incorporated pursuant to the </w:t>
      </w:r>
      <w:r>
        <w:rPr>
          <w:rFonts w:ascii="arial" w:eastAsia="arial" w:hAnsi="arial" w:cs="arial"/>
          <w:i/>
          <w:color w:val="000000"/>
          <w:sz w:val="20"/>
          <w:u w:val="single"/>
          <w:lang w:val="en-US" w:eastAsia="en-US" w:bidi="ar-SA"/>
        </w:rPr>
        <w:t>Defence Production Act</w:t>
      </w:r>
      <w:r>
        <w:rPr>
          <w:rFonts w:ascii="arial" w:eastAsia="arial" w:hAnsi="arial" w:cs="arial"/>
          <w:color w:val="000000"/>
          <w:sz w:val="20"/>
          <w:u w:val="single"/>
          <w:lang w:val="en-US" w:eastAsia="en-US" w:bidi="ar-SA"/>
        </w:rPr>
        <w:t xml:space="preserve"> and is an agent of the Defendant in connection with the clean-up and remediation of lands owned by the Defendant. At all material times Major Norman Dorff ("Dorff"), David Unram ("Unram"), Terry Brownlee ("Brownlee"), Patrick Thompson ("Thompson"), Lynda Lenfesky ("Lenfesky") and Ross Nichols ("Nichols") were employees of DCC, which is liable for their actions.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following individuals</w:t>
      </w:r>
      <w:r>
        <w:rPr>
          <w:rFonts w:ascii="arial" w:eastAsia="arial" w:hAnsi="arial" w:cs="arial"/>
          <w:color w:val="000000"/>
          <w:sz w:val="20"/>
          <w:lang w:val="en-US" w:eastAsia="en-US" w:bidi="ar-SA"/>
        </w:rPr>
        <w:t xml:space="preserve"> were at all material times employees of the Defendant who made representations and took actions on its behalf, within the course and scope of their employment and with its ostensible authority. The Defendant is vicariously liable for their statements and actions: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Ed Noreena ("Noreena") of DOE;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David Hay ("Hay") of DOE;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Peter Seto ("Seto") of DOE;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Roger Santiago ("Santiago") of DOE;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Simon Llewellyn ("Llewellyn") of DOE;</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Janet Fisher ("Fisher") of DOE;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Nicole Harrison ("Harrison") of PWC</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1997 to 2000, the Plaintiff had a variety of dealings with the Defendant, often through the same agents, in connection with environmental projects or businesses in which the Defendant was involved, all as set out below. By virtue of these dealings the Defendant had knowledge of the business and affairs of the Plaintiff, including particular knowledge of its financial and operational vulnerability; and the Plaintiff reasonably believed that it could rely on the truth of the Defendant's representations and on the Defendant's integrity. The Defendant knew and intended that the Plaintiff would place this reliance on it. The Plaintiff did so, to its great detriment, as outlined below. [Underlining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claim #1, the plaintiff alleges that certain employees of the federal Department of Environment, and Public Works and Government Services, made negligent misrepresentations to the plaintiff in the months leading up to the plaintiff's purchase in 1997 of the shares of WTI Holdings Ltd. ("WTI Holdings"), a private corporation owned by former federal employees (not the same federal employees who allegedly committed the tort of negligent misrepresentation). WTI Holdings was registered in Burlington, Ontario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same group of former employees of the Crown who owned WTI Holdings also formed the wholly-owned subsidiary of WTI Holdings, Water Technology International Corporation ("WTI"), and operated the Waste Water Technology Centre in Burlington, Ontario ("the WTC"). WTI purchased the government owned/contractor operated contract (the "GOCO Contract"). It operated the WTC and delivered applied research and development services, including environmental work at sites, as specified under the GOCO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asserts that the misrepresentations by the federal employees (which included a representation that WTI would be profitable), induced the plaintiff to enter into the share purchase agreement with WTI Holdings, thus causing the plaintiff damages. The plaintiff failed to profit from WTI, and sets out in claim #1 the losses it allegedly sustained. It says the Crown is responsible for these losses because of the alleged negligent misrepresentations by certain federal employees of Environment Canada, and Public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Crown's position is that the plaintiff conducted its own pre-contractual negotiations with the principals of WTI Holdings. It says no independent actionable tort arises against the Crown from anything said or done by federal employees of Environment Canada or Public Works leading up to the share purchase agreement. The only parties to that agreement were the plaintiff and WTI. The Crown was not a party to the agreement, nor were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Crown adduced evidence that before it entered into the share purchase agreement, the plaintiff had the KPMG report which clearly disclosed WTI's serious financial difficulties. The Crown says the plaintiff, as it described itself, is a sophisticated company that performed its own due diligence. The Crown also submits that any tort claims would have merged into the share purchase agreement between the plaintiff and WTI. Thus, the plaintiff's recourse for any alleged misrepresentations could only be against the former principals of WTI who were no longer federal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More importantly, however, the Crown says that all of claim #1, based as it is on the plaintiff's allegations against federal employees about the GOCO Contract and the technologies aspect of the share purchase agreement, was conclusively settled by the Settlement and Release Agreement entered into between WTI, the Crown and the plaintiff in May 1999, by which the plaintiff was given consideration for a full and final release (the "Settlement and Release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noteworthy that in claim #1 the plaintiff does not refer to this Settlement and Release Agreement, yet it was never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Under the Settlement and Release Agreement the parties agreed to a "full release of all past, present or future claims" the plaintiff "may have with respect to the GOCO contract". Thus, the Crown says the plaintiff is seeking double recovery and claim #1 is tenuous and without merit. In addition,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s. 9 bars double recovery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Crown submits that in essence, claim #1 amounts to a challenge to the Settlement and Release Agreement which requires binding arbitration pursuant to the Ontario </w:t>
      </w:r>
      <w:r>
        <w:rPr>
          <w:rFonts w:ascii="arial" w:eastAsia="arial" w:hAnsi="arial" w:cs="arial"/>
          <w:i/>
          <w:color w:val="000000"/>
          <w:sz w:val="20"/>
          <w:lang w:val="en-US" w:eastAsia="en-US" w:bidi="ar-SA"/>
        </w:rPr>
        <w:t>Arbitration Act 1991,</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S.O. 1991, c. 17</w:t>
        </w:r>
      </w:hyperlink>
      <w:r>
        <w:rPr>
          <w:rFonts w:ascii="arial" w:eastAsia="arial" w:hAnsi="arial" w:cs="arial"/>
          <w:color w:val="000000"/>
          <w:sz w:val="20"/>
          <w:lang w:val="en-US" w:eastAsia="en-US" w:bidi="ar-SA"/>
        </w:rPr>
        <w:t>, and other clauses by which the parties agreed to be governed by the laws of Ontario. WTI Holdings, the plaintiff, and the Crown, all executed the Settlement and Release Agreement in Ontario where they were all conducting business, and where any alleged breaches of contract or torts by employees of the Crown would have arisen.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Settlement and Release Agreement contains no clauses that refer to British Columbia. The head office of the Ontario-incorporated party, Water Technology International Corporation, is referred to as Burlington, Ontario. The head office of the Ontario-incorporated party, Wastewater Technology Centre Employee Holding Company, is referred to as Burlington, Ontario, and the plaintiff's head office is referred to as Edmonton,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entire Settlement and Release Agreement addresses the operations of the GOCO Contract which involved business conducted in Burlington, Ontario. The Settlement and Release Agreement stipulates that it shall be interpreted according to the laws of Ontario and the laws of Canada applicable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Crown's position is that the plaintiff's complaints about, "the technologies," a second major part of claim #1, have been settled by the Licence Agreement that is Schedule "B" to the Settlement and Release Agreement. Schedule "B" refers to the Federal Court of Canada as the agreed upon forum for any disputes over the appointment of the third arbitrator. Again, a "governing law" clause stipulates the agreement would be interpreted according to Ontario and federal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Clause 8(1) of Schedule "B"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distinctly understood and agreed by WTI that the Minister has not made and does not make any representations or warranties to WTI, either expressed or implied, arising by law or otherwise, including but not limited to, implied warranties of merchantability or fitness for a particular purpose, or that the Technologies may be supplied by the Minister without infringement of rights owned by third parties. In no event will the Minister have any obligation arising from contract or tort, or for loss of revenue or profit or for indirect, special incidental or consequential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GOCO Contract, also a major component of claim #1, contains jurisdictional facts referring to Burlington, Ontario. Significantly, for purposes of the application of s.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to the facts in the pleadings, the parties in the GOCO Contract refer to Environment Canada's "Burlington Environmental Technology office". Peter Seto, the Senior Engineer of Environment Canada, says that all the Crown's witnesses who allegedly made the negligent misrepresentations reside or work in Burlington, or another part of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any event, the Crown emphasizes that there are no material jurisdictional, geographical facts alleged in claim #1 of the Amended Statement of Claim that would give this Court jurisdiction to hear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have considered all the evidence and arguments submitted by the parties, but it is unnecessary to refer to them all. I have concluded that by application of s.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this Court has no jurisdiction to hear claim #1. The reason is simple: there are no jurisdictional facts alleged in the pleadings of claim #1, nor did the plaintiff's evidence establish that the claim arose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Again, s.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all cases where a claim is made against the Crown, except where the Federal Court has exclusive jurisdiction with respect to it, the superior court of the </w:t>
      </w:r>
      <w:r>
        <w:rPr>
          <w:rFonts w:ascii="arial" w:eastAsia="arial" w:hAnsi="arial" w:cs="arial"/>
          <w:i/>
          <w:color w:val="000000"/>
          <w:sz w:val="20"/>
          <w:lang w:val="en-US" w:eastAsia="en-US" w:bidi="ar-SA"/>
        </w:rPr>
        <w:t>province in which the claim arises</w:t>
      </w:r>
      <w:r>
        <w:rPr>
          <w:rFonts w:ascii="arial" w:eastAsia="arial" w:hAnsi="arial" w:cs="arial"/>
          <w:color w:val="000000"/>
          <w:sz w:val="20"/>
          <w:lang w:val="en-US" w:eastAsia="en-US" w:bidi="ar-SA"/>
        </w:rPr>
        <w:t xml:space="preserve"> has concurrent jurisdiction with respect to the subject-matter of the claim.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As the court recognized in </w:t>
      </w:r>
      <w:r>
        <w:rPr>
          <w:rFonts w:ascii="arial" w:eastAsia="arial" w:hAnsi="arial" w:cs="arial"/>
          <w:i/>
          <w:color w:val="000000"/>
          <w:sz w:val="20"/>
          <w:lang w:val="en-US" w:eastAsia="en-US" w:bidi="ar-SA"/>
        </w:rPr>
        <w:t>Rowe v. Canada (Attorney General)</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(2004), 186 O.A.C. 106</w:t>
        </w:r>
      </w:hyperlink>
      <w:r>
        <w:rPr>
          <w:rFonts w:ascii="arial" w:eastAsia="arial" w:hAnsi="arial" w:cs="arial"/>
          <w:color w:val="000000"/>
          <w:sz w:val="20"/>
          <w:lang w:val="en-US" w:eastAsia="en-US" w:bidi="ar-SA"/>
        </w:rPr>
        <w:t xml:space="preserve"> (Ont. C.A.) at para. 4, "[j]urisdiction for claims against the Crown derives from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No province has the authority to exercise jurisdiction over the federal Crown. This Court therefore has no jurisdiction over the defendant Crown (Canada) apart from the jurisdiction conferred by s.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Rowe; The Blood Tribe v. Canada,</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2005 SKQB 105</w:t>
        </w:r>
      </w:hyperlink>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263 Sask.R. 20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Djukic v. Canada (Attorney General)</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(2000), 52 O.R. (3d) 348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Thus, on this application, I am not applying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which is provincial legislation, to claims #1 and 4. Rather, I am engaged in a matter of statutory interpretation of s. 21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above. It only gives a superior court of the province concurrent jurisdiction where a claim is made against the Crown, to the extent that jurisdiction has been conferred by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considering an earlier version of s. 21(1) that raised a different issue, the Ontario Court of Appeal in </w:t>
      </w:r>
      <w:r>
        <w:rPr>
          <w:rFonts w:ascii="arial" w:eastAsia="arial" w:hAnsi="arial" w:cs="arial"/>
          <w:i/>
          <w:color w:val="000000"/>
          <w:sz w:val="20"/>
          <w:lang w:val="en-US" w:eastAsia="en-US" w:bidi="ar-SA"/>
        </w:rPr>
        <w:t>Djukic</w:t>
      </w:r>
      <w:r>
        <w:rPr>
          <w:rFonts w:ascii="arial" w:eastAsia="arial" w:hAnsi="arial" w:cs="arial"/>
          <w:color w:val="000000"/>
          <w:sz w:val="20"/>
          <w:lang w:val="en-US" w:eastAsia="en-US" w:bidi="ar-SA"/>
        </w:rPr>
        <w:t xml:space="preserve"> considered the French version of s. 21(1),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21(1) Dans les cas de réclamation visant l'État pour lesquels la Cour fédérale n'a pas compétence exclusive, a compétence concurrente en la matière:</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 cour de comté ou de district de la province où survient la cause d'action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Djukic</w:t>
      </w:r>
      <w:r>
        <w:rPr>
          <w:rFonts w:ascii="arial" w:eastAsia="arial" w:hAnsi="arial" w:cs="arial"/>
          <w:color w:val="000000"/>
          <w:sz w:val="20"/>
          <w:lang w:val="en-US" w:eastAsia="en-US" w:bidi="ar-SA"/>
        </w:rPr>
        <w:t xml:space="preserve"> observed that the clause, "the province in which the claim arises" becomes an integral part of the conferring of jurisdiction (para. 6), and that this view is confirmed by reference to the French version of the section. The same phrase appears in the current version of s. 21(1). The court observed (at para. 8) that, the verb "survenir" means to take place, occur or arise, and the clause, "la province ou survient la cause d'action," means the province in which the claim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refer to the French version as discussed in </w:t>
      </w:r>
      <w:r>
        <w:rPr>
          <w:rFonts w:ascii="arial" w:eastAsia="arial" w:hAnsi="arial" w:cs="arial"/>
          <w:i/>
          <w:color w:val="000000"/>
          <w:sz w:val="20"/>
          <w:lang w:val="en-US" w:eastAsia="en-US" w:bidi="ar-SA"/>
        </w:rPr>
        <w:t>Djukic</w:t>
      </w:r>
      <w:r>
        <w:rPr>
          <w:rFonts w:ascii="arial" w:eastAsia="arial" w:hAnsi="arial" w:cs="arial"/>
          <w:color w:val="000000"/>
          <w:sz w:val="20"/>
          <w:lang w:val="en-US" w:eastAsia="en-US" w:bidi="ar-SA"/>
        </w:rPr>
        <w:t xml:space="preserve"> to dispose of the plaintiff's argument that the clause, "where the claim arises," can mean something </w:t>
      </w:r>
      <w:r>
        <w:rPr>
          <w:rFonts w:ascii="arial" w:eastAsia="arial" w:hAnsi="arial" w:cs="arial"/>
          <w:i/>
          <w:color w:val="000000"/>
          <w:sz w:val="20"/>
          <w:lang w:val="en-US" w:eastAsia="en-US" w:bidi="ar-SA"/>
        </w:rPr>
        <w:t>other</w:t>
      </w:r>
      <w:r>
        <w:rPr>
          <w:rFonts w:ascii="arial" w:eastAsia="arial" w:hAnsi="arial" w:cs="arial"/>
          <w:color w:val="000000"/>
          <w:sz w:val="20"/>
          <w:lang w:val="en-US" w:eastAsia="en-US" w:bidi="ar-SA"/>
        </w:rPr>
        <w:t xml:space="preserve"> than "where the cause of action arises." It does not. It is clear from looking at the French version that, "in which the claim arises," simply means, "where the cause of action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alleged negligent misrepresentations by the named federal government employees are described at paragraphs 4, and 11 to 16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process is to examine the substance of each claim in question to determine where it arose: </w:t>
      </w:r>
      <w:r>
        <w:rPr>
          <w:rFonts w:ascii="arial" w:eastAsia="arial" w:hAnsi="arial" w:cs="arial"/>
          <w:i/>
          <w:color w:val="000000"/>
          <w:sz w:val="20"/>
          <w:lang w:val="en-US" w:eastAsia="en-US" w:bidi="ar-SA"/>
        </w:rPr>
        <w:t>Rowe; Woodworth v. Canada,</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[2009] O.J. No. 3347</w:t>
        </w:r>
      </w:hyperlink>
      <w:r>
        <w:rPr>
          <w:rFonts w:ascii="arial" w:eastAsia="arial" w:hAnsi="arial" w:cs="arial"/>
          <w:color w:val="000000"/>
          <w:sz w:val="20"/>
          <w:lang w:val="en-US" w:eastAsia="en-US" w:bidi="ar-SA"/>
        </w:rPr>
        <w:t xml:space="preserve"> at paras. 10 - 14. The cause of action alleged in claim #1 is the tort of negligent misrepresentation. The Court must look at </w:t>
      </w:r>
      <w:r>
        <w:rPr>
          <w:rFonts w:ascii="arial" w:eastAsia="arial" w:hAnsi="arial" w:cs="arial"/>
          <w:i/>
          <w:color w:val="000000"/>
          <w:sz w:val="20"/>
          <w:lang w:val="en-US" w:eastAsia="en-US" w:bidi="ar-SA"/>
        </w:rPr>
        <w:t>where</w:t>
      </w:r>
      <w:r>
        <w:rPr>
          <w:rFonts w:ascii="arial" w:eastAsia="arial" w:hAnsi="arial" w:cs="arial"/>
          <w:color w:val="000000"/>
          <w:sz w:val="20"/>
          <w:lang w:val="en-US" w:eastAsia="en-US" w:bidi="ar-SA"/>
        </w:rPr>
        <w:t xml:space="preserve"> the events occurred that constitute the substance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Geographical or jurisdictional facts about British Columbia are conspicuously absent from the Amended Statement of Claim. Indeed, it appears to have been deliberately drafted to avoid pleading material facts as to the </w:t>
      </w:r>
      <w:r>
        <w:rPr>
          <w:rFonts w:ascii="arial" w:eastAsia="arial" w:hAnsi="arial" w:cs="arial"/>
          <w:i/>
          <w:color w:val="000000"/>
          <w:sz w:val="20"/>
          <w:lang w:val="en-US" w:eastAsia="en-US" w:bidi="ar-SA"/>
        </w:rPr>
        <w:t>situs</w:t>
      </w:r>
      <w:r>
        <w:rPr>
          <w:rFonts w:ascii="arial" w:eastAsia="arial" w:hAnsi="arial" w:cs="arial"/>
          <w:color w:val="000000"/>
          <w:sz w:val="20"/>
          <w:lang w:val="en-US" w:eastAsia="en-US" w:bidi="ar-SA"/>
        </w:rPr>
        <w:t xml:space="preserve"> of the claim of negligent misrepresentation. The facts alleged in the pleadings about claim #1 refer to the </w:t>
      </w:r>
      <w:r>
        <w:rPr>
          <w:rFonts w:ascii="arial" w:eastAsia="arial" w:hAnsi="arial" w:cs="arial"/>
          <w:i/>
          <w:color w:val="000000"/>
          <w:sz w:val="20"/>
          <w:lang w:val="en-US" w:eastAsia="en-US" w:bidi="ar-SA"/>
        </w:rPr>
        <w:t>Ontario Standards Act,</w:t>
      </w:r>
      <w:r>
        <w:rPr>
          <w:rFonts w:ascii="arial" w:eastAsia="arial" w:hAnsi="arial" w:cs="arial"/>
          <w:color w:val="000000"/>
          <w:sz w:val="20"/>
          <w:lang w:val="en-US" w:eastAsia="en-US" w:bidi="ar-SA"/>
        </w:rPr>
        <w:t xml:space="preserve"> and to Burlington, Ontario, but not to British Columbia. </w:t>
      </w:r>
      <w:r>
        <w:rPr>
          <w:rFonts w:ascii="arial" w:eastAsia="arial" w:hAnsi="arial" w:cs="arial"/>
          <w:i/>
          <w:color w:val="000000"/>
          <w:sz w:val="20"/>
          <w:lang w:val="en-US" w:eastAsia="en-US" w:bidi="ar-SA"/>
        </w:rPr>
        <w:t>Rule 19</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requires the pleadings be brief and contain the material facts in summary form on which the party relies. In this case, jurisdictional facts are material to establish this Court's jurisdiction to hear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Crown adduced evidence to establish that claims #1 and 4 were tenuous and without merit under Rule 14. Although Rule 14 provides the procedural route for the defendants to make the application at bar, in my view, such evidence was not necessary on the threshold jurisdictional issue under s.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because the pleadings speak for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Nowak, the plaintiff's CEO, in his affidavit, makes some general statements about geographical location that are often vague and do not address the background and evidence adduced by the defendants. He says for example at para. 62, "A majority of the discussions and meetings between Conor, WTI and Environment Canada took place either in Vancouver or by telephone conference call to Conor's offices in Vancouver." But this statement does not address the jurisdictional gaps in the Amended Statement of Claim, or address the evidence adduced by the Crown as to the substance of the claim and where it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Nowak also says at para. 61, "The shareholders of WTI Holdings tendered their shares in response to Conor's offer at various times in and around July 2007. A number of meetings and discussions ensued between representatives of Conor and Messrs. Hay and Norrena at Environment Canada. The meetings were in the period from July 1997 to the closing of the purchase of WTI Holdings in late October 1997". This statement does not assist either, nor do his other attempts to adduce evidence of jurisdictional facts establishing that claim #1 arose in British Columbia when considered in the context of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fact that Conor had bank accounts in Vancouver and that cash flow deficits were incurred in Vancouver as an alleged effect of the plaintiff's purchase of WTI Holdings, is not sufficient to meet the requirement in s.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that the claim must arise in British Columbia. Mr. Nowak's affidavit does not fill the jurisdictional gaps in the Amended Statement of Claim. As stated above, Mr. Peter Seto, the Senior Engineer for Environment Canada deposed that the employees whom the plaintiff says made the misrepresentations all lived and worked in Burlington, or elsewhere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During submissions I asked plaintiff's counsel for details of the misrepresentations alleged in paragraphs 11 and 13 of the Amended Statement of Claim. He replied that there were many documents and statements over the months from June to November 1997, and that Examinations for Discovery had not yet occurred that would reveal the details. I observe that these were the sorts of questions, amongst many others, that Mr. Wruck, then counsel for the Crown, asked in the Demand for Particulars delivered over six years ago, and to which the plaintiff has never responded. The "summary" of the claims that counsel for the plaintiff provided to the Crown is not a sufficient response. That summary is Appendix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submits that the tort of negligent misrepresentation arose in British Columbia because a tort is complete where the damages were sustained. He submits that the plaintiff's main office is in British Columbia, as are its lawyers and bank accounts. As mentioned above, Mr. Nowak deposed on behalf of the plaintiff that it never had a senior executive presence in Ontario, but he failed to disclose material jurisdictional facts that the plaintiff was registered extraprovincially in Ontario, and conducted its business out of its offices at 230 North Cumberland Street, Thunder Bay, Ontario, and 867 Lakeshore Road West, Burlington, Ontario. Given the other references to Ontario in the Amended Statement of Claim, it is odd that the Amended Statement of Claim fails to mention these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any event, I do not think that the fact the alleged negligent misrepresentations may have had some effect in a second jurisdiction determines where the cause of action arose. The Court in </w:t>
      </w:r>
      <w:r>
        <w:rPr>
          <w:rFonts w:ascii="arial" w:eastAsia="arial" w:hAnsi="arial" w:cs="arial"/>
          <w:i/>
          <w:color w:val="000000"/>
          <w:sz w:val="20"/>
          <w:lang w:val="en-US" w:eastAsia="en-US" w:bidi="ar-SA"/>
        </w:rPr>
        <w:t>Procon Mining and Tunnelling Ltd. v. Waddy Lake Resources,</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2002 BCSC 129</w:t>
        </w:r>
      </w:hyperlink>
      <w:r>
        <w:rPr>
          <w:rFonts w:ascii="arial" w:eastAsia="arial" w:hAnsi="arial" w:cs="arial"/>
          <w:color w:val="000000"/>
          <w:sz w:val="20"/>
          <w:lang w:val="en-US" w:eastAsia="en-US" w:bidi="ar-SA"/>
        </w:rPr>
        <w:t xml:space="preserve"> at para. 31 discussed the </w:t>
      </w:r>
      <w:r>
        <w:rPr>
          <w:rFonts w:ascii="arial" w:eastAsia="arial" w:hAnsi="arial" w:cs="arial"/>
          <w:i/>
          <w:color w:val="000000"/>
          <w:sz w:val="20"/>
          <w:lang w:val="en-US" w:eastAsia="en-US" w:bidi="ar-SA"/>
        </w:rPr>
        <w:t>situs</w:t>
      </w:r>
      <w:r>
        <w:rPr>
          <w:rFonts w:ascii="arial" w:eastAsia="arial" w:hAnsi="arial" w:cs="arial"/>
          <w:color w:val="000000"/>
          <w:sz w:val="20"/>
          <w:lang w:val="en-US" w:eastAsia="en-US" w:bidi="ar-SA"/>
        </w:rPr>
        <w:t xml:space="preserve"> of the tort of misrepresentation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tort of misrepresentation is only committed and complete when and where the negligent misrepresentation is received (</w:t>
      </w:r>
      <w:r>
        <w:rPr>
          <w:rFonts w:ascii="arial" w:eastAsia="arial" w:hAnsi="arial" w:cs="arial"/>
          <w:i/>
          <w:color w:val="000000"/>
          <w:sz w:val="20"/>
          <w:lang w:val="en-US" w:eastAsia="en-US" w:bidi="ar-SA"/>
        </w:rPr>
        <w:t>Canadian Commercial Bank v. Carpenter,</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(1989), 39 B.C.L.R. (2d) 312</w:t>
        </w:r>
      </w:hyperlink>
      <w:r>
        <w:rPr>
          <w:rFonts w:ascii="arial" w:eastAsia="arial" w:hAnsi="arial" w:cs="arial"/>
          <w:color w:val="000000"/>
          <w:sz w:val="20"/>
          <w:lang w:val="en-US" w:eastAsia="en-US" w:bidi="ar-SA"/>
        </w:rPr>
        <w:t xml:space="preserve">] at 319-320). This 'place of harm theory' now goes further so that a tort will only be regarded to have occurred in a jurisdiction substantially affected by the defendant's activities or its consequences </w:t>
      </w:r>
      <w:r>
        <w:rPr>
          <w:rFonts w:ascii="arial" w:eastAsia="arial" w:hAnsi="arial" w:cs="arial"/>
          <w:color w:val="000000"/>
          <w:sz w:val="20"/>
          <w:u w:val="single"/>
          <w:lang w:val="en-US" w:eastAsia="en-US" w:bidi="ar-SA"/>
        </w:rPr>
        <w:t>and the law of which is likely to have been in the reasonable contemplation of the parties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Moran v. Pyle National (Canada) Ltd.,</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xml:space="preserve"> at 408-409); </w:t>
      </w:r>
      <w:r>
        <w:rPr>
          <w:rFonts w:ascii="arial" w:eastAsia="arial" w:hAnsi="arial" w:cs="arial"/>
          <w:i/>
          <w:color w:val="000000"/>
          <w:sz w:val="20"/>
          <w:lang w:val="en-US" w:eastAsia="en-US" w:bidi="ar-SA"/>
        </w:rPr>
        <w:t>Ichi Canada Ltd. v. Yamauchi Rubber Industry Co.</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(1983), 43 B.C.L.R. 215</w:t>
        </w:r>
      </w:hyperlink>
      <w:r>
        <w:rPr>
          <w:rFonts w:ascii="arial" w:eastAsia="arial" w:hAnsi="arial" w:cs="arial"/>
          <w:color w:val="000000"/>
          <w:sz w:val="20"/>
          <w:lang w:val="en-US" w:eastAsia="en-US" w:bidi="ar-SA"/>
        </w:rPr>
        <w:t xml:space="preserve"> at 219-220 (C.A.); </w:t>
      </w:r>
      <w:r>
        <w:rPr>
          <w:rFonts w:ascii="arial" w:eastAsia="arial" w:hAnsi="arial" w:cs="arial"/>
          <w:i/>
          <w:color w:val="000000"/>
          <w:sz w:val="20"/>
          <w:lang w:val="en-US" w:eastAsia="en-US" w:bidi="ar-SA"/>
        </w:rPr>
        <w:t>Canadian Commercial Bank v. Carpenter, supra</w:t>
      </w:r>
      <w:r>
        <w:rPr>
          <w:rFonts w:ascii="arial" w:eastAsia="arial" w:hAnsi="arial" w:cs="arial"/>
          <w:color w:val="000000"/>
          <w:sz w:val="20"/>
          <w:lang w:val="en-US" w:eastAsia="en-US" w:bidi="ar-SA"/>
        </w:rPr>
        <w:t xml:space="preserve"> at 320; </w:t>
      </w:r>
      <w:r>
        <w:rPr>
          <w:rFonts w:ascii="arial" w:eastAsia="arial" w:hAnsi="arial" w:cs="arial"/>
          <w:i/>
          <w:color w:val="000000"/>
          <w:sz w:val="20"/>
          <w:lang w:val="en-US" w:eastAsia="en-US" w:bidi="ar-SA"/>
        </w:rPr>
        <w:t>AG Armeno Mines and Minerals Inc. v. PT Pukuafu Indah,</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2000 BCCA 405</w:t>
        </w:r>
      </w:hyperlink>
      <w:r>
        <w:rPr>
          <w:rFonts w:ascii="arial" w:eastAsia="arial" w:hAnsi="arial" w:cs="arial"/>
          <w:color w:val="000000"/>
          <w:sz w:val="20"/>
          <w:lang w:val="en-US" w:eastAsia="en-US" w:bidi="ar-SA"/>
        </w:rPr>
        <w:t>] at para. 18).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agree with the Crown that determining the applicable law contemplated by the parties is an objective test. Based on the facts in the pleadings for claim #1 and the substance of the claim, Ontario was the forum in the contemplation of the parties when they signed the relevant agreements, including the Share Purchase Agreement, the GOCO Contract, and the Settlement and Release Agreement. It can objectively be inferred that any alleged misrepresentations would also be addressed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test in s. 3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of "real and substantial connection" is different and broader in scope than the test of "where the claim arises" under s.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but the factors to consider under that test, as set out in s. 10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can be helpful in addressing the question of where the events occurred that constitute the </w:t>
      </w:r>
      <w:r>
        <w:rPr>
          <w:rFonts w:ascii="arial" w:eastAsia="arial" w:hAnsi="arial" w:cs="arial"/>
          <w:i/>
          <w:color w:val="000000"/>
          <w:sz w:val="20"/>
          <w:lang w:val="en-US" w:eastAsia="en-US" w:bidi="ar-SA"/>
        </w:rPr>
        <w:t>substance</w:t>
      </w:r>
      <w:r>
        <w:rPr>
          <w:rFonts w:ascii="arial" w:eastAsia="arial" w:hAnsi="arial" w:cs="arial"/>
          <w:color w:val="000000"/>
          <w:sz w:val="20"/>
          <w:lang w:val="en-US" w:eastAsia="en-US" w:bidi="ar-SA"/>
        </w:rPr>
        <w:t xml:space="preserve"> of the claim, as discussed in </w:t>
      </w:r>
      <w:r>
        <w:rPr>
          <w:rFonts w:ascii="arial" w:eastAsia="arial" w:hAnsi="arial" w:cs="arial"/>
          <w:i/>
          <w:color w:val="000000"/>
          <w:sz w:val="20"/>
          <w:lang w:val="en-US" w:eastAsia="en-US" w:bidi="ar-SA"/>
        </w:rPr>
        <w:t>Rowe.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conclude, based on the absence of any geographical facts relating to British Columbia in claim #1 of the Amended Statement of Claim, and all the circumstances, that the tort of negligent misrepresentation as alleged did not arise here. The misrepresentations were allegedly made by Environment Canada or federal Public Works employees. As mentioned above, Mr. Seto deposed these people reside or work in Ontario, not British Columbia, and the plaintiff failed to disclose in para. 10 of Mr. Nowak's affidavit the jurisdictional facts that it was registered extraprovincially in Ontario, and conducted business out of the two Ontario offices mentioned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Claim #1 is very confusing. Paragraph 17 seems to allege that the Crown breached the GOCO Contract (although the Crown was not a party to the GOCO Contract) through acts of the Crown's employees, Hay and Norrena (who also were not parties to that contract). The contract in question has no relationship to British Columbia, and no jurisdictional facts are pleaded regarding the GOCO Contract. The GOCO Contract has a forum selection clause that favours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summary, there are no geographical facts pleaded in claim #1, nor does the evidence establish, if it is necessary to consider the evidence at all, that the alleged negligent misrepresentations arose in British Columbia. Therefore, this Court has no jurisdiction under s.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to hear claim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For the reasons above, it is not necessary to consider the Crown's argument that claim #1 is an abuse of the Court's process based on the plaintiff's failure to even mention the Settlement and Release Agreement in that claim. I note, however, that the Crown's argument is persuasive, based on the reasoning in </w:t>
      </w:r>
      <w:r>
        <w:rPr>
          <w:rFonts w:ascii="arial" w:eastAsia="arial" w:hAnsi="arial" w:cs="arial"/>
          <w:i/>
          <w:color w:val="000000"/>
          <w:sz w:val="20"/>
          <w:lang w:val="en-US" w:eastAsia="en-US" w:bidi="ar-SA"/>
        </w:rPr>
        <w:t>Canada v. Roitman,</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2006 FCA 266</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2006 D.T.C. 6514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If I am wrong and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applies to claim #1, then I would find the plaintiff has failed to establish territorial competence under s. 3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I cannot accede to any of the plaintiff's three arguments under s. 3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that:</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"ordinarily resident" in British Columbia;</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attorned to the jurisdiction of this Court; or</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each of the claims 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plaintiff's argument that the Crown is "ordinarily resident" in British Columbia is irrelevant in the circumstances where the same feature applies to every province in Canada. This argument is similar to the argument raised and dismissed in </w:t>
      </w:r>
      <w:r>
        <w:rPr>
          <w:rFonts w:ascii="arial" w:eastAsia="arial" w:hAnsi="arial" w:cs="arial"/>
          <w:i/>
          <w:color w:val="000000"/>
          <w:sz w:val="20"/>
          <w:lang w:val="en-US" w:eastAsia="en-US" w:bidi="ar-SA"/>
        </w:rPr>
        <w:t>Blood Tribe v. Canada,</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2005 SKQB 105</w:t>
        </w:r>
      </w:hyperlink>
      <w:r>
        <w:rPr>
          <w:rFonts w:ascii="arial" w:eastAsia="arial" w:hAnsi="arial" w:cs="arial"/>
          <w:color w:val="000000"/>
          <w:sz w:val="20"/>
          <w:lang w:val="en-US" w:eastAsia="en-US" w:bidi="ar-SA"/>
        </w:rPr>
        <w:t>, at paras. 6 and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argument of counsel for the respondents is along the following lines. The Federal Government is resident in each province, or at least carries on business in each province, and is therefore amenable to the territorial jurisdiction of the superior court of each province.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R.S.C. 1985, c. E-15</w:t>
        </w:r>
      </w:hyperlink>
      <w:r>
        <w:rPr>
          <w:rFonts w:ascii="arial" w:eastAsia="arial" w:hAnsi="arial" w:cs="arial"/>
          <w:color w:val="000000"/>
          <w:sz w:val="20"/>
          <w:lang w:val="en-US" w:eastAsia="en-US" w:bidi="ar-SA"/>
        </w:rPr>
        <w:t xml:space="preserve">, which is in issue applies throughout Canada, and the issue has relevance for all of the First Nation peoples throughout Canada. The claim is deliberately drafted in a rather generic manner to allege a breach of fiduciary duty by Canada in relation to the application of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xml:space="preserve"> and s. 87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 It is for this reason that the first statement of claim seeks declaratory relief only, and does not seek damages which would be fact specific to the plaintiffs resident in the Province of Alberta. As drafted, counsel takes the position that the claim arises in each province and territory of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Provincial superior courts' jurisdiction has always been based on territorial jurisdiction over the subject-matter, or over the defendant. On the facts in this matter, the respondents' argument that this Court has jurisdiction over the defendant Crown apart from the jurisdiction conferred in s. 21(1)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supra, is not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Nor has the Crown attorned to the jurisdiction of this Court. Counsel for the plaintiff wrote to counsel for the defendants saying that the plaintiff would take default judgment on the Amended Statement of Claim because the defendants did not file an Appearance. Based on that suggestion, the defendants decided to file an Appearance to the Amended Statement of Claim, although they had filed an Appearance to the original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defendants also delivered to the plaintiff a Demand for Particulars, but took no steps in the litigation to defend the claims on their merits. I cannot find, therefore, that the defendants attorned to this jurisdiction. The case law relied upon by the plaintiff does not support its position on attornment because it is clearly distinguishable. The case of </w:t>
      </w:r>
      <w:r>
        <w:rPr>
          <w:rFonts w:ascii="arial" w:eastAsia="arial" w:hAnsi="arial" w:cs="arial"/>
          <w:i/>
          <w:color w:val="000000"/>
          <w:sz w:val="20"/>
          <w:lang w:val="en-US" w:eastAsia="en-US" w:bidi="ar-SA"/>
        </w:rPr>
        <w:t>Ward v. Canada (Attorney General),</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2007 MBCA 123</w:t>
        </w:r>
      </w:hyperlink>
      <w:r>
        <w:rPr>
          <w:rFonts w:ascii="arial" w:eastAsia="arial" w:hAnsi="arial" w:cs="arial"/>
          <w:color w:val="000000"/>
          <w:sz w:val="20"/>
          <w:lang w:val="en-US" w:eastAsia="en-US" w:bidi="ar-SA"/>
        </w:rPr>
        <w:t xml:space="preserve">, does not assist the plaintiff because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involved the interpretation of a provision in the Manitoba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S.M. 2002, c. 14, </w:t>
      </w:r>
      <w:hyperlink r:id="rId178" w:history="1">
        <w:r>
          <w:rPr>
            <w:rFonts w:ascii="arial" w:eastAsia="arial" w:hAnsi="arial" w:cs="arial"/>
            <w:i/>
            <w:color w:val="0077CC"/>
            <w:sz w:val="20"/>
            <w:u w:val="single"/>
            <w:shd w:val="clear" w:color="auto" w:fill="FFFFFF"/>
            <w:lang w:val="en-US" w:eastAsia="en-US" w:bidi="ar-SA"/>
          </w:rPr>
          <w:t>C.C.S.M. c. C130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Mid-Ohio Imported Car Co. v. Tri-K Investments Ltd.</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(1995), 13 B.C.L.R. (3d) 41</w:t>
        </w:r>
      </w:hyperlink>
      <w:r>
        <w:rPr>
          <w:rFonts w:ascii="arial" w:eastAsia="arial" w:hAnsi="arial" w:cs="arial"/>
          <w:color w:val="000000"/>
          <w:sz w:val="20"/>
          <w:lang w:val="en-US" w:eastAsia="en-US" w:bidi="ar-SA"/>
        </w:rPr>
        <w:t xml:space="preserve"> at para. 15,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in British Columbia today entitles a party to an action to dispute an order for service ex juris upon him of an originating proceeding, and to challenge jurisdiction, both simpliciter and forum conveniens, without the risk that bringing such applications will constitute acceptance by him of the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 did not plead any jurisdictional or geographic facts to establish a "real and substantial connection" between any of the claims and British Columbia. Clearly, the plaintiff's submissions that the Crown is resident in every province, or that the Crown has attorned to the jurisdiction, or that there is a "real and substantial connection" to British Columbia must fail. Those arguments ignore s.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Either this Court has jurisdiction to hear the claim, or it does not. Attornment is not an issue in this case. It cannot confer jurisdiction where none exists: </w:t>
      </w:r>
      <w:r>
        <w:rPr>
          <w:rFonts w:ascii="arial" w:eastAsia="arial" w:hAnsi="arial" w:cs="arial"/>
          <w:i/>
          <w:color w:val="000000"/>
          <w:sz w:val="20"/>
          <w:lang w:val="en-US" w:eastAsia="en-US" w:bidi="ar-SA"/>
        </w:rPr>
        <w:t>Telezone Inc. v. Attorney General (Canada),</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2008 ONCA 892</w:t>
        </w:r>
      </w:hyperlink>
      <w:r>
        <w:rPr>
          <w:rFonts w:ascii="arial" w:eastAsia="arial" w:hAnsi="arial" w:cs="arial"/>
          <w:color w:val="000000"/>
          <w:sz w:val="20"/>
          <w:lang w:val="en-US" w:eastAsia="en-US" w:bidi="ar-SA"/>
        </w:rPr>
        <w:t xml:space="preserve"> at paras. 3 and 4, appeal to S.C.C. heard and reserved 20 January 2010, </w:t>
      </w:r>
      <w:hyperlink r:id="rId181" w:history="1">
        <w:r>
          <w:rPr>
            <w:rFonts w:ascii="arial" w:eastAsia="arial" w:hAnsi="arial" w:cs="arial"/>
            <w:i/>
            <w:color w:val="0077CC"/>
            <w:sz w:val="20"/>
            <w:u w:val="single"/>
            <w:shd w:val="clear" w:color="auto" w:fill="FFFFFF"/>
            <w:lang w:val="en-US" w:eastAsia="en-US" w:bidi="ar-SA"/>
          </w:rPr>
          <w:t>[2009] S.C.C.A. No. 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October 28 and 29, 2009, the defendants filed Appearances in response to the plaintiff's amended pleadings and the position taken by then counsel for the plaintiff, who indicated he would otherwise take default judgment against the defendants. A week later, on November 5, 2009, the defendants filed the current Notice of Motion to strike for want of jurisdiction pursuant to Rule 14(6.4):</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within 30 days after entering an appearance in a proceeding, a party of record delivers a notice of motion under subrule (6) (a) or (b) or (6.2) to the other parties of record or files a pleading referred to in subrule (6) (c),</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does not submit to the jurisdiction of the court in relation to the proceeding merely by filing or delivering any or all of the following:</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appearance;</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pleading under subrule (6) (c);</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of motion and supporting affidavits under subrule (6) (a) or (b), and</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the court has decided the application or the issue raised by the pleading, the party may, without submitting to the jurisdiction of the court,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for, enforce or obey an order of the court,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 the action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Therefore, the defendants have the protection against attornment provided under Rule 14(6.4).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any event, the defendants have never attorned to the jurisdiction of this Court. The only relevant steps they have taken are to file an Appearance, deliver a Demand for Particulars, and bring this application challenging jurisdiction. Counsel for the Crown told plaintiff's counsel in strong terms and repeatedly from the outset of this proceeding that there were serious jurisdictional problems with the claims. The defendants have never taken any steps to defend this action on the merits and have therefore never attorned (</w:t>
      </w:r>
      <w:r>
        <w:rPr>
          <w:rFonts w:ascii="arial" w:eastAsia="arial" w:hAnsi="arial" w:cs="arial"/>
          <w:i/>
          <w:color w:val="000000"/>
          <w:sz w:val="20"/>
          <w:lang w:val="en-US" w:eastAsia="en-US" w:bidi="ar-SA"/>
        </w:rPr>
        <w:t>Laasch v. Turenne</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2009 ABQB 267</w:t>
        </w:r>
      </w:hyperlink>
      <w:r>
        <w:rPr>
          <w:rFonts w:ascii="arial" w:eastAsia="arial" w:hAnsi="arial" w:cs="arial"/>
          <w:color w:val="000000"/>
          <w:sz w:val="20"/>
          <w:lang w:val="en-US" w:eastAsia="en-US" w:bidi="ar-SA"/>
        </w:rPr>
        <w:t xml:space="preserve"> at para. 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 #3: "North Bay Project" Misrepresentations and Breach of Contract; Quantum Meruit; Conversion; Unjust Enrichment and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Amended Statement of Claim sets out claim #3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Claim 3: North Bay Project: Misrepresentations and Breach of Contract; Quantum Meruit; Conversion; Unjust Enrichment and Debt</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March 1998, DCC invited bids with respect to its remediation of fuel storage sites and hydrocarbon-contaminated groundwater at the Canadian Forces Base airport in North Bay, Ontario (the "North Bay Project").</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seeking bids to perform this work, </w:t>
      </w:r>
      <w:r>
        <w:rPr>
          <w:rFonts w:ascii="arial" w:eastAsia="arial" w:hAnsi="arial" w:cs="arial"/>
          <w:color w:val="000000"/>
          <w:sz w:val="20"/>
          <w:u w:val="single"/>
          <w:lang w:val="en-US" w:eastAsia="en-US" w:bidi="ar-SA"/>
        </w:rPr>
        <w:t>Dorff of DCC</w:t>
      </w:r>
      <w:r>
        <w:rPr>
          <w:rFonts w:ascii="arial" w:eastAsia="arial" w:hAnsi="arial" w:cs="arial"/>
          <w:color w:val="000000"/>
          <w:sz w:val="20"/>
          <w:lang w:val="en-US" w:eastAsia="en-US" w:bidi="ar-SA"/>
        </w:rPr>
        <w:t xml:space="preserve"> made the following representations in its tender documents, </w:t>
      </w:r>
      <w:r>
        <w:rPr>
          <w:rFonts w:ascii="arial" w:eastAsia="arial" w:hAnsi="arial" w:cs="arial"/>
          <w:color w:val="000000"/>
          <w:sz w:val="20"/>
          <w:u w:val="single"/>
          <w:lang w:val="en-US" w:eastAsia="en-US" w:bidi="ar-SA"/>
        </w:rPr>
        <w:t>amended tender documents,</w:t>
      </w:r>
      <w:r>
        <w:rPr>
          <w:rFonts w:ascii="arial" w:eastAsia="arial" w:hAnsi="arial" w:cs="arial"/>
          <w:color w:val="000000"/>
          <w:sz w:val="20"/>
          <w:lang w:val="en-US" w:eastAsia="en-US" w:bidi="ar-SA"/>
        </w:rPr>
        <w:t xml:space="preserve"> soil analyses and related materials, and in oral discussions </w:t>
      </w:r>
      <w:r>
        <w:rPr>
          <w:rFonts w:ascii="arial" w:eastAsia="arial" w:hAnsi="arial" w:cs="arial"/>
          <w:color w:val="000000"/>
          <w:sz w:val="20"/>
          <w:u w:val="single"/>
          <w:lang w:val="en-US" w:eastAsia="en-US" w:bidi="ar-SA"/>
        </w:rPr>
        <w:t>between Dorff and Smith of DCC and Tony DiFruscio and Al Maddalena of Conor</w:t>
      </w:r>
      <w:r>
        <w:rPr>
          <w:rFonts w:ascii="arial" w:eastAsia="arial" w:hAnsi="arial" w:cs="arial"/>
          <w:color w:val="000000"/>
          <w:sz w:val="20"/>
          <w:lang w:val="en-US" w:eastAsia="en-US" w:bidi="ar-SA"/>
        </w:rPr>
        <w:t xml:space="preserve"> at site meetings held for the prospective bidders:</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remediation project would involve treating only organic compounds in soil and groundwater;</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no contaminants other than organic compounds were present in the soil to be treated; and</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quantity of soil to be treated was as specified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"North Bay Representations").</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reasonable reliance on the North Bay Representations, the Plaintiff designed treatment systems and methods for the subject remediation project and determined its bid price, which was accepted by </w:t>
      </w:r>
      <w:r>
        <w:rPr>
          <w:rFonts w:ascii="arial" w:eastAsia="arial" w:hAnsi="arial" w:cs="arial"/>
          <w:color w:val="000000"/>
          <w:sz w:val="20"/>
          <w:u w:val="single"/>
          <w:lang w:val="en-US" w:eastAsia="en-US" w:bidi="ar-SA"/>
        </w:rPr>
        <w:t>Nichols of DCC.</w:t>
      </w:r>
      <w:r>
        <w:rPr>
          <w:rFonts w:ascii="arial" w:eastAsia="arial" w:hAnsi="arial" w:cs="arial"/>
          <w:color w:val="000000"/>
          <w:sz w:val="20"/>
          <w:lang w:val="en-US" w:eastAsia="en-US" w:bidi="ar-SA"/>
        </w:rPr>
        <w:t xml:space="preserve"> The North Bay Representations also constituted warranties collateral to the contract which the Plaintiff and </w:t>
      </w:r>
      <w:r>
        <w:rPr>
          <w:rFonts w:ascii="arial" w:eastAsia="arial" w:hAnsi="arial" w:cs="arial"/>
          <w:color w:val="000000"/>
          <w:sz w:val="20"/>
          <w:u w:val="single"/>
          <w:lang w:val="en-US" w:eastAsia="en-US" w:bidi="ar-SA"/>
        </w:rPr>
        <w:t>DCC through Nichols</w:t>
      </w:r>
      <w:r>
        <w:rPr>
          <w:rFonts w:ascii="arial" w:eastAsia="arial" w:hAnsi="arial" w:cs="arial"/>
          <w:color w:val="000000"/>
          <w:sz w:val="20"/>
          <w:lang w:val="en-US" w:eastAsia="en-US" w:bidi="ar-SA"/>
        </w:rPr>
        <w:t xml:space="preserve"> entered into on acceptance of the Plaintiff's bid.</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Contrary to the Representations made and warranties given by </w:t>
      </w:r>
      <w:r>
        <w:rPr>
          <w:rFonts w:ascii="arial" w:eastAsia="arial" w:hAnsi="arial" w:cs="arial"/>
          <w:color w:val="000000"/>
          <w:sz w:val="20"/>
          <w:u w:val="single"/>
          <w:lang w:val="en-US" w:eastAsia="en-US" w:bidi="ar-SA"/>
        </w:rPr>
        <w:t>DCC,</w:t>
      </w:r>
      <w:r>
        <w:rPr>
          <w:rFonts w:ascii="arial" w:eastAsia="arial" w:hAnsi="arial" w:cs="arial"/>
          <w:color w:val="000000"/>
          <w:sz w:val="20"/>
          <w:lang w:val="en-US" w:eastAsia="en-US" w:bidi="ar-SA"/>
        </w:rPr>
        <w:t xml:space="preserve"> and as </w:t>
      </w:r>
      <w:r>
        <w:rPr>
          <w:rFonts w:ascii="arial" w:eastAsia="arial" w:hAnsi="arial" w:cs="arial"/>
          <w:color w:val="000000"/>
          <w:sz w:val="20"/>
          <w:u w:val="single"/>
          <w:lang w:val="en-US" w:eastAsia="en-US" w:bidi="ar-SA"/>
        </w:rPr>
        <w:t>Dorff of DCC</w:t>
      </w:r>
      <w:r>
        <w:rPr>
          <w:rFonts w:ascii="arial" w:eastAsia="arial" w:hAnsi="arial" w:cs="arial"/>
          <w:color w:val="000000"/>
          <w:sz w:val="20"/>
          <w:lang w:val="en-US" w:eastAsia="en-US" w:bidi="ar-SA"/>
        </w:rPr>
        <w:t xml:space="preserve"> knew or ought to have known:</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 of the North Bay Project site was a former landfill which contained hazardous contaminants other than organic compounds, including hazardous heavy metals that required specialized disposal; and</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site comprised approximately six times more contaminated soil than had been represented by the Defendant </w:t>
      </w:r>
      <w:r>
        <w:rPr>
          <w:rFonts w:ascii="arial" w:eastAsia="arial" w:hAnsi="arial" w:cs="arial"/>
          <w:color w:val="000000"/>
          <w:sz w:val="20"/>
          <w:u w:val="single"/>
          <w:lang w:val="en-US" w:eastAsia="en-US" w:bidi="ar-SA"/>
        </w:rPr>
        <w:t>in the North Bay Representations.</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direct and foreseeable result of these negligent misrepresentations and breaches of warranty, the Plaintiff was required to revise its remediation program for the North Bay Project, causing substantial delays and additional costs.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Plaintiff requested appropriate compensation for the foreseeable additional costs of treating contaminants other than organic compounds, </w:t>
      </w:r>
      <w:r>
        <w:rPr>
          <w:rFonts w:ascii="arial" w:eastAsia="arial" w:hAnsi="arial" w:cs="arial"/>
          <w:color w:val="000000"/>
          <w:sz w:val="20"/>
          <w:u w:val="single"/>
          <w:lang w:val="en-US" w:eastAsia="en-US" w:bidi="ar-SA"/>
        </w:rPr>
        <w:t>DCC refused in letters dated November 25, 1997 from Lenfesky to Al Maddalena of Conor and August 6, 1999 from Unram to Tony DiFruscio of Conor.</w:t>
      </w:r>
      <w:r>
        <w:rPr>
          <w:rFonts w:ascii="arial" w:eastAsia="arial" w:hAnsi="arial" w:cs="arial"/>
          <w:color w:val="000000"/>
          <w:sz w:val="20"/>
          <w:lang w:val="en-US" w:eastAsia="en-US" w:bidi="ar-SA"/>
        </w:rPr>
        <w:t xml:space="preserve"> The Defendant also:</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through Thompson of DCC</w:t>
      </w:r>
      <w:r>
        <w:rPr>
          <w:rFonts w:ascii="arial" w:eastAsia="arial" w:hAnsi="arial" w:cs="arial"/>
          <w:color w:val="000000"/>
          <w:sz w:val="20"/>
          <w:lang w:val="en-US" w:eastAsia="en-US" w:bidi="ar-SA"/>
        </w:rPr>
        <w:t xml:space="preserve"> wrongfully terminated the Plaintiff's contract on the North Bay Project;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through Nichols and Thompson of DCC</w:t>
      </w:r>
      <w:r>
        <w:rPr>
          <w:rFonts w:ascii="arial" w:eastAsia="arial" w:hAnsi="arial" w:cs="arial"/>
          <w:color w:val="000000"/>
          <w:sz w:val="20"/>
          <w:lang w:val="en-US" w:eastAsia="en-US" w:bidi="ar-SA"/>
        </w:rPr>
        <w:t xml:space="preserve"> wrongfully withheld payment for work already performed pursuant to the contract;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through Nichols and Thompson of DCC</w:t>
      </w:r>
      <w:r>
        <w:rPr>
          <w:rFonts w:ascii="arial" w:eastAsia="arial" w:hAnsi="arial" w:cs="arial"/>
          <w:color w:val="000000"/>
          <w:sz w:val="20"/>
          <w:lang w:val="en-US" w:eastAsia="en-US" w:bidi="ar-SA"/>
        </w:rPr>
        <w:t xml:space="preserve"> unlawfully took possession of the Plaintiff's equipment on site and converted that equipment to the Defendant's own use without compensation.</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DCC</w:t>
      </w:r>
      <w:r>
        <w:rPr>
          <w:rFonts w:ascii="arial" w:eastAsia="arial" w:hAnsi="arial" w:cs="arial"/>
          <w:color w:val="000000"/>
          <w:sz w:val="20"/>
          <w:lang w:val="en-US" w:eastAsia="en-US" w:bidi="ar-SA"/>
        </w:rPr>
        <w:t xml:space="preserve"> has refused to pay for work completed by the Plaintiff at its request and is indebted to the Plaintiff for $184,080 in this connection. In the alternative </w:t>
      </w:r>
      <w:r>
        <w:rPr>
          <w:rFonts w:ascii="arial" w:eastAsia="arial" w:hAnsi="arial" w:cs="arial"/>
          <w:color w:val="000000"/>
          <w:sz w:val="20"/>
          <w:u w:val="single"/>
          <w:lang w:val="en-US" w:eastAsia="en-US" w:bidi="ar-SA"/>
        </w:rPr>
        <w:t>DCC</w:t>
      </w:r>
      <w:r>
        <w:rPr>
          <w:rFonts w:ascii="arial" w:eastAsia="arial" w:hAnsi="arial" w:cs="arial"/>
          <w:color w:val="000000"/>
          <w:sz w:val="20"/>
          <w:lang w:val="en-US" w:eastAsia="en-US" w:bidi="ar-SA"/>
        </w:rPr>
        <w:t xml:space="preserve"> has been unjustly enriched in respect of the extra and additional work performed by the Plaintiff on the North Bay Project outside the ambit of the bid and the North Bay Representations. The Plaintiff accordingly claims damages for unjust enrichment and payment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At my request, counsel made further written submissions on whether s.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determines this Court's jurisdiction to hear claim #3. The parties disagree on this question. The plaintiff maintains that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has no application to claim #3, but Defence Construction says not only that it applies, but that under s.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this Court has no jurisdiction over claim #3 as it did not arise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 argues that claim #3 is a claim against Defence Construction, as agent of the Crown. Therefore, the plaintiff asserts that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does not apply to claim #3 because s. 35 of the Act states that it only applies "in respect of any proceedings against an agency of the Crown </w:t>
      </w:r>
      <w:r>
        <w:rPr>
          <w:rFonts w:ascii="arial" w:eastAsia="arial" w:hAnsi="arial" w:cs="arial"/>
          <w:i/>
          <w:color w:val="000000"/>
          <w:sz w:val="20"/>
          <w:lang w:val="en-US" w:eastAsia="en-US" w:bidi="ar-SA"/>
        </w:rPr>
        <w:t>taken in accordance with any Act of Parliament that authorizes the proceedings to be taken"</w:t>
      </w:r>
      <w:r>
        <w:rPr>
          <w:rFonts w:ascii="arial" w:eastAsia="arial" w:hAnsi="arial" w:cs="arial"/>
          <w:color w:val="000000"/>
          <w:sz w:val="20"/>
          <w:lang w:val="en-US" w:eastAsia="en-US" w:bidi="ar-SA"/>
        </w:rPr>
        <w:t xml:space="preserve"> [my emphasis]. Since the plaintiff pursues its claim under common law and not under any Act of Parliament,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and specifically, its jurisdictional provision in s. 21(1), do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defendants argue that s.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applies because claim #3 is primarily a claim against the federal Crown. They say this is because the Crown, and not the Crown corporation, is vicariously liable for the acts of its employees who allegedly made misrepresentations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defendants' argument is not consistent with the law set out by the Court of Appeal in </w:t>
      </w:r>
      <w:r>
        <w:rPr>
          <w:rFonts w:ascii="arial" w:eastAsia="arial" w:hAnsi="arial" w:cs="arial"/>
          <w:i/>
          <w:color w:val="000000"/>
          <w:sz w:val="20"/>
          <w:lang w:val="en-US" w:eastAsia="en-US" w:bidi="ar-SA"/>
        </w:rPr>
        <w:t>Pierre v. Pacific Press Ltd.</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(1993), 83 B.C.L.R. (2d) 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Pierre</w:t>
      </w:r>
      <w:r>
        <w:rPr>
          <w:rFonts w:ascii="arial" w:eastAsia="arial" w:hAnsi="arial" w:cs="arial"/>
          <w:color w:val="000000"/>
          <w:sz w:val="20"/>
          <w:lang w:val="en-US" w:eastAsia="en-US" w:bidi="ar-SA"/>
        </w:rPr>
        <w:t>, the Court interpreted the phrase in s. 35, "taken in accordance with any Act of Parliament", to mean that a Crown agency sued at common law would not fall under s. 35. At para. 12, Taylor J.A.,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context, or some special rule of construction, requires that it be given some different meaning, the key phrase, "in accordance with any Act of Parliament that authorizes the proceedings to be taken", makes it plain, in my view, that the provisions of the statute are not intended to apply to actions which can be brought at common law, without the need of statutory authority. I say that because the phrase must be given meaning as a limitation on the words which precede it. The new wording, in its natural and ordinary sense, seems to make it plain that the meaning which we ascribed to the rather obtuse former Section 23, in the Bank of B.C. case, clearly applies under the statute as amended. There seems to me no basis in the amendments to the statute on which that decision can be distinguished.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Taylor J.A. went on to reject the argument that the action was not against the corporation, but rather against the employees, saying at para. 23: "Under the modern law it seems clear that actions of those having the decision-making authority in the relevant part of the company's business will be acts of the company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 is correct that </w:t>
      </w:r>
      <w:r>
        <w:rPr>
          <w:rFonts w:ascii="arial" w:eastAsia="arial" w:hAnsi="arial" w:cs="arial"/>
          <w:i/>
          <w:color w:val="000000"/>
          <w:sz w:val="20"/>
          <w:lang w:val="en-US" w:eastAsia="en-US" w:bidi="ar-SA"/>
        </w:rPr>
        <w:t>Pierre</w:t>
      </w:r>
      <w:r>
        <w:rPr>
          <w:rFonts w:ascii="arial" w:eastAsia="arial" w:hAnsi="arial" w:cs="arial"/>
          <w:color w:val="000000"/>
          <w:sz w:val="20"/>
          <w:lang w:val="en-US" w:eastAsia="en-US" w:bidi="ar-SA"/>
        </w:rPr>
        <w:t xml:space="preserve"> disposes of the defendants' argument on the applicability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and s. 21(1). However, it is noteworthy that at para. 32, the Court in </w:t>
      </w:r>
      <w:r>
        <w:rPr>
          <w:rFonts w:ascii="arial" w:eastAsia="arial" w:hAnsi="arial" w:cs="arial"/>
          <w:i/>
          <w:color w:val="000000"/>
          <w:sz w:val="20"/>
          <w:lang w:val="en-US" w:eastAsia="en-US" w:bidi="ar-SA"/>
        </w:rPr>
        <w:t>Pierre</w:t>
      </w:r>
      <w:r>
        <w:rPr>
          <w:rFonts w:ascii="arial" w:eastAsia="arial" w:hAnsi="arial" w:cs="arial"/>
          <w:color w:val="000000"/>
          <w:sz w:val="20"/>
          <w:lang w:val="en-US" w:eastAsia="en-US" w:bidi="ar-SA"/>
        </w:rPr>
        <w:t xml:space="preserve"> said that Crown agencies are subject to "the laws of the provinces in which they operate insofar as their conduct may cause injury to the person or property of others". This statement provides strong support for the ultimate conclusion that, on application of s. 3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to determine territorial competence, this court has no jurisdiction to hear claim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claim #3, the plaintiff refers to misrepresentation made at "site meetings" that occurred in North Bay, Ontario and during the bid/tender process that would have been in Ontario since the contract relates to a Canadian Forces Base airport in North Bay. Thus, nothing of substance occurred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is clear from the Tender form, Notification of Award and related documents that the contractual obligations under the bid/tender award contract were to be performed in North Bay, Ontario. The bid/tender award contract was by its express terms governed by the laws of Ontario as the subject matter of remediation of contaminated soil was required to conform to the "Ontario Ministry of Environment criteria" and "Guideline for Use at Contaminated Sites in Ontario." The contract resulted from an entire bid/tender process that occurred in Ontario. The Tender Form refers to a "closing location" of Ottawa,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indicated on the Notification of Award issued in 1998, the plaintiff had an office at 867 Lakeshore Road W., Burlington, Ontario, when this proceeding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None of the alleged misrepresentations, breaches of contract, or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claims arose in British Columbia. Claim #3 contains no facts on which the plaintiff can establish a real and substantial connection to British Columbia. Thus, under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this Court has no territorial competence with respect to claim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have already concluded that the defendants did not attorn to the jurisdiction of this court, and for the reasons above, there is no "real and substantial connection" between claim #3 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any event, whether the federal or provincial legislation applies, the result is the same: this court has no jurisdiction to hear claim #3. No geographical facts are alleged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Claim #4: Native Lands Remediation Unpaid Accounts, Unjust Enrichment and </w:t>
      </w:r>
      <w:r>
        <w:rPr>
          <w:rFonts w:ascii="arial" w:eastAsia="arial" w:hAnsi="arial" w:cs="arial"/>
          <w:b/>
          <w:i/>
          <w:color w:val="000000"/>
          <w:sz w:val="20"/>
          <w:lang w:val="en-US" w:eastAsia="en-US" w:bidi="ar-SA"/>
        </w:rPr>
        <w:t>Quantum Meruit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Claim #4: Native Lands Remediation Unpaid Accounts, Unjust Enrichment and Quantum Meruit</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July 1999 to September 2000, the Plaintiff entered into a series of </w:t>
      </w:r>
      <w:r>
        <w:rPr>
          <w:rFonts w:ascii="arial" w:eastAsia="arial" w:hAnsi="arial" w:cs="arial"/>
          <w:color w:val="000000"/>
          <w:sz w:val="20"/>
          <w:u w:val="single"/>
          <w:lang w:val="en-US" w:eastAsia="en-US" w:bidi="ar-SA"/>
        </w:rPr>
        <w:t>written</w:t>
      </w:r>
      <w:r>
        <w:rPr>
          <w:rFonts w:ascii="arial" w:eastAsia="arial" w:hAnsi="arial" w:cs="arial"/>
          <w:color w:val="000000"/>
          <w:sz w:val="20"/>
          <w:lang w:val="en-US" w:eastAsia="en-US" w:bidi="ar-SA"/>
        </w:rPr>
        <w:t xml:space="preserve"> agreements with the Defendant </w:t>
      </w:r>
      <w:r>
        <w:rPr>
          <w:rFonts w:ascii="arial" w:eastAsia="arial" w:hAnsi="arial" w:cs="arial"/>
          <w:color w:val="000000"/>
          <w:sz w:val="20"/>
          <w:u w:val="single"/>
          <w:lang w:val="en-US" w:eastAsia="en-US" w:bidi="ar-SA"/>
        </w:rPr>
        <w:t>through the Chief and Council of each of</w:t>
      </w:r>
      <w:r>
        <w:rPr>
          <w:rFonts w:ascii="arial" w:eastAsia="arial" w:hAnsi="arial" w:cs="arial"/>
          <w:color w:val="000000"/>
          <w:sz w:val="20"/>
          <w:lang w:val="en-US" w:eastAsia="en-US" w:bidi="ar-SA"/>
        </w:rPr>
        <w:t xml:space="preserve"> the Fort Severn, Deer Lake, Northern Spirit, Stony, Popular Hill and Northern Nishware Indian Bands (the "Bands") </w:t>
      </w:r>
      <w:r>
        <w:rPr>
          <w:rFonts w:ascii="arial" w:eastAsia="arial" w:hAnsi="arial" w:cs="arial"/>
          <w:color w:val="000000"/>
          <w:sz w:val="20"/>
          <w:u w:val="single"/>
          <w:lang w:val="en-US" w:eastAsia="en-US" w:bidi="ar-SA"/>
        </w:rPr>
        <w:t>as agent for DIANA,</w:t>
      </w:r>
      <w:r>
        <w:rPr>
          <w:rFonts w:ascii="arial" w:eastAsia="arial" w:hAnsi="arial" w:cs="arial"/>
          <w:color w:val="000000"/>
          <w:sz w:val="20"/>
          <w:lang w:val="en-US" w:eastAsia="en-US" w:bidi="ar-SA"/>
        </w:rPr>
        <w:t xml:space="preserve"> for site remediation work at former fuel storage sites operated by the Defendant and located on Crown lands occupied by the Bands. Some of the work performed was paid for by the Defendant, </w:t>
      </w:r>
      <w:r>
        <w:rPr>
          <w:rFonts w:ascii="arial" w:eastAsia="arial" w:hAnsi="arial" w:cs="arial"/>
          <w:color w:val="000000"/>
          <w:sz w:val="20"/>
          <w:u w:val="single"/>
          <w:lang w:val="en-US" w:eastAsia="en-US" w:bidi="ar-SA"/>
        </w:rPr>
        <w:t>through DIANA</w:t>
      </w:r>
      <w:r>
        <w:rPr>
          <w:rFonts w:ascii="arial" w:eastAsia="arial" w:hAnsi="arial" w:cs="arial"/>
          <w:color w:val="000000"/>
          <w:sz w:val="20"/>
          <w:lang w:val="en-US" w:eastAsia="en-US" w:bidi="ar-SA"/>
        </w:rPr>
        <w:t xml:space="preserve"> directly.</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fully performed its site remediation work pursuant to the oral agreements and invoiced the Bands as agents for the Defendant accordingly. The Defendant has acknowledged that the required work was completed, but has refused or neglected to make full payment despite repeated demands by the Plaintiff. The Defendant is indebted to the Plaintiff for $189,247.01 in this connection.</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the Defendant has been unjustly enriched by the work and services performed by the Plaintiff at the former fuel storage sites, and the Plaintiff claims damages for unjust enrichment and compensation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plaintiff alleges that six Indian Bands entered into some contracts with the plaintiff and that the Crown should be legally liable for the Bands' unpaid contracts. However, claim #4 clearly lacks any geographic detail, so the plaintiff has failed to establish this Court's jurisdiction under s. 21(1) of the </w:t>
      </w:r>
      <w:r>
        <w:rPr>
          <w:rFonts w:ascii="arial" w:eastAsia="arial" w:hAnsi="arial" w:cs="arial"/>
          <w:i/>
          <w:color w:val="000000"/>
          <w:sz w:val="20"/>
          <w:lang w:val="en-US" w:eastAsia="en-US" w:bidi="ar-SA"/>
        </w:rPr>
        <w:t>CLPA</w:t>
      </w:r>
      <w:r>
        <w:rPr>
          <w:rFonts w:ascii="arial" w:eastAsia="arial" w:hAnsi="arial" w:cs="arial"/>
          <w:color w:val="000000"/>
          <w:sz w:val="20"/>
          <w:lang w:val="en-US" w:eastAsia="en-US" w:bidi="ar-SA"/>
        </w:rPr>
        <w:t xml:space="preserve"> to hear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observe that there is no breakdown in claim #4 as to which Band had which contract. The Crown has adduced evidence to show that none of the Indian Bands are accurately described. Claim #4 does not even raise a cause of action against the Crown, so a court cannot have jurisdiction to hear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Nowak deposed that Conor contracted with the relevant Indian Bands but "... did so on the basis that its invoices would be funded and paid by the Department of Indian and Northern Affairs." However, the Crown was not a party to any alleged contracts between the plaintiff and the Indian Bands in question, so the claim would still not give rise to a cause of action against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provided no details of the written agreements and, in any event, has not pleaded any material facts that would establish the Crown's legal liability to pay for the Indian Bands'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 #5: Alleged Illegal Withdrawal and Conversion of Plaintiff's Bank Funds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Claim 5: Illegal Withdrawal and Conversion of Plaintiff's Bank Funds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January 29, 1999, WTI, which had been acquired by the Plaintiff as set out above, had established its entitlement to an investment tax credit payable in cash under section 127.1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(the "ITC"). On or about January 29, 1999, the Canada Customs and Revenue Agency's cheque no. 4072-00084848 for $501,582.44 in respect of the ITC was delivered to WTI. Immediately afterwards, this amount was transferred from WTI's account to the account of the Plaintiff at RBC, by way of inter-company transfer.</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June 1, 2000, the Defendant </w:t>
      </w:r>
      <w:r>
        <w:rPr>
          <w:rFonts w:ascii="arial" w:eastAsia="arial" w:hAnsi="arial" w:cs="arial"/>
          <w:color w:val="000000"/>
          <w:sz w:val="20"/>
          <w:u w:val="single"/>
          <w:lang w:val="en-US" w:eastAsia="en-US" w:bidi="ar-SA"/>
        </w:rPr>
        <w:t>through Harrison of PWC</w:t>
      </w:r>
      <w:r>
        <w:rPr>
          <w:rFonts w:ascii="arial" w:eastAsia="arial" w:hAnsi="arial" w:cs="arial"/>
          <w:color w:val="000000"/>
          <w:sz w:val="20"/>
          <w:lang w:val="en-US" w:eastAsia="en-US" w:bidi="ar-SA"/>
        </w:rPr>
        <w:t xml:space="preserve"> unlawfully caused the full amount of the ITC to be withdrawn from an account of RBC and transferred to the general account of the Defendant with the Receiver General for Canada. By reason of this withdrawal, RBC proceeded to recover the full amount from the Plaintiff's main operating account, debiting it by the sum of $501,582.44.</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withdrawal of the ITC payment was without lawful authority or colour of right and constituted conversion to its own use of the Plaintiff's property, causing damage to the Plaintiff as set out below. The Defendant's withdrawal also constituted an actionable abuse of public office. [Underlining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Claim #5 is completely unrelated to any of the other claims. Based on the evidence, background and arguments advanced by the Crown, claim #5 should be struck for lack of jurisdiction on the basis that the Federal Court Trial Division has issued a final order. The order could be subject to an appeal over which this Court has no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am persuaded that the Federal Court order indeed disposed of the funds that are the subject of claim #5, yet surprisingly, the plaintiff did not even mention that order in its pleadings. This Court has no jurisdiction to overrule the Federal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Claim #5 is based on an alleged "conversion to its own use of the plaintiff's property" by the Crown. The plaintiff has described this claim as follows: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"including loss of the one-half of the ITC</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taken"</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(Amended Statement of Claim, August 12, 2003, para.</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45);</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on the $250,791.22 which was (the plaintiff's) agreed share of the $501,582.44" (Affidavit #1 of Melissa Major sworn July 13, 2009, Exhibit "O" (Letter of May 13, 2009), Defendants' Condensed Exhibit Book, Volume 2, pages 272 to 278);</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to the plaintiff "in the amount of $250.791.22 plus interest" (Affidavit #1 of Gordon Phillips sworn June 17, 2009; Defendants' Condensed Exhibit Book, Volume 2, pages 279 to 280 and Chambers Record, Volume 2, Tab 10; Affidavit #2 of Meg Senft sworn November 4, 2009, Exhibit "C" (Further Amended Claim attached to Notice of Motion dated October 12, 2009); Defendants' Condensed Exhibit Book, Volume 2, pages 281 to 299).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evidence shows that the plaintiff's claim for "conversion" of the specific amount of $250,791.22 is beyond the jurisdiction of this Court. Although the plaintiff framed the claim as one for "damages", I agree with the Crown that it is merely a transparent attempt to seek recovery of the precise amount that was the subject of the proceedings in the Federal Court Trial Division file T-243-01. Those proceedings were subject to a final order of the Federal Court that was issued on the consent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CRA acted according to the Federal Court order to which the plaintiff had consented. The evidence shows the monies that were the subject of the Federal Court order were actually paid to, and received by, Blake, Cassels, Graydon, the solicitors for WTI and the plaintiff. The amount paid to Blake, Cassels, Graydon in trust was $303,210.83 and was acknowledged to have been paid in accordance with the Federal Court order. This amount includes the interest which the plaintiff has claimed as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Federal Court order bars the plaintiff from making any claim against the Crown for the amount in question. The plaintiff's only remedy is, or was, to apply to set aside the order in the appropriate court. This Court has no appellate jurisdiction over orders issued by the Federal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Moreover, claim #5 raises a matter over which the Federal Court has taken jurisdiction and it belongs in that Court. It is therefore plain and obvious that this Court has no jurisdiction over claim #5 as the nature of the subject matter of the claim is subject to the Federal Court's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Even if the plaintiff is correct that the Crown's response to claim #5 goes to the merits of that claim, the plaintiff did not include material jurisdictional facts that the alleged "conversion" occurred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summary, as to all four of the outstanding and unrelated claims, and to what the defendants call the "piggyback" damages claim, as brought in this single proceeding, I agree with the defendants that none of the claims discloses any material facts to establish that this Court has jurisdiction to hear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Therefore, the Amended Statement of Claim is dismissed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A.W. MacKENZIE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order to focus on the substance of the claim and to facilitate discussion as the case moves forward, we set out below a brief summary of the facts and issues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1997, the Plaintiff ("CPET") was approached by WTI and by representatives of the federal government ("Crown"), who intended to persuade CPET to acquire the shares of WTI Holdings Ltd. ("WTI"). WTI and the Crown did not operate at arm's length, and it appears that WTI was run very much like a Crown corporation. CPET was told that WTI had successfully developed a number of new and unique waste water and soil treatment technologies, and that WTI and the Crown wanted a company like CPET with experience in the industry to move forward with the commercial sale of this Canadian-developed technology.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addition to these technologies, both WTI and the Crown represented to CPET that WTI enjoyed the benefit of a number of contracts, including in particular a contract with the Crown under which WTI delivered applied research and development services on a full cost recovery basis (the "GOCO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CPET was told that WTI either would own, or have the right to use, 18 soil, air and water treatment technologies, and that most of them were proven and commercially viable. CPET, which was in the business of treating contaminated effluents, sludges and soils, believed that acquiring these technologies, together with WTI's contracts and particularly the GOCO Contract, would enhance CPET's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Unfortunately, after the transaction closed in November 1997, CPET discovered that much of what it had been told about the technologies and the GOCO contract were untrue. There is reason to conclude that some of the information provided to CPET was known to be untrue. It appears that both the principals of WTI and representatives of the Crown, which as noted above did not operate at arm's length, were prepared to say whatever was necessary to persuade CPET to take off their hands what CPET later discovered was an uneconomic and unworkable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important to recognize that this is not a case involving an unsophisticated purchaser who, in the process of acquiring an asset, failed to do its due diligence. CPET was created to act as a consolidator in the environmental services industry. WTI was not CPET's first acquisition, and the persons involved in this acquisition at CPET were experienced business people who knew what they were doing and, importantly, asked the right questions of both WTI and the Crown. Unfortunately for all concerned, there were misrepresentations made which are now the subject matter of this litigation. The truth would have been discovered but for the active and wilful concealment of significant facts, and statements about steps that would be taken but which were not taken, on the part of both WTI and the Crown. The Crown was seeking to extricate itself from WTI, having come to the realization that WTI's technologies were of little commercial value and that it was unlikely WTI would ever be profitable. Of course, full and frank disclosure of those facts would have made the purchase of WTI unattractive to CPET or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Our information is that Ed Norrena, who was at the material time Environment Canada's Director General of the Environmental Technology Advancement Directorate, was either fired or forced to resign, after CPET ultimately became aware of the full extent of the deceit and threatened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Technologies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Regarding the technologies, there were two fundamental problems: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WTI held much of the know-how in the technologies in question, most of them were either owned by or licensed to the Crown, not WTI. None of the technologies was legally owned by WTI. At the time of closing, the Crown created a beneficial interest in favour of WTI and represented that the Crown would transfer the intellectual property rights in the technology to WTI once the CPET/WTI transaction was complete. However, despite repeated assurances from the Crown, spanning several years, that it would transfer title to or assign the licenses to the various technologies, the transfers never took place. In the end, the Crown simply refused to deliver the necessary transfer documents.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Many of the technologies did not work, contrary to representations by both WTI and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Ownership of Technologies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Some technologies with WTI and the Crown said belonged to WTI were in fact owned, or at least claimed, by third parties. One example was Moving Bed Reactor Media ("MBM"). The Crown and WTI claimed that this technology, which WTI had designed to enhance biological growth, was tested, commercially ready and fully costed. As it turned out, the technology had not been commercially tested and was not ready for market. By October 1998 the technology had been further developed and finally appeared ready for market. However, shortly after CPET began to market the technology it was threatened by a third party with litigation for patent infringement. Our client expects that it will be able to show that WTI and the Crown either knew or ought to have known about this competing claim before CPET closed on the purchase of WTI's shares, and concealed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Another technology which CPET was supposed to acquire through WTI was the oil from sludge ("OFS") technology. This was a licensed technology which had been, in part, developed by WTI at the Wastewater Technology Centre ("WTC") in Burlington, Ontario to treat municipal sludge. It had been valued at $2,000,000 by the Ontario Centre for Environmental Technology in its June 12, 1997, valuation, which was provided by the Crown to CPET. Rather than Environment Canada transferring the technology to WTI, as agreed, Environment Canada sold the technology to a third party without consultation with either WTI or CPET.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Technologies Did Not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Many of the technologies which CPET was told were proven and commercially viable were neither. While CPET's Mr. Nowack and others can explain this in more detail, below are some examples of instances where CPET was, we say, deliberately misled by WTI and the Crown in respect of various technologies.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Daramend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Daramend was a process designed to enhance bioremediation of contaminated soils and sediments which was represented as proven and commercial. Environment Canada owned the technology and had granted a licence permitting W.R. Grace to use it. The technology was to be transferred to WTI as part of the CPET's acquisition of the WTI shares, subject to the licence in favour of W.R. Grace.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Based on the representations made with respect to the Daramend technology it was used by CPET in connection with the remediation of the Northern Wood Preserves Site in Thunder Bay Harbour for the NOWPARC consortium which consisted of Environment Canada, the Ontario Ministry of the Environment, Abitibi, CN and Northern Wood Preservers.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Daramend technology failed badly in the NOWPARC remediation, as a result of which CPET lost in excess of $1.2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Ecomate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Ecomate was a caustic solution recovery system which was also represented as being fully commercialized, complete with engineering drawings, operating manuals and ongoing use in four dairy plants and one brewery. The system was represented as having significant economic benefit which would provide for a payback on investment in between two and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WTI and the Crown failed to disclose is that each of the installations was experiencing significant operating problems. When CPET attempted to use the engineering drawings and operating manuals and deal with the problems being experienced they were found to be materially deficient and could not be used. Attempts to market the technology had to be abandoned when the operating problems could not be rectified.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Ecobarrier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Ecobarrier was designed as a self-sealing/self-repairing liner and cover system for landfills and other contaminated site applications which WTI and the Crown represented it as proven and commercially viable. A master agreement had been signed between WTI and Greenfil Co. Ltd. in connection with a Korean landfill project using the technology from which, CPET was told, WTI was expected to earn significant royalties.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Notwithstanding the representations by WTI and the Crown as to the success of the technology, it turned out the liner had actually fractured and WTI was being threatened with litigation. Our client is confident that it will be able to show that both WTI and the Crown knew that the liner had fractured and that there were significant problems with the technology when the incorrect representations were made that it was proven and commercially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GOCO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Key to the acquisition of the WTI shares was the continuation of the GOCO contract. Under this agreement the Crown agreed to pay WTI to manage and operate the WTC in Burlington, Ontario and to perform and deliver applied research development services for the Crown. This contract provided, prior to CPET's acquisition of WTI, annual revenues of approximately $6 million. Those revenues were necessary to support the staff levels at WTI that the Crown insisted CPET must maintain, as a condition of the Crown's approval of the acquisition. The Crown represented to both CPET and KPMG that a revenue stream of approximately $6 million annually could be counted on. In addition, according to both the Crown and WTI, WTI was to be fully reimbursed by the Crown for all of its costs for services provided under the GOCO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One aspect of CPET's claim arises from the following facts. During the course of reviewing WTI's financial records pertaining to the GOCO contract, the receipt by WTI of a $300,000 payment from the Crown was identified. When this matter was raised by CPET, both WTI's and the Crown's representatives said it was a cash injection in the nature of a gift to enable WTI to remain solvent. Specifically, CPET was told by the Crown that this was not an advance on account of future work, and that WTI would not have to perform future work without compensation because of this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fact, after the transaction closed, the Crown reversed its position and expressly refused to pay for work done by WTI after the closing. The Crown refused to pay for that work on the grounds that the work had already been paid for through what CPET had earlier been told by the Crown was a non-repayable cash injection or gift.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Another aspect of CPET's claim regarding the GOCO contract is that, contrary to its pre-acquisition representations, the Crown both reduced the amount of work (and revenue) under that contract, and refused to renew it after 1998. Revenue fell below $3 million annually before the contract expired without being renewed by the Crown. These actions by the Crown were financially devastating to WTI, and were major factors in its operations being closed and its staff being laid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Liquidated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you know, there are a series of liquidated claims made by CPET against the Crown. We are not aware of any reason why they have not been paid. It appears that the Crown simply stopped paying CPET and WTI when CPET was forced to seek protection under the </w:t>
      </w:r>
      <w:r>
        <w:rPr>
          <w:rFonts w:ascii="arial" w:eastAsia="arial" w:hAnsi="arial" w:cs="arial"/>
          <w:i/>
          <w:color w:val="000000"/>
          <w:sz w:val="20"/>
          <w:lang w:val="en-US" w:eastAsia="en-US" w:bidi="ar-SA"/>
        </w:rPr>
        <w:t>Company Creditors Arrangement Act</w:t>
      </w:r>
      <w:r>
        <w:rPr>
          <w:rFonts w:ascii="arial" w:eastAsia="arial" w:hAnsi="arial" w:cs="arial"/>
          <w:color w:val="000000"/>
          <w:sz w:val="20"/>
          <w:lang w:val="en-US" w:eastAsia="en-US" w:bidi="ar-SA"/>
        </w:rPr>
        <w:t>. A summary of these liquidated claims is as follows: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liquidated claim is for $184,080 being the cost to deal with the additional and undisclosed contaminants that CPET encountered in remediating the North Bay site for Defence Construction Canada ("DCC"). CPET expects that it will be able to show that DCC knew or ought to have been aware of the additional contamination and either concealed the facts from CPET or were at best careless in their disclosure knowing that CPET was relying on the representations made by DCC and its agents and employees.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CPET is also seeking the balance owing on site remediations performed by the Department of Indian and Northern Affairs in the sum of $192,000. Insofar as my client is aware there is no defence to these claims. They just simply have not been paid.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CPET seeks a refund of in connection with the WTI payroll account in the sum of $192,000. This claim was assigned to CPET in 1999. Our information is that there is no dispute but that the credit exists and that no explanation has been offered as to why the Crown has not refunded the amount owing.</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CPET is seeking interest on the $250,791.22 which was CPET's agreed share of the $501,582.44 which CRA unlawfully withdrew from CPET's bank account on or about June 1, 2001.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3"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Cooper v. Merrill Lynch Canada Inc., [2006] B.C.J. No. 3300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19 - 21,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S024056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3300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1905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1042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Russel V. Cooper, Plaintiff, and Merrill Lynch Canada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4"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8" w:name="Keywords_9"/>
      <w:bookmarkEnd w:id="78"/>
      <w:r>
        <w:rPr>
          <w:rFonts w:ascii="arial" w:eastAsia="arial" w:hAnsi="arial" w:cs="arial"/>
          <w:b/>
          <w:color w:val="000000"/>
          <w:sz w:val="20"/>
          <w:lang w:val="en-US" w:eastAsia="en-US" w:bidi="ar-SA"/>
        </w:rPr>
        <w:t>Civil procedure — Parties — Class or representative actions — Certification — Common interests — Application by the plaintiff client, Cooper, for certification of a class action against the defendant investment broker, Merrill Lynch allowed — The client claimed that the firm made commissions and profits on clients' purchases of foreign securities by means of its own currency accounts without full disclosure to clients — Many issues, including the duty of disclosure to clients, the applicability of securities rules to the transactions and currency exchange, and the nature of the relationship, were common issues appropriate for a class action — Class Proceedings Act, s. 4, s. 27; Securities Rules, Rule 36.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Other — Investment and management consultants — Application by the plaintiff client, Cooper, for certification of a class action against the defendant investment broker, Merrill Lynch allowed — The client claimed that the firm made commissions and profits on clients' purchases of foreign securities by means of its own currency accounts without full disclosure to clients — Many issues, including the duty of disclosure to clients, the applicability of securities rules to the transactions and currency exchange, and the nature of the relationship, were common issues appropriate for a class action — Class Proceedings Act, s. 4, s. 27; Securities Rules, Rule 36.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Securities regulation — Dealers — Duties — Application by the plaintiff client, Cooper, for certification of a class action against the defendant investment broker, Merrill Lynch allowed — The client claimed that the broker made commissions and profits on clients' purchases of foreign securities by means of its own currency accounts without full disclosure to clients — Many issues, including the duty of disclosure to clients, the applicability of securities rules to the transactions and currency exchange, and the nature of the relationship, were common issues appropriate for a class action — Class Proceedings Act, s. 4, s. 27; Securities Rules, Rule 36.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9" w:name="Case Summary_8"/>
            <w:bookmarkEnd w:id="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client, Cooper, for certification of a class action against the defendant investment broker, Merrill Lynch -- The client claimed that the broker made commissions and profits on clients' purchases of foreign securities by means of its own currency accounts without full disclosure to clients -- The original contract documents with its investors did not provide for any profits by the broker on the foreign currency component of the transactions -- The client claimed that the broker improperly applied premiums and fees to both sides of the securities transactions for currency exchanges -- He claimed that all persons who invested monies with the broker for purchase of foreign securities constituted the proposed class of some 15,554 persons -- The broker opposed certification on the grounds that issues particular to each client outweighed common issues -- It claimed that the clients were aware, or should have been aware, of its methods of setting and charging currency conversion rates -- HELD: Application allowed -- The action was certified as a class action -- It would be necessary to determine common issues of law and fact regarding the standard agreement between the broker and its clients before attempting to determine more individualized issues specific to each client -- Many issues, including the duty of disclosure to clients, the applicability of securities rules to the transactions and currency exchange, and the nature of the relationship, were common issues appropriate for a class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0" w:name="Legislation Cited_7"/>
      <w:bookmarkEnd w:id="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5"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Rules, Rule 19(24)(a), Class Proceedings Act, </w:t>
      </w:r>
      <w:hyperlink r:id="rId191" w:history="1">
        <w:r>
          <w:rPr>
            <w:rFonts w:ascii="arial" w:eastAsia="arial" w:hAnsi="arial" w:cs="arial"/>
            <w:i/>
            <w:color w:val="0077CC"/>
            <w:sz w:val="20"/>
            <w:u w:val="single"/>
            <w:shd w:val="clear" w:color="auto" w:fill="FFFFFF"/>
            <w:lang w:val="en-US" w:eastAsia="en-US" w:bidi="ar-SA"/>
          </w:rPr>
          <w:t>R.S.B.C. 1996, c. 50 s. 1</w:t>
        </w:r>
      </w:hyperlink>
      <w:r>
        <w:rPr>
          <w:rFonts w:ascii="arial" w:eastAsia="arial" w:hAnsi="arial" w:cs="arial"/>
          <w:color w:val="000000"/>
          <w:sz w:val="20"/>
          <w:lang w:val="en-US" w:eastAsia="en-US" w:bidi="ar-SA"/>
        </w:rPr>
        <w:t>, s. 4(1), s. 4(1)(a), s. 4(1)(b), s. 4(1)(c), s. 4(1)(d), s. 4(1) (e), s. 4(1)(e)(i), s. 4(1)(e)(ii), s. 4(1)(e)(iii), s. 4(2), s. 4(2)(a), s. 4(2)(b), s. 4(2)(c), s. 4(2)(d), s. 4(2) (e), s. 27, s. 27(1), s. 27(1)(a), s. 27(1)(b), s. 27(1)(c), s. 27(2), s. 27(3), s. 27(3)(a), s. 27(3)(b)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Securities Rules, B.C. Reg. 194/97, Rule 36(1), Rule 36(2), Rule 36(2)(d), Rule 36(2)(h)</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1" w:name="Counsel_9"/>
      <w:bookmarkEnd w:id="8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Bruce Lemer and Ward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Gordon Johnson and Brad Dixon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2" w:name="Judgment_9"/>
      <w:bookmarkEnd w:id="82"/>
      <w:r>
        <w:pict>
          <v:line id="_x0000_s1077"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3" w:name="ALLAN J."/>
            <w:bookmarkEnd w:id="83"/>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i/>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alleges that Merrill Lynch Canada Inc. ("Merrill"), formerly a full-service investment dealer, developed a scheme designed to generate substantial commissions or profits for itself without any meaningful disclosure to its retail clients. He says that those commissions and profits arise from the foreign currency exchange transactions that occurred when Merrill's clients bought or sold foreign (usually U.S.) securities in Canadian dollar denominated accounts. The plaintiff submits that the issue of whether Merrill was entitled to charge its own foreign currency exchange commissions without disclosure is best resolved within the context of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seeks to have this action certified as a class proceeding pursuant to the provisions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Mr. Lemer, co-counsel for the plaintiff, submits that the lawsuit seeks to establish what restrictions on hidden commissions exist on foreign exchange transactions, within the context of (1) the contractual relationship between the parties, (2) the regulatory environment, and (3) the practice 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submits that the facts and issues in this case are identical to those in </w:t>
      </w:r>
      <w:r>
        <w:rPr>
          <w:rFonts w:ascii="arial" w:eastAsia="arial" w:hAnsi="arial" w:cs="arial"/>
          <w:b/>
          <w:i/>
          <w:color w:val="000000"/>
          <w:sz w:val="20"/>
          <w:lang w:val="en-US" w:eastAsia="en-US" w:bidi="ar-SA"/>
        </w:rPr>
        <w:t>Scott and Ballingall v. TD Waterhouse Investor Services (Canada) Inc.</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[2001] B.C.J. No. 1874</w:t>
        </w:r>
      </w:hyperlink>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2001 BCSC 1299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On the other hand, Merrill asserts that the facts and issues are distinguishable and opposes certification. With respect to the merits of the plaintiff's claim, Merrill says that it provided a service that benefited both its clients and society at large. Merrill contends that it provided currency in circumstances in which it accepted a risk of loss and at rates that were better than clients could otherwise have obtained. Merrill denies that there was any scheme to extract secret commissions from clients and asserts that the plaintiff, Mr. Cooper, and others were told of, and understood, the substance of the transactions and the fact that Merrill sold currency to its clients, employing a spread.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Procedurally, Merrill opposes certification, primarily on the basis that the individual issues regarding (a) what information was given to clients and (b) what the clients understood would overwhelm any common issues and are determinative of both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briefly set out what I understand to be the parties' positions with respect to the mechanics of the process by which Merrill obtained commissions on foreign currency conversions for its clients' securities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Until December 2001, Merrill was a full service broker, providing financial services to individual investors. Mr. Cooper asserts that in 1994, he retained Merrill's predecessor, and then Merrill, to act as his agent to buy and sell securities and provide investment advice. As a result, a number of accounts were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Merrill's contract documents with its investors (referred to in the amended statement of claim as the "Agency Agreements") did not refer to any right to earn commissions or profits on the foreign currency component of the securities transactions it undertook for its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amended statement of claim describes Merrill's procedures regarding the "conversion of foreign currency leading to undisclosed revenue for the defendant ...."</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Merrill required that the client's Accounts hold only Canadian funds. At the client's requests, Merrill purchased and/or sold one or more foreign securities in the Accounts on the client's behalf (the "Trades"). Because the Accounts held only Canadian currency, the purchase or sale of foreign securities required either the purchase or sale of foreign currency.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each of the Trades, Merrill converted the Canadian currency held in the Accounts to foreign currency for the purchase of foreign securities or converted foreign currency to Canadian currency for the deposit of sale proceeds into the Accounts (the "Currency Conversions").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accomplish the Currency Conversions, Merrill purchased Canadian and foreign currency on its own account (as a principal) at rates set by the open market and/or obtained it from its own clients and sold it to other clients (the "Brokers' Currency Exchange Rate").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Merrill set the exchange rates and charged the plaintiff for the Currency Conversions (the "Clients' Currency Exchange Rate").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Brokers' Currency Exchange Rate was a more favourable exchange rate than the Clients' Currency Exchange Rate. Therefore, the clients paid a premium for the purchase or sale of foreign currency and Merrill received revenue from the difference between the Brokers' Currency Exchange Rate and the Clients' Currency Exchange Rate (the "Currency Conversion Revenue").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Agency Agreements provided that the conversion of foreign currency upon the purchase or sale of foreign securities would take place on the date of the trade (the "Trade Date"). As a result of industry practice, Merrill would be required to provide to or receive from another party the amount of the purchase or sale at a later date (the "Settlement Date") at the then prevailing exchange rate. The exchange rate on the Settlement Date could differ from the exchange rate on the Trade Date.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Merrill represented to its clients that, at all material times, it acted as their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says that the Currency Conversion Revenue exceeded any reasonable reserve for the risk of exchange rate fluctuations between the Trade Date and the Settlement Date and Merrill knowingly profited from the Currency Conversions. Further, the Agency Agreements contained no express or implied terms giving Merrill authority to take the Currency Conversion Revenue, and Mr. Cooper was unaware that Merrill took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Lemer submits that Merrill acted as principal in relation to all currency exchanges when it purchased currency from, or sold currency to, its clients to complete the foreign securities transactions. He says that Merrill did not disclose the fact that it was acting as a principal to its client either verbally or in the contract documents. In contrast, Merrill did disclose, on its post-transaction confirmation slips, the fact that it acted as principal (rather than the client's agent) when it held an inventory of shares or bonds and resold them to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asserts that Merrill's access to currency exchange allowed it to largely offset any risk with respect to buying and selling foreign currency. In spite of this fact, Merrill applied a premium on both sides of its transaction with its own clients without seeking the approval of those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says that Merrill employed a formula for setting the exchange rates it charged its clients. It considered various sources of currency market information, e.g., Reuters reports, determined the midpoint of buy and sell prices at 2:30 p.m. each day, and then applied a set spread:</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retail securities transactions under $10,500, Merrill added to or subtracted 1.25% from that midpoint depending on whether the transaction required a sell or a buy of the foreign currency to determine the exchange rate, resulting in a total </w:t>
      </w:r>
      <w:r>
        <w:rPr>
          <w:rFonts w:ascii="arial" w:eastAsia="arial" w:hAnsi="arial" w:cs="arial"/>
          <w:color w:val="000000"/>
          <w:sz w:val="20"/>
          <w:u w:val="single"/>
          <w:lang w:val="en-US" w:eastAsia="en-US" w:bidi="ar-SA"/>
        </w:rPr>
        <w:t>spread of 2.5%</w:t>
      </w:r>
      <w:r>
        <w:rPr>
          <w:rFonts w:ascii="arial" w:eastAsia="arial" w:hAnsi="arial" w:cs="arial"/>
          <w:color w:val="000000"/>
          <w:sz w:val="20"/>
          <w:lang w:val="en-US" w:eastAsia="en-US" w:bidi="ar-SA"/>
        </w:rPr>
        <w:t xml:space="preserve"> between the price at which Merrill purchased a currency from its clients and the price at which it sold it back to other clients;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transactions between $10,500 and $24,999, Merrill added to or subtracted 1% from the midpoint, resulting in a total </w:t>
      </w:r>
      <w:r>
        <w:rPr>
          <w:rFonts w:ascii="arial" w:eastAsia="arial" w:hAnsi="arial" w:cs="arial"/>
          <w:color w:val="000000"/>
          <w:sz w:val="20"/>
          <w:u w:val="single"/>
          <w:lang w:val="en-US" w:eastAsia="en-US" w:bidi="ar-SA"/>
        </w:rPr>
        <w:t>spread of 2%</w:t>
      </w: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transactions between $25,000 - $50,000, the total </w:t>
      </w:r>
      <w:r>
        <w:rPr>
          <w:rFonts w:ascii="arial" w:eastAsia="arial" w:hAnsi="arial" w:cs="arial"/>
          <w:color w:val="000000"/>
          <w:sz w:val="20"/>
          <w:u w:val="single"/>
          <w:lang w:val="en-US" w:eastAsia="en-US" w:bidi="ar-SA"/>
        </w:rPr>
        <w:t>spread was between 1% and 1.5%</w:t>
      </w:r>
      <w:r>
        <w:rPr>
          <w:rFonts w:ascii="arial" w:eastAsia="arial" w:hAnsi="arial" w:cs="arial"/>
          <w:color w:val="000000"/>
          <w:sz w:val="20"/>
          <w:lang w:val="en-US" w:eastAsia="en-US" w:bidi="ar-SA"/>
        </w:rPr>
        <w:t xml:space="preserve"> depending upon the time period;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transactions larger than $50,000, a special exchange rate was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contrast to the Currency Conversion Revenue, the fully disclosed commissions on bonds sold to clients ranged between approximately .5% for short-term bonds and approximately 1.0% for long-term bonds.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says that Merrill's commission or profit on the currency exchange part of foreign securities transactions was ensured in a number of ways: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exchange rate for the day was set at 2:30 p.m. - as much as five and a half hours after the client's securities trade was executed;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large majority of Merrill's currency needs for foreign securities transactions in Canadian dollar denominated accounts was available from offsetting transactions involving Merrill's own Canadian clients. To the extent that the clients' buying and selling of any particular foreign currency (required by the buying or selling of that country's securities) did not equal out on any particular day, the extra was obtained from Merrill's own inventory of currency. Merrill could choose when it wanted to cover any outstanding position and therefore determined the risk it wanted to assume;</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Merrill allowed its traders to take advantage of their expertise by giving them authority to delay covering the company's currency requirements in order to take advantage of movements in the currency markets. In any event, currency movements would have benefited Merrill half of the time, at random;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1.0 - 2.5% spread on trades below $50,000 more than insulated Merrill from any reasonable expectation of losses from currency fluctuation.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Lemer asserts that it was an express or implied term of the Agency Agreements that Merrill would act in good faith towards them and that Merrill's duties as broker to each client were those of an agent to its principal. Further, he says that the relevant security legislation required Merrill to deal fairly, honestly and in good faith with its clients. For example, s. 36(2) of the </w:t>
      </w:r>
      <w:r>
        <w:rPr>
          <w:rFonts w:ascii="arial" w:eastAsia="arial" w:hAnsi="arial" w:cs="arial"/>
          <w:i/>
          <w:color w:val="000000"/>
          <w:sz w:val="20"/>
          <w:lang w:val="en-US" w:eastAsia="en-US" w:bidi="ar-SA"/>
        </w:rPr>
        <w:t>Securities Rules</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B.C. Reg. 194/97</w:t>
        </w:r>
      </w:hyperlink>
      <w:r>
        <w:rPr>
          <w:rFonts w:ascii="arial" w:eastAsia="arial" w:hAnsi="arial" w:cs="arial"/>
          <w:color w:val="000000"/>
          <w:sz w:val="20"/>
          <w:lang w:val="en-US" w:eastAsia="en-US" w:bidi="ar-SA"/>
        </w:rPr>
        <w:t xml:space="preserve"> requires disclosure of the following matters: the price at which a security was purchased and sold, the total cost of the purchase or the total proceeds of the sale, the commissions and fees charged for the purchase or sale, and whether the registered dealer used another dealer as its agent to effect the purchase 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amended statement of claim asserts that Merrill breached the Agency Agreements, "the securities laws", the bylaws of the Investment Dealers Association ("IDA"), its fiduciary duty, and its duty of good faith contractual dealings in the following manner:</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disclose and obtain the clients' consent for taking the Currency Exchange Revenue;</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disclose the manner in which the Currency Conversions took place;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disclose and obtain the clients' consent to act as principal in the Currency Conversions;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representing that it was acting as agent, when in fact it acted as principal in the Currency Conversions;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permitting its own interests to conflict with its duties to its clients;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conducting the Currency Conversions unreasonably and at other than the best available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response, Merrill denies that it acted as an agent in the Currency Conversions. It asserts that they were purchase and sale transactions, in which both Merrill and the client were principals. Further, Merrill denies that Mr. Cooper or the proposed class members suffered any losses. In response, the plaintiff says that any "loss" to the class members is irrelevant. Under agency law, the appropriate measure of damages is the agent's secret profit or commissions arising from the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Merrill says that its agreements with its clients were made partly orally, partly in writing, partly by conduct, and partly by custom and usage. In its statement of defence, it asserts that those agreements contained the following express or implied terms: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securities transactions were subject to the rules governing the exchanges or markets and clearing house where the orders were executed, including the requirement to settle transactions in the currency in which the security was quoted on that exchange or market;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Merrill maintained accounts for the plaintiff denominated in either US dollars or Canadian dollars and only funds denominated in those currencies could be deposited in those accounts;</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Merrill and its client regarding any amounts due to or from the client arising from the purchase or sale of securities in the accounts was one of debtor and creditor;</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converting currency, Merrill could act as principal;</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Merrill converted currency on the Trade Date, unless otherwise agreed, and bore the risk of foreign currency fluctuations between the Trade Date and the Settlement Date [usually three business days later];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conversion rates could be agreed at the time of the trade, or they were as published or as "reasonably determined in the discretion" of Merrill and confirmed in the trade confirmation slip;</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function of converting currency was separate from the function of trading in securities;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Clients were expected to examine their monthly Account statements immediately upon receipt and notify Merrill in writing of any errors in or objections to the statements;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such notification, the information and balances shown in those statements was accepted by the clients and Merrill was released from all claims in relation to the statement and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result of the mechanics of trades in foreign securities, Merrill says that at the time of any particular trade requiring a foreign currency conversion, its advisors could not possibly tell the client what Merrill's costs would be for that currency because its costs depended on future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Merrill says it purchased and sold currencies for several purposes, including:</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foreign currencies available to sell to clients;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hedging the risk of other currency positions held by Merrill;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investing in a currency for its own account with the intention of earning a trading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to its currency transactions, Merrill says that it purchased and sold currencies in the wholesale market. It describes the process as follows: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market for currencies is the largest market in the world;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numerous domestic and international market participants who are, for the most part, financial institutions;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Merrill had the ability to access the interbank market;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Single market participants, such as Merrill, tended to develop relationships with a small number of other market participants who would be asked to bid on any particular currency transaction;</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Currency prices fluctuate constantly and the fluctuations can be very large;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most important factors involved in setting market rates is the size of the currency transaction in question. Merrill would receive a less favourable price for a smaller transaction than it did for a larger transaction; and</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publicly quoted "spot rate" was not available to retail investors, such as Merrill's clients. Large financial institutions have access to markets that are unavailable to ordinary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Merrill points to a specific period of time between 1997 and 1999 for the proposition that the currency market may move several hundred basis points in a single day, the plaintiff's response is that large day to day fluctuations of Canadian dollar rarely occurred during that period. In any event, Merrill's use of its global inventory of money from other clients offsets any risk arising from such fluctuations. The plaintiff points out that the 2.5% spread applied on the bookkeeping exercise of moving funds from one client to another "vastly swamped" any temporary volatility, and is consistent with its assertion that the currency trading scheme was designed to make a profit. In any event, Merrill satisfied its currency requirements from its own inventory and not the worldwide currency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Merrill notes that it pooled its foreign currencies. As a result, it is unable to determine the purpose for which a particular quantity of currency was purchased; when it was purchased; or what it cost Merrill to purchase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Merrill describes the following process for setting the exchange rates:</w:t>
      </w:r>
      <w:r>
        <w:rPr>
          <w:rFonts w:ascii="arial" w:eastAsia="arial" w:hAnsi="arial" w:cs="arial"/>
          <w:sz w:val="20"/>
          <w:lang w:val="en-US" w:eastAsia="en-US" w:bidi="ar-SA"/>
        </w:rPr>
        <w:cr/>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Trades were processed electronically. Investment dealers contracted with one of two established service providers in Canada. Merrill used ISM, a subsidiary of IBM.</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each trading day ISM would obtain an estimate of the average exchange rate for the day and enter that as the base rate for the day. That base rate, together with whatever spread an investment dealer asked to have added, would automatically be applied to trades;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Overnight, ISM would process all of the trading information and deliver reports to each investment dealer, including reports which allowed each investment dealer to determine which trades had occurred that required a foreign currency conversion; and</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investment dealer could then review and process the information provided by ISM and decide how to cover the foreign currency needs created by the relevant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each trading date, Merrill sold the necessary currency to the relevant clients at the price set for that date through the ISM system - sometimes at a profit; sometimes at a loss. The currency trader was never informed of each individual currency need. The day after the trade date, the trader was informed of the net position to be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Merrill says that the currency cost to each client would have been higher if it had established a system to cover each client's currency needs on an agency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Merrill asserts that it offered its clients the service of meeting their foreign currency needs at a rate that represented a reasonable mark-up over a quoted approximation of the market rate. It describes that mark-up as proportionate to industry practice, to the value of the service provided, and to the risk of currency fluctuation which Merrill assumed when it fixed the currency transaction rate with the client in advance of the date when a settlement payment would be required in a foreign currency.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Merrill says that its clients generally, and the plaintiff specifically, should have been aware, and were in fact aware, of the manner in which it set currency conversion rates. Further, they were given confirmation of the currency rates in written confirmation slips for each transaction and in account statements for each reporting period. They could not have obtained more favourable currency conversion rates than they received from Merrill.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Scott, who was Mr. Cooper's advisor, has deposed that he believed that clients generally, and Mr. Cooper specifically, understood that there would be a cost incurred by anyone converting funds through any financial institution. He asserts that it was his practice to advise clients intending to trade in US securities to open a US denominated account because "if they used a Canadian denominated account to purchase US securities they would have to pay Merrill Lynch a foreign currency spread on every transaction". Mr. Cooper was cross-examined on his affidavit. He stated that he did not recall questioning Mr. Scott about currency conversion rates. Perhaps significantly, he was not asked whether Mr. Scott gave him any advice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the plaintiff's position that Mr. Scott and Merrill's other advisors had no understanding of the currency exchange process. Even if there was a discussion in some cases of a "spread", that discussion would not fulfill the agency obligations of the advisor to disclose all of the relevant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Merrill denies that it acted as agent on any currency trades. It asserts that it had no duty precluding it from acting as principal in currency transactions or from applying currency conversion rates which included a mark-up. Merrill agrees that, when purchasing foreign currency on behalf of a client, a financial institution is acting as an agent on behalf of its principal. However, when selling its own currency to a client, it says the financial institution deals with that client on a principal to principal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Merrill emphasizes the distinction between discount investment dealers (such as TD Waterhouse Investor Services (Canada) ("TD") in the case of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and full service investment dealers such as Merrill. The former are generally "order takers" who have no obligation to know their clients' circumstances or offer suitable advice. In contrast, full service investment dealers often develop very intimate relationships with their clients. Those advisors employ industry prescribed forms which set out the relevant circumstances that can be relevant to an investment, such as client income level, security of employment, net worth, extent of family obligations, retirement plans, health concerns, investing sophistication, and personal tolerance for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Merrill points out that each relationship between a client and an investment dealer is unique and depends on factors such as the personalities of the client and advisor, how they communicate and the duration of the relationship. In some cases, there may be a minimal relationship between a client and his or her advisor. While the relationship is not necessarily a fiduciary one, it may become one in some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disputes Merrill's assertion that clients were routinely told about any commissions or spreads being taken on the foreign currency portion of their transaction, and says there is no evidence that clients were routinely advised of any possibility of negotiating a better exchange rate. Indeed, the plaintiff contends that Merrill's investment advisors did not understand the currency exchange process. Further, there is no evidence that Merrill's investment advisors provided more information about currency exchange than TD's brokers did. Similarly, there is no evidence that the TD advisers in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did not or could not provide information on currency exchange. There is simply no evidence of verbal communications of the detailed character sufficient to satisfy the agent's stringent disclosure requirements. The extent of disclosure necessary to satisfy the legal requirements of the agency relationship is, the plaintiff says, an important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 the result in Scott determinative, or is it distinguishable from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the plaintiffs' action against TD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unjust enrichment was certified as a class proceeding. There are obvious similarities and some differences between the facts in this case and those in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There, the plaintiffs alleged that TD made an undisclosed profit when it set the foreign exchange rate on trades and that, as their agent, TD was not entitled to make a profit unless it had provided full disclosure and obtained their clients' consent to the profit. In response, TD argued that it acted as principal and its only obligation was to set reasonable rates. It asserted that it met all disclosure requirements by disclosing the rate to its clients on their account statements. It took the position that it was entitled to add a point spread to both the bid and the ask price on the interbank spot market rate because the gap between the trade and settlement dates created a monetary risk to them. The spread permitted them to manage that risk and cover the cost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TD opposed certification. It submitted there, as Merrill does here, that the litigation would involve the individual assessment of each client's knowledge of the rate and the individual trades conducted -- a process that would be a "monster of complexity". In a cost-benefit analysis, the costs would outweigh the benefits because of the small amount of money involved in each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Madam Justice Martinson held that the exact nature and extent of the individual issues could not be determined until after the common issues trial was concluded. In the circumstances, a class proceeding was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decision was appealed but was settled "on the courthouse steps." The plaintiff points out that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remains good law and exemplifies the principle that the predominance of individual issues is not fatal to certification. There, TD had argued that certification should be refused because the claims of the class were so inherently individual. Further, each claim would depend on each investor's individual trading history, over-all relationship with the defendants, sophistication and knowledge and the details of the specific transaction. There, as here, the defendant argued that any duties from the broker to the client depended on the particular relationship; each member would have to prove not only a failure to disclose by the broker but a lack of knowledge on the part of the client. TD had argued that its clients had varying degrees of experience and knowledge with respect to foreign currency conversions. Further, the determination of issues relating to damages, the reasonableness of exchange rates, and any profit made by the defendant were specific to each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Counsel for Merrill asserts that the facts in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are distinguishable. There, the transactions occurred in the "standardized environment" of a discount brokerage which, by definition, does not provide advice to its clients. On the other hand, Merrill was a full service advisor characterized by "individualized, advice-driven communications and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Nevertheless, the plaintiff points out that while the full service advisors at Merrill may well have had more extensive discussions about securities transactions than the brokers at TD, there is no evidence (other than that of Mr. Scott) that there were more extensive discussions about currency conversions. Indeed, the plaintiff asserts that Merrill's investment advisors had little or no knowledge regarding securities related currency exchanges. Further, it says that the same securities regulations laws apply to all brokers and financial advisors.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Despite the distinction between the full service vs. discount broker models, virtually identical arguments with respect to common issues, preferability, etc. were raised and rejected in </w:t>
      </w:r>
      <w:r>
        <w:rPr>
          <w:rFonts w:ascii="arial" w:eastAsia="arial" w:hAnsi="arial" w:cs="arial"/>
          <w:b/>
          <w:i/>
          <w:color w:val="000000"/>
          <w:sz w:val="20"/>
          <w:lang w:val="en-US" w:eastAsia="en-US" w:bidi="ar-SA"/>
        </w:rPr>
        <w:t>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any event, the similarities or differences between this case and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are not determinative of the issues here. Since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was decided in September 2001, there have been numerous certification cases in this Court, our Court of Appeal and the Supreme Court of Canada (</w:t>
      </w:r>
      <w:r>
        <w:rPr>
          <w:rFonts w:ascii="arial" w:eastAsia="arial" w:hAnsi="arial" w:cs="arial"/>
          <w:b/>
          <w:i/>
          <w:color w:val="000000"/>
          <w:sz w:val="20"/>
          <w:lang w:val="en-US" w:eastAsia="en-US" w:bidi="ar-SA"/>
        </w:rPr>
        <w:t>Hollick v. Toronto,</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 Rumley v. British Columbia</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Rumley"</w:t>
      </w:r>
      <w:r>
        <w:rPr>
          <w:rFonts w:ascii="arial" w:eastAsia="arial" w:hAnsi="arial" w:cs="arial"/>
          <w:color w:val="000000"/>
          <w:sz w:val="20"/>
          <w:lang w:val="en-US" w:eastAsia="en-US" w:bidi="ar-SA"/>
        </w:rPr>
        <w:t xml:space="preserve">)) which have further refined the issues that arise in class proceedings. As certification of class actions in British Columbia dates only from 1995 when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was introduced, the law in this area continues to evolve.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Has the plaintiff met the test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onus of meeting the certification requirements is on the plaintiff. Section 4(1)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provides that certification is mandatory if all of the following requirements are met:</w:t>
      </w:r>
      <w:r>
        <w:rPr>
          <w:rFonts w:ascii="arial" w:eastAsia="arial" w:hAnsi="arial" w:cs="arial"/>
          <w:sz w:val="20"/>
          <w:lang w:val="en-US" w:eastAsia="en-US" w:bidi="ar-SA"/>
        </w:rPr>
        <w:cr/>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two or more persons;</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4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thrust of the defendant's opposition to certification focuses on whether a class proceeding would be the preferable procedure to determine the claims identified by the plaintiff. However, Merrill also makes submissions on most of the other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 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It is common ground that the test under s. 4(1)(a)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to determine whether there is a cause of action is the same as the "plain and obvious" test under Rule 19(24)(a) of the Supreme Court Rules on an application to dismiss a claim on the basis that it discloses no cause of action. The threshold is a low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asserts that the causes of action sound in contract, in unjust enrichment and in breach of the duties owed by an agent to his principal in general, and by a broker to his client in particular. The IDA regulation 200.1(h) and rules 36(1) and (2)(d) and (h) of the </w:t>
      </w:r>
      <w:r>
        <w:rPr>
          <w:rFonts w:ascii="arial" w:eastAsia="arial" w:hAnsi="arial" w:cs="arial"/>
          <w:i/>
          <w:color w:val="000000"/>
          <w:sz w:val="20"/>
          <w:lang w:val="en-US" w:eastAsia="en-US" w:bidi="ar-SA"/>
        </w:rPr>
        <w:t>Securities Rules</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B.C. Reg. 194/97</w:t>
        </w:r>
      </w:hyperlink>
      <w:r>
        <w:rPr>
          <w:rFonts w:ascii="arial" w:eastAsia="arial" w:hAnsi="arial" w:cs="arial"/>
          <w:color w:val="000000"/>
          <w:sz w:val="20"/>
          <w:lang w:val="en-US" w:eastAsia="en-US" w:bidi="ar-SA"/>
        </w:rPr>
        <w:t>, require the broker to disclose in writing the commission charged "in respect of the trade" and whether the broker acted as principal or agent. The plaintiff says that such obligations have been breached, establishing the lack of any juristic reason as required to succeed in its unjust enrichment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Merrill concedes that the statement of claim discloses a cause of action, although it asserts that it is "plain and obvious" that the allegations of regulatory breaches cannot succeed as causes of action. The regulations apply only to trades in securities and not to selling currency.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submits that obtaining or selling the appropriate currency is an integral part of the trade in the security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conclude that it is not plain and obvious that the plaintiff's allegations of regulatory breaches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 Is there an identifiable class of two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proposed class is: "all clients of Merrill resident in British Columbia who conducted securities trades through Merrill from July 19, 1996 to December 31, 2001 [when Merrill left the retail securities market] that included a foreign exchange transaction". The plaintiff estimates that the potential class is 15,554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Merrill does not dispute the fact that there is an identifiable class of two or more persons.</w:t>
      </w:r>
      <w:r>
        <w:rPr>
          <w:rFonts w:ascii="arial" w:eastAsia="arial" w:hAnsi="arial" w:cs="arial"/>
          <w:sz w:val="20"/>
          <w:lang w:val="en-US" w:eastAsia="en-US" w:bidi="ar-SA"/>
        </w:rPr>
        <w:cr/>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Do the claims raise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Section 1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defines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"common issues" means</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fact, or</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law that arise from common but not necessarily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will set out the common issues that the plaintiff seeks to certify, together with Merrill's responses:</w:t>
      </w:r>
      <w:r>
        <w:rPr>
          <w:rFonts w:ascii="arial" w:eastAsia="arial" w:hAnsi="arial" w:cs="arial"/>
          <w:sz w:val="20"/>
          <w:lang w:val="en-US" w:eastAsia="en-US" w:bidi="ar-SA"/>
        </w:rPr>
        <w:cr/>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What is the nature of the relationship created between Merrill and the class members as a result of Merrill's written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Merrill notes that there are numerous written agreements, some of which are with Merrill's predecessors. However, nothing in the written contracts indicates whether Merrill acted as principal or agent on currency transactions. The "contract" is an evolving relationship, partly written, partly oral and partly by conduct, unique to each advisor-client relationship. That is true, but it is the basic written agreements that established the relationship in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significance of the written contracts is, in the opinion of the plaintiff, that they clearly establish an agency relationship and they are silent on Merrill's right to a hidden commission on the currency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relationship between Merrill and its clients is one of the core common issues in this case. It its pleadings, Merrill has denied that it acted as agent in the currency conversions. I conclude that this is an appropriate common issue.</w:t>
      </w:r>
      <w:r>
        <w:rPr>
          <w:rFonts w:ascii="arial" w:eastAsia="arial" w:hAnsi="arial" w:cs="arial"/>
          <w:sz w:val="20"/>
          <w:lang w:val="en-US" w:eastAsia="en-US" w:bidi="ar-SA"/>
        </w:rPr>
        <w:cr/>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What are the express or implied terms of the contract relating to the setting of the foreign exchange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Merrill says that implied terms cannot be dealt with on a class-wide basis; they must be determined in the context of the circumstances of each contract. Counsel cite </w:t>
      </w:r>
      <w:r>
        <w:rPr>
          <w:rFonts w:ascii="arial" w:eastAsia="arial" w:hAnsi="arial" w:cs="arial"/>
          <w:b/>
          <w:i/>
          <w:color w:val="000000"/>
          <w:sz w:val="20"/>
          <w:lang w:val="en-US" w:eastAsia="en-US" w:bidi="ar-SA"/>
        </w:rPr>
        <w:t>Macleod v. Viacom</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(2003), 28 C.P.C. (5th) 160</w:t>
        </w:r>
      </w:hyperlink>
      <w:r>
        <w:rPr>
          <w:rFonts w:ascii="arial" w:eastAsia="arial" w:hAnsi="arial" w:cs="arial"/>
          <w:color w:val="000000"/>
          <w:sz w:val="20"/>
          <w:lang w:val="en-US" w:eastAsia="en-US" w:bidi="ar-SA"/>
        </w:rPr>
        <w:t xml:space="preserve"> (Ont. Sup. Ct.) at para. 24 ("</w:t>
      </w:r>
      <w:r>
        <w:rPr>
          <w:rFonts w:ascii="arial" w:eastAsia="arial" w:hAnsi="arial" w:cs="arial"/>
          <w:b/>
          <w:i/>
          <w:color w:val="000000"/>
          <w:sz w:val="20"/>
          <w:lang w:val="en-US" w:eastAsia="en-US" w:bidi="ar-SA"/>
        </w:rPr>
        <w:t>Macleod</w:t>
      </w:r>
      <w:r>
        <w:rPr>
          <w:rFonts w:ascii="arial" w:eastAsia="arial" w:hAnsi="arial" w:cs="arial"/>
          <w:color w:val="000000"/>
          <w:sz w:val="20"/>
          <w:lang w:val="en-US" w:eastAsia="en-US" w:bidi="ar-SA"/>
        </w:rPr>
        <w:t>") which dealt with the question of the existence of alleged implied contractual terms relating to late fees or replacement fees for video rentals: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whether such a term should be implied must depend on the manner, and degree, of disclosure to each member of the fees the defendant intended to charge and it may, indeed, be affected by "Who said what to whom, and when" as well as the member's past experience of renting videos from the defendants or, perhaps, from other retail outlets. I do not accept the proposition that the issue could be determined solely from evidence of general practices adopted by the defendants without regard to the knowledge and understanding of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Merrill also cites </w:t>
      </w:r>
      <w:r>
        <w:rPr>
          <w:rFonts w:ascii="arial" w:eastAsia="arial" w:hAnsi="arial" w:cs="arial"/>
          <w:b/>
          <w:i/>
          <w:color w:val="000000"/>
          <w:sz w:val="20"/>
          <w:lang w:val="en-US" w:eastAsia="en-US" w:bidi="ar-SA"/>
        </w:rPr>
        <w:t>Arabi v. Toronto-Dominion Bank</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[2006] O.J. No. 2072</w:t>
        </w:r>
      </w:hyperlink>
      <w:r>
        <w:rPr>
          <w:rFonts w:ascii="arial" w:eastAsia="arial" w:hAnsi="arial" w:cs="arial"/>
          <w:color w:val="000000"/>
          <w:sz w:val="20"/>
          <w:lang w:val="en-US" w:eastAsia="en-US" w:bidi="ar-SA"/>
        </w:rPr>
        <w:t xml:space="preserve"> (Sup. Ct.) for the proposition that courts have held it inappropriate to certify an action on the existence of an implied term because such terms depend on the circumstances of each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However, the plaintiff points out that neither </w:t>
      </w:r>
      <w:r>
        <w:rPr>
          <w:rFonts w:ascii="arial" w:eastAsia="arial" w:hAnsi="arial" w:cs="arial"/>
          <w:b/>
          <w:i/>
          <w:color w:val="000000"/>
          <w:sz w:val="20"/>
          <w:lang w:val="en-US" w:eastAsia="en-US" w:bidi="ar-SA"/>
        </w:rPr>
        <w:t>MacLeod</w:t>
      </w:r>
      <w:r>
        <w:rPr>
          <w:rFonts w:ascii="arial" w:eastAsia="arial" w:hAnsi="arial" w:cs="arial"/>
          <w:color w:val="000000"/>
          <w:sz w:val="20"/>
          <w:lang w:val="en-US" w:eastAsia="en-US" w:bidi="ar-SA"/>
        </w:rPr>
        <w:t xml:space="preserve"> nor </w:t>
      </w:r>
      <w:r>
        <w:rPr>
          <w:rFonts w:ascii="arial" w:eastAsia="arial" w:hAnsi="arial" w:cs="arial"/>
          <w:b/>
          <w:i/>
          <w:color w:val="000000"/>
          <w:sz w:val="20"/>
          <w:lang w:val="en-US" w:eastAsia="en-US" w:bidi="ar-SA"/>
        </w:rPr>
        <w:t>Arabi</w:t>
      </w:r>
      <w:r>
        <w:rPr>
          <w:rFonts w:ascii="arial" w:eastAsia="arial" w:hAnsi="arial" w:cs="arial"/>
          <w:color w:val="000000"/>
          <w:sz w:val="20"/>
          <w:lang w:val="en-US" w:eastAsia="en-US" w:bidi="ar-SA"/>
        </w:rPr>
        <w:t xml:space="preserve"> deal with agency issues. In contrast, the relevant terms in this case are imposed by agency law. In any event, in </w:t>
      </w:r>
      <w:r>
        <w:rPr>
          <w:rFonts w:ascii="arial" w:eastAsia="arial" w:hAnsi="arial" w:cs="arial"/>
          <w:b/>
          <w:i/>
          <w:color w:val="000000"/>
          <w:sz w:val="20"/>
          <w:lang w:val="en-US" w:eastAsia="en-US" w:bidi="ar-SA"/>
        </w:rPr>
        <w:t>Collette v. Great Pacific Management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[2004] B.C.J. No. 381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2004 BCCA 110</w:t>
      </w:r>
      <w:r>
        <w:rPr>
          <w:rFonts w:ascii="arial" w:eastAsia="arial" w:hAnsi="arial" w:cs="arial"/>
          <w:color w:val="000000"/>
          <w:sz w:val="20"/>
          <w:lang w:val="en-US" w:eastAsia="en-US" w:bidi="ar-SA"/>
        </w:rPr>
        <w:t xml:space="preserve">, leave to appeal to S.C.C. refused, </w:t>
      </w:r>
      <w:hyperlink r:id="rId198" w:history="1">
        <w:r>
          <w:rPr>
            <w:rFonts w:ascii="arial" w:eastAsia="arial" w:hAnsi="arial" w:cs="arial"/>
            <w:i/>
            <w:color w:val="0077CC"/>
            <w:sz w:val="20"/>
            <w:u w:val="single"/>
            <w:shd w:val="clear" w:color="auto" w:fill="FFFFFF"/>
            <w:lang w:val="en-US" w:eastAsia="en-US" w:bidi="ar-SA"/>
          </w:rPr>
          <w:t>[2004] S.C.C.A. No. 174</w:t>
        </w:r>
      </w:hyperlink>
      <w:r>
        <w:rPr>
          <w:rFonts w:ascii="arial" w:eastAsia="arial" w:hAnsi="arial" w:cs="arial"/>
          <w:color w:val="000000"/>
          <w:sz w:val="20"/>
          <w:lang w:val="en-US" w:eastAsia="en-US" w:bidi="ar-SA"/>
        </w:rPr>
        <w:t>, our Court of Appeal certified a case where the defendant had argued that individual inquires into specific contracts between financial advisors or mortgage brokers and their clients were necessary to determine whether the alleged implied contractual terms existed</w:t>
      </w:r>
      <w:r>
        <w:rPr>
          <w:rFonts w:ascii="arial" w:eastAsia="arial" w:hAnsi="arial" w:cs="arial"/>
          <w:b/>
          <w:i/>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conclude that this is an appropriate common issue for determination.</w:t>
      </w:r>
      <w:r>
        <w:rPr>
          <w:rFonts w:ascii="arial" w:eastAsia="arial" w:hAnsi="arial" w:cs="arial"/>
          <w:sz w:val="20"/>
          <w:lang w:val="en-US" w:eastAsia="en-US" w:bidi="ar-SA"/>
        </w:rPr>
        <w:cr/>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What are the regulatory duties owed by Merrill relating to the setting of the foreign exchange rate? How, if at all, are the contractual rights and obligations affected by the regulatory duties that apply to Merrill?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Merrill takes the view that there is no cause of action with respect to alleged regulatory duties, which it says apply only to sales of securities and not to sales of currencies.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I indicated above, this is an appropriate issue to be dealt with as a common issue.</w:t>
      </w:r>
      <w:r>
        <w:rPr>
          <w:rFonts w:ascii="arial" w:eastAsia="arial" w:hAnsi="arial" w:cs="arial"/>
          <w:sz w:val="20"/>
          <w:lang w:val="en-US" w:eastAsia="en-US" w:bidi="ar-SA"/>
        </w:rPr>
        <w:cr/>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What are the industry customs or practices relating to the setting of foreign exchange rates? How, if at all, are the contractual rights and obligations affected by industry custom or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Merrill's position is that this issue cannot be determined separately from the individual issue of whether the client knew of the practice. Whether or not the issue can be determined separately is a disputed matter. That is a common issue and should be resolved as such.</w:t>
      </w:r>
      <w:r>
        <w:rPr>
          <w:rFonts w:ascii="arial" w:eastAsia="arial" w:hAnsi="arial" w:cs="arial"/>
          <w:sz w:val="20"/>
          <w:lang w:val="en-US" w:eastAsia="en-US" w:bidi="ar-SA"/>
        </w:rPr>
        <w:cr/>
      </w:r>
    </w:p>
    <w:p>
      <w:pPr>
        <w:numPr>
          <w:numId w:val="5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What methods did Merrill use to set its foreign exchange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Merrill suggests that this is not a complex or disputed issue. ISM set a base rate each day and processed all trades using that base rate and the spreads designated by Merrill.</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What revenue was obtained by Merrill from the foreign exchange transactions it performed for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Merrill says this is not a common issue because frequently it would have lost money on foreign exchange transactions with retail clients. However, the plaintiff seeks to determine the global revenue or profit made by Merrill, rather than an examination of each particular transaction.</w:t>
      </w:r>
      <w:r>
        <w:rPr>
          <w:rFonts w:ascii="arial" w:eastAsia="arial" w:hAnsi="arial" w:cs="arial"/>
          <w:sz w:val="20"/>
          <w:lang w:val="en-US" w:eastAsia="en-US" w:bidi="ar-SA"/>
        </w:rPr>
        <w:cr/>
      </w:r>
    </w:p>
    <w:p>
      <w:pPr>
        <w:numPr>
          <w:numId w:val="5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Are the methods used to set the foreign exchange rates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Merrill says this inquiry is simply resolved by the fact that (1) the prices charged to the clients were better than the clients could have received elsewhere, and (2) Merrill provided a service and accepted a risk to the benefit of its clients. In my view, this response is more of a position on the merits (or lack thereof) of the case than a response to the question of whether it is a suitable common issue.</w:t>
      </w:r>
      <w:r>
        <w:rPr>
          <w:rFonts w:ascii="arial" w:eastAsia="arial" w:hAnsi="arial" w:cs="arial"/>
          <w:sz w:val="20"/>
          <w:lang w:val="en-US" w:eastAsia="en-US" w:bidi="ar-SA"/>
        </w:rPr>
        <w:cr/>
      </w:r>
    </w:p>
    <w:p>
      <w:pPr>
        <w:numPr>
          <w:numId w:val="6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If it is relevant, when determining whether Merrill profited, how is profit 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Merrill asserts that while this issue may be relevant, the key issue is the need to calculate transaction-specific profits. Again, the plaintiff disagrees with that assertion.</w:t>
      </w:r>
      <w:r>
        <w:rPr>
          <w:rFonts w:ascii="arial" w:eastAsia="arial" w:hAnsi="arial" w:cs="arial"/>
          <w:sz w:val="20"/>
          <w:lang w:val="en-US" w:eastAsia="en-US" w:bidi="ar-SA"/>
        </w:rPr>
        <w:cr/>
      </w:r>
    </w:p>
    <w:p>
      <w:pPr>
        <w:numPr>
          <w:numId w:val="6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If there are disclosure duties as alleged, who has the onus of proving that there was disclosure and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Merrill's position on this issue is that determining this admittedly common issue would be a relatively insignificant enterprise, compared with exploring what was disclosed to, and understood by, each client.</w:t>
      </w:r>
      <w:r>
        <w:rPr>
          <w:rFonts w:ascii="arial" w:eastAsia="arial" w:hAnsi="arial" w:cs="arial"/>
          <w:sz w:val="20"/>
          <w:lang w:val="en-US" w:eastAsia="en-US" w:bidi="ar-SA"/>
        </w:rPr>
        <w:cr/>
      </w:r>
    </w:p>
    <w:p>
      <w:pPr>
        <w:numPr>
          <w:numId w:val="6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Does providing the rate in the account statement meet the disclosure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Merrill suggests that although this issue is framed as a common issue, the common element is inter-related with individual circumstances. If a client had been expressly told by his or her advisor that Merrill was selling the needed currency at a rate which included a spread, or even if the client simply understood that reality from the context, then confirmation of the price, whether in the trade confirmation or the account statement, would be sufficient. For a client who was in a fiduciary relationship with the firm and who misunderstood the basis of the currency transaction, the answer might be different.</w:t>
      </w:r>
      <w:r>
        <w:rPr>
          <w:rFonts w:ascii="arial" w:eastAsia="arial" w:hAnsi="arial" w:cs="arial"/>
          <w:sz w:val="20"/>
          <w:lang w:val="en-US" w:eastAsia="en-US" w:bidi="ar-SA"/>
        </w:rPr>
        <w:cr/>
      </w:r>
    </w:p>
    <w:p>
      <w:pPr>
        <w:numPr>
          <w:numId w:val="6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What is the significance of [the client's] knowledge to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 says this is a question that must be decided in a factual context and not in the abstract. Each client can be expected to have a different state of knowledge depending on representations made, reliance, prior knowledge,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Generally, it is Merrill's position that the proposed common issues are either of trivial importance or they are inseparable from the individual inquiries that must be made. It concedes that it is possible to formulate common issues in any action but emphasizes that they must have substance, apply to everyone in the class, and move the case forward. The plaintiff points out that virtually the same common issues were certified in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However, Merrill argues that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is distinguishable. Because TD was a discount brokerage firm, there was no meaningful relationship between brokers and their clients. In contrast, it says the individual discussions and relationships between Merrill's advisors and their clients are at the heart of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defendant also cautions that common issues should be defined on this certification motion rather than by the judge who hears the common issues trial: </w:t>
      </w:r>
      <w:r>
        <w:rPr>
          <w:rFonts w:ascii="arial" w:eastAsia="arial" w:hAnsi="arial" w:cs="arial"/>
          <w:b/>
          <w:i/>
          <w:color w:val="000000"/>
          <w:sz w:val="20"/>
          <w:lang w:val="en-US" w:eastAsia="en-US" w:bidi="ar-SA"/>
        </w:rPr>
        <w:t>Caputo v. Imperial Tobacco Ltd.</w:t>
      </w:r>
      <w:hyperlink r:id="rId199" w:history="1">
        <w:r>
          <w:rPr>
            <w:rFonts w:ascii="arial" w:eastAsia="arial" w:hAnsi="arial" w:cs="arial"/>
            <w:i/>
            <w:color w:val="0077CC"/>
            <w:sz w:val="20"/>
            <w:u w:val="single"/>
            <w:shd w:val="clear" w:color="auto" w:fill="FFFFFF"/>
            <w:lang w:val="en-US" w:eastAsia="en-US" w:bidi="ar-SA"/>
          </w:rPr>
          <w:t>(2004), 236 D.L.R. (4th) 348</w:t>
        </w:r>
      </w:hyperlink>
      <w:r>
        <w:rPr>
          <w:rFonts w:ascii="arial" w:eastAsia="arial" w:hAnsi="arial" w:cs="arial"/>
          <w:color w:val="000000"/>
          <w:sz w:val="20"/>
          <w:lang w:val="en-US" w:eastAsia="en-US" w:bidi="ar-SA"/>
        </w:rPr>
        <w:t xml:space="preserve"> (Ont. Sup. Ct.) at para. 56 ("</w:t>
      </w:r>
      <w:r>
        <w:rPr>
          <w:rFonts w:ascii="arial" w:eastAsia="arial" w:hAnsi="arial" w:cs="arial"/>
          <w:b/>
          <w:i/>
          <w:color w:val="000000"/>
          <w:sz w:val="20"/>
          <w:lang w:val="en-US" w:eastAsia="en-US" w:bidi="ar-SA"/>
        </w:rPr>
        <w:t>Caputo</w:t>
      </w:r>
      <w:r>
        <w:rPr>
          <w:rFonts w:ascii="arial" w:eastAsia="arial" w:hAnsi="arial" w:cs="arial"/>
          <w:color w:val="000000"/>
          <w:sz w:val="20"/>
          <w:lang w:val="en-US" w:eastAsia="en-US" w:bidi="ar-SA"/>
        </w:rPr>
        <w:t>"). Here, Merrill says, the plaintiff is attempting to defer to the common issues trial the questions as to (1) whether it is relevant to determine how "profit" by Merrill might be calculated and (2) the significance of the "knowledge" of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defendant emphasizes the distinction between common causes of action and common issues. In </w:t>
      </w:r>
      <w:r>
        <w:rPr>
          <w:rFonts w:ascii="arial" w:eastAsia="arial" w:hAnsi="arial" w:cs="arial"/>
          <w:b/>
          <w:i/>
          <w:color w:val="000000"/>
          <w:sz w:val="20"/>
          <w:lang w:val="en-US" w:eastAsia="en-US" w:bidi="ar-SA"/>
        </w:rPr>
        <w:t>Williams v. Mutual Life Assurance Company of Canada</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(2000), 51 O.R. (3d) 54</w:t>
        </w:r>
      </w:hyperlink>
      <w:r>
        <w:rPr>
          <w:rFonts w:ascii="arial" w:eastAsia="arial" w:hAnsi="arial" w:cs="arial"/>
          <w:color w:val="000000"/>
          <w:sz w:val="20"/>
          <w:lang w:val="en-US" w:eastAsia="en-US" w:bidi="ar-SA"/>
        </w:rPr>
        <w:t xml:space="preserve"> (Sup. Ct.), aff'd </w:t>
      </w:r>
      <w:r>
        <w:rPr>
          <w:rFonts w:ascii="arial" w:eastAsia="arial" w:hAnsi="arial" w:cs="arial"/>
          <w:i/>
          <w:color w:val="000000"/>
          <w:sz w:val="20"/>
          <w:lang w:val="en-US" w:eastAsia="en-US" w:bidi="ar-SA"/>
        </w:rPr>
        <w:t>[2003] O.J. No. 1160</w:t>
      </w:r>
      <w:r>
        <w:rPr>
          <w:rFonts w:ascii="arial" w:eastAsia="arial" w:hAnsi="arial" w:cs="arial"/>
          <w:color w:val="000000"/>
          <w:sz w:val="20"/>
          <w:lang w:val="en-US" w:eastAsia="en-US" w:bidi="ar-SA"/>
        </w:rPr>
        <w:t xml:space="preserve"> (C.A.), the Court stated, at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causes of action are asserted by all class members. But the fact of the common cause of action does not in itself give rise to a common issue. A common issue cannot be dependent upon findings of fact which have to be made with respect to each individual claimant. While the theories of liability can be phrased commonly, the actual determination of liability for each class member can only be made upon an examination of unique circumstances with respect to each class member's purchase of a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Rumley</w:t>
      </w:r>
      <w:r>
        <w:rPr>
          <w:rFonts w:ascii="arial" w:eastAsia="arial" w:hAnsi="arial" w:cs="arial"/>
          <w:color w:val="000000"/>
          <w:sz w:val="20"/>
          <w:lang w:val="en-US" w:eastAsia="en-US" w:bidi="ar-SA"/>
        </w:rPr>
        <w:t>, at 200, Chief Justice McLachlin cautioned: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court should avoid framing commonality between class members in overly broad terms. As I discussed in </w:t>
      </w:r>
      <w:r>
        <w:rPr>
          <w:rFonts w:ascii="arial" w:eastAsia="arial" w:hAnsi="arial" w:cs="arial"/>
          <w:i/>
          <w:color w:val="000000"/>
          <w:sz w:val="20"/>
          <w:lang w:val="en-US" w:eastAsia="en-US" w:bidi="ar-SA"/>
        </w:rPr>
        <w:t>Western Canadian Shopping Centres, supra</w:t>
      </w:r>
      <w:r>
        <w:rPr>
          <w:rFonts w:ascii="arial" w:eastAsia="arial" w:hAnsi="arial" w:cs="arial"/>
          <w:color w:val="000000"/>
          <w:sz w:val="20"/>
          <w:lang w:val="en-US" w:eastAsia="en-US" w:bidi="ar-SA"/>
        </w:rPr>
        <w:t>, at para. 39, the guiding question should be the practical one of "whether allowing the suit to proceed as a representative one will avoid duplication of fact-finding or legal analysis". It would not serve the ends of either fairness or efficiency to certify an action on the basis of issues that are common only when stated in the most general terms. Inevitably, such an action would ultimately break down into individual proceedings. That the suit had been initially been certified as a class action would only make the proceedings less fair and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It is clear that common issues must be issues of fact or law that move the litigation forward; they do not need to be determinative of liability: </w:t>
      </w:r>
      <w:r>
        <w:rPr>
          <w:rFonts w:ascii="arial" w:eastAsia="arial" w:hAnsi="arial" w:cs="arial"/>
          <w:b/>
          <w:i/>
          <w:color w:val="000000"/>
          <w:sz w:val="20"/>
          <w:lang w:val="en-US" w:eastAsia="en-US" w:bidi="ar-SA"/>
        </w:rPr>
        <w:t>Campbell</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Flexwatt Corp.</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(C.A.) at 359, leave to appeal to S.C.C. refused, </w:t>
      </w:r>
      <w:hyperlink r:id="rId202" w:history="1">
        <w:r>
          <w:rPr>
            <w:rFonts w:ascii="arial" w:eastAsia="arial" w:hAnsi="arial" w:cs="arial"/>
            <w:i/>
            <w:color w:val="0077CC"/>
            <w:sz w:val="20"/>
            <w:u w:val="single"/>
            <w:shd w:val="clear" w:color="auto" w:fill="FFFFFF"/>
            <w:lang w:val="en-US" w:eastAsia="en-US" w:bidi="ar-SA"/>
          </w:rPr>
          <w:t>[1998] S.C.C.A. No. 13</w:t>
        </w:r>
      </w:hyperlink>
      <w:r>
        <w:rPr>
          <w:rFonts w:ascii="arial" w:eastAsia="arial" w:hAnsi="arial" w:cs="arial"/>
          <w:color w:val="000000"/>
          <w:sz w:val="20"/>
          <w:lang w:val="en-US" w:eastAsia="en-US" w:bidi="ar-SA"/>
        </w:rPr>
        <w:t xml:space="preserve">. However, to be a common issue, the issue must be a "substantial .... ingredient" of each of the class members' claims: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Supreme Court of Canada has stated that the common issues test must be approached purposively: </w:t>
      </w:r>
      <w:r>
        <w:rPr>
          <w:rFonts w:ascii="arial" w:eastAsia="arial" w:hAnsi="arial" w:cs="arial"/>
          <w:b/>
          <w:i/>
          <w:color w:val="000000"/>
          <w:sz w:val="20"/>
          <w:lang w:val="en-US" w:eastAsia="en-US" w:bidi="ar-SA"/>
        </w:rPr>
        <w:t>Western Canada Shopping Centres v. Dutton</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Commonality tests have been a source of confusion in the courts. The commonality question should be approached purposively. The underlying question is whether allowing the suit to proceed as a representative one will avoid duplication of fact-finding or legal analysis. Thus an issue will be "common" only where its resolution is necessary to the resolution of each class members' claim. It is not essential that the class members be identically situated vis-à-vis the opposing party. Nor is it necessary that common issues predominate over non-common issues or that the resolution of the common issues would be determinative of each class member's claim. However, the class members' claims must share a substantial common ingredient to justify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That test has been held to be a "low bar" and the issue of whether individual issues predominate over common issues is a matter for consideration in the preferability analysis: </w:t>
      </w:r>
      <w:r>
        <w:rPr>
          <w:rFonts w:ascii="arial" w:eastAsia="arial" w:hAnsi="arial" w:cs="arial"/>
          <w:b/>
          <w:i/>
          <w:color w:val="000000"/>
          <w:sz w:val="20"/>
          <w:lang w:val="en-US" w:eastAsia="en-US" w:bidi="ar-SA"/>
        </w:rPr>
        <w:t>M.C.C. v. Canada (Attorney General)</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(2004), 247 D.L.R. (4th) 667</w:t>
        </w:r>
      </w:hyperlink>
      <w:r>
        <w:rPr>
          <w:rFonts w:ascii="arial" w:eastAsia="arial" w:hAnsi="arial" w:cs="arial"/>
          <w:color w:val="000000"/>
          <w:sz w:val="20"/>
          <w:lang w:val="en-US" w:eastAsia="en-US" w:bidi="ar-SA"/>
        </w:rPr>
        <w:t xml:space="preserve"> (C.A.). In fact, in B.C., s. 4(1)(c)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excludes an examination of the possible predominance of individual issues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my opinion, there is merit to the plaintiff's observation that Merrill's criticism of the proposed common issues is largely based upon its view of the merits of the case. In my opinion, resolution of the common issues does not require an analysis of the individual circumstances of each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conclude that the common issues proposed by the plaintiff are appropriate, they will significantly advance the litigation, and they meet the criteria articulated by the Supreme Court of Canada in </w:t>
      </w:r>
      <w:r>
        <w:rPr>
          <w:rFonts w:ascii="arial" w:eastAsia="arial" w:hAnsi="arial" w:cs="arial"/>
          <w:b/>
          <w:i/>
          <w:color w:val="000000"/>
          <w:sz w:val="20"/>
          <w:lang w:val="en-US" w:eastAsia="en-US" w:bidi="ar-SA"/>
        </w:rPr>
        <w:t>Rumley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Western Canada Shopping Centres</w:t>
      </w:r>
      <w:r>
        <w:rPr>
          <w:rFonts w:ascii="arial" w:eastAsia="arial" w:hAnsi="arial" w:cs="arial"/>
          <w:color w:val="000000"/>
          <w:sz w:val="20"/>
          <w:lang w:val="en-US" w:eastAsia="en-US" w:bidi="ar-SA"/>
        </w:rPr>
        <w:t>. If the plaintiff accepts the defendant's response to (e) above, how the foreign exchange rates are set, then that need not be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 Is a class proceeding the preferable procedure for the fair and efficient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Section 4(2)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sets out the five factors that the Court must determine in considering this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(2) In determining whether a class proceeding would be the preferable procedure for the fair and efficient resolution of the common issues, the court must consider all relevant matters including the following:</w:t>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have discussed the common issues above. Merrill vigorously resists certification on the basis that individual issues predominate over those common issues. Accordingly, I will consider (a) last.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With respect to (b): there is no evidence that there are individuals who wish to pursue individual actions. Indeed, it would be uneconomic to do so and the complexity of any proceeding would be disproportionate to recovery in any single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respect to (c): plaintiff's counsel advises that no other litigation has been commenced with respect to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With respect to (d): the defendant refers to the statement of Cullity J. in </w:t>
      </w:r>
      <w:r>
        <w:rPr>
          <w:rFonts w:ascii="arial" w:eastAsia="arial" w:hAnsi="arial" w:cs="arial"/>
          <w:b/>
          <w:i/>
          <w:color w:val="000000"/>
          <w:sz w:val="20"/>
          <w:lang w:val="en-US" w:eastAsia="en-US" w:bidi="ar-SA"/>
        </w:rPr>
        <w:t>Ragoonanan v. Imperial Tobacco Canada Ltd.,</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[2005] O.J. No. 4697</w:t>
        </w:r>
      </w:hyperlink>
      <w:r>
        <w:rPr>
          <w:rFonts w:ascii="arial" w:eastAsia="arial" w:hAnsi="arial" w:cs="arial"/>
          <w:color w:val="000000"/>
          <w:sz w:val="20"/>
          <w:lang w:val="en-US" w:eastAsia="en-US" w:bidi="ar-SA"/>
        </w:rPr>
        <w:t xml:space="preserve"> (Sup. Ct.) at para. 77 ("</w:t>
      </w:r>
      <w:r>
        <w:rPr>
          <w:rFonts w:ascii="arial" w:eastAsia="arial" w:hAnsi="arial" w:cs="arial"/>
          <w:b/>
          <w:i/>
          <w:color w:val="000000"/>
          <w:sz w:val="20"/>
          <w:lang w:val="en-US" w:eastAsia="en-US" w:bidi="ar-SA"/>
        </w:rPr>
        <w:t>Ragoonanan</w:t>
      </w:r>
      <w:r>
        <w:rPr>
          <w:rFonts w:ascii="arial" w:eastAsia="arial" w:hAnsi="arial" w:cs="arial"/>
          <w:color w:val="000000"/>
          <w:sz w:val="20"/>
          <w:lang w:val="en-US" w:eastAsia="en-US" w:bidi="ar-SA"/>
        </w:rPr>
        <w:t xml:space="preserve">"), that it does not follow that "if individual actions would not be viable, an unworkable class proceeding must be considered to be a preferable procedure." Indeed, there is no onus on the defendant to show that there is a better way to resolve the common issues: </w:t>
      </w:r>
      <w:r>
        <w:rPr>
          <w:rFonts w:ascii="arial" w:eastAsia="arial" w:hAnsi="arial" w:cs="arial"/>
          <w:b/>
          <w:i/>
          <w:color w:val="000000"/>
          <w:sz w:val="20"/>
          <w:lang w:val="en-US" w:eastAsia="en-US" w:bidi="ar-SA"/>
        </w:rPr>
        <w:t>Gariepy</w:t>
      </w:r>
      <w:r>
        <w:rPr>
          <w:rFonts w:ascii="arial" w:eastAsia="arial" w:hAnsi="arial" w:cs="arial"/>
          <w:color w:val="000000"/>
          <w:sz w:val="20"/>
          <w:lang w:val="en-US" w:eastAsia="en-US" w:bidi="ar-SA"/>
        </w:rPr>
        <w:t>,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contrast to such Ontario cases as </w:t>
      </w:r>
      <w:r>
        <w:rPr>
          <w:rFonts w:ascii="arial" w:eastAsia="arial" w:hAnsi="arial" w:cs="arial"/>
          <w:b/>
          <w:i/>
          <w:color w:val="000000"/>
          <w:sz w:val="20"/>
          <w:lang w:val="en-US" w:eastAsia="en-US" w:bidi="ar-SA"/>
        </w:rPr>
        <w:t>Ragoonan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Gariepy,</w:t>
      </w:r>
      <w:r>
        <w:rPr>
          <w:rFonts w:ascii="arial" w:eastAsia="arial" w:hAnsi="arial" w:cs="arial"/>
          <w:color w:val="000000"/>
          <w:sz w:val="20"/>
          <w:lang w:val="en-US" w:eastAsia="en-US" w:bidi="ar-SA"/>
        </w:rPr>
        <w:t xml:space="preserve"> courts in British Columbia have taken a more liberal view of this issue. In </w:t>
      </w:r>
      <w:r>
        <w:rPr>
          <w:rFonts w:ascii="arial" w:eastAsia="arial" w:hAnsi="arial" w:cs="arial"/>
          <w:b/>
          <w:i/>
          <w:color w:val="000000"/>
          <w:sz w:val="20"/>
          <w:lang w:val="en-US" w:eastAsia="en-US" w:bidi="ar-SA"/>
        </w:rPr>
        <w:t>Harrington</w:t>
      </w:r>
      <w:r>
        <w:rPr>
          <w:rFonts w:ascii="arial" w:eastAsia="arial" w:hAnsi="arial" w:cs="arial"/>
          <w:color w:val="000000"/>
          <w:sz w:val="20"/>
          <w:lang w:val="en-US" w:eastAsia="en-US" w:bidi="ar-SA"/>
        </w:rPr>
        <w:t>, MacKenzie J. (as he then was) stated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proceedings will still remain the only practical and efficient means of resolution for women whose claims have modest damage potential and for whom separate proceedings would not be feasible. Greater difficulties would be experienced in administering separate proceedings for modest claims unless those claims were simply not pursued at all, which would defeat the whole purpose of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this case, there are no other means of resolution of the issues raised by the plaintiff that would be more economic or efficient. Merrill suggests that there could be a tribunal adjudication, but it would be determinative of only one case and there is no concession that a favourable resolution in one case would be applicable to any other cases. Indeed, it is most unlikely that Merrill would concede that their foreign exchange scheme was unfair on the basis of a single arbitration proceeding. Moreover, such a proceeding would be costly and a plaintiff would risk an adverse costs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With respect to (e): the individual claims are small and the litigation costs are high. The pursuit of a large number of individual claims would be impractical, uneconomic and contrary to the efficient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asserts that because the value of each claim would be approximately $88, a class proceeding is the only economic method of litigating those claims. The defendant's response is that the cost of resolving the individual issues would be prohibitive.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consider the remarks of Martinson J. in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compelling on this issue. After noting that the dollar value of each individual loss was small, she stated at paras. 145 and 146: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practical reality is that absent certification, the issues may go unresolved because of the relatively insignificant quantum of any individual claim. That would be unfair and should be discouraged when the claims in the aggregate are substantial: </w:t>
      </w:r>
      <w:r>
        <w:rPr>
          <w:rFonts w:ascii="arial" w:eastAsia="arial" w:hAnsi="arial" w:cs="arial"/>
          <w:b/>
          <w:i/>
          <w:color w:val="000000"/>
          <w:sz w:val="20"/>
          <w:lang w:val="en-US" w:eastAsia="en-US" w:bidi="ar-SA"/>
        </w:rPr>
        <w:t>Howard Estate v. British Columbia</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(1999), 66 B.C.L.R. (3d) 199</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legal arguments required and the factual basis underlying them are sophisticated. Experienced lawyers, as well as expert witnesses are needed. Individual class members would be unlikely to either want to, or be in a position to, retain these professionals. The class proceeding places the defendants and the class members on a more equal footing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my view, the factors enumerated in (b), (c), (d), and (e) are all neutral or supportive of certification. I will now return to (a) and discuss the defendant's submission that because the individual issues predominate over the common issues, a class proceeding is not the preferable procedure.</w:t>
      </w:r>
      <w:r>
        <w:rPr>
          <w:rFonts w:ascii="arial" w:eastAsia="arial" w:hAnsi="arial" w:cs="arial"/>
          <w:sz w:val="20"/>
          <w:lang w:val="en-US" w:eastAsia="en-US" w:bidi="ar-SA"/>
        </w:rPr>
        <w:cr/>
      </w:r>
    </w:p>
    <w:p>
      <w:pPr>
        <w:numPr>
          <w:numId w:val="6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Do questions of fact or law common to the members of the class predominate over any questions affecting only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Merrill cites </w:t>
      </w:r>
      <w:r>
        <w:rPr>
          <w:rFonts w:ascii="arial" w:eastAsia="arial" w:hAnsi="arial" w:cs="arial"/>
          <w:b/>
          <w:i/>
          <w:color w:val="000000"/>
          <w:sz w:val="20"/>
          <w:lang w:val="en-US" w:eastAsia="en-US" w:bidi="ar-SA"/>
        </w:rPr>
        <w:t>Gariepy v. Shell Canada,</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[2002] O.J. No. 2766</w:t>
        </w:r>
      </w:hyperlink>
      <w:r>
        <w:rPr>
          <w:rFonts w:ascii="arial" w:eastAsia="arial" w:hAnsi="arial" w:cs="arial"/>
          <w:color w:val="000000"/>
          <w:sz w:val="20"/>
          <w:lang w:val="en-US" w:eastAsia="en-US" w:bidi="ar-SA"/>
        </w:rPr>
        <w:t xml:space="preserve"> (Sup. Ct.) ("</w:t>
      </w:r>
      <w:r>
        <w:rPr>
          <w:rFonts w:ascii="arial" w:eastAsia="arial" w:hAnsi="arial" w:cs="arial"/>
          <w:b/>
          <w:i/>
          <w:color w:val="000000"/>
          <w:sz w:val="20"/>
          <w:lang w:val="en-US" w:eastAsia="en-US" w:bidi="ar-SA"/>
        </w:rPr>
        <w:t>Gariepy</w:t>
      </w:r>
      <w:r>
        <w:rPr>
          <w:rFonts w:ascii="arial" w:eastAsia="arial" w:hAnsi="arial" w:cs="arial"/>
          <w:color w:val="000000"/>
          <w:sz w:val="20"/>
          <w:lang w:val="en-US" w:eastAsia="en-US" w:bidi="ar-SA"/>
        </w:rPr>
        <w:t>") at para. 63 for the proposition that class proceedings should not be presumed to be preferable without evidentiary support and certification is not to be granted based on the category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Merrill says that the following individual issues, which are raised in the pleadings and go to the heart of the dispute, must be resolved before either liability or damages can be determined:</w:t>
      </w:r>
      <w:r>
        <w:rPr>
          <w:rFonts w:ascii="arial" w:eastAsia="arial" w:hAnsi="arial" w:cs="arial"/>
          <w:sz w:val="20"/>
          <w:lang w:val="en-US" w:eastAsia="en-US" w:bidi="ar-SA"/>
        </w:rPr>
        <w:cr/>
      </w:r>
    </w:p>
    <w:p>
      <w:pPr>
        <w:numPr>
          <w:numId w:val="6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Did Merrill inform its clients that it was dealing with them as principal on currency transactions or that it was earning a spread on those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my opinion, that question is subsidiary to the common issues, such as Merrill's relationship with its clients, its contractual rights and obligations, its obligation to disclose certain information, and the significance of the clients' knowledge. Those matters should be determined before conducting any individual analyses.</w:t>
      </w:r>
      <w:r>
        <w:rPr>
          <w:rFonts w:ascii="arial" w:eastAsia="arial" w:hAnsi="arial" w:cs="arial"/>
          <w:sz w:val="20"/>
          <w:lang w:val="en-US" w:eastAsia="en-US" w:bidi="ar-SA"/>
        </w:rPr>
        <w:cr/>
      </w:r>
    </w:p>
    <w:p>
      <w:pPr>
        <w:numPr>
          <w:numId w:val="6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Even if Merrill did not directly provide that information, did the clients understand that to be the case based upon the circumstances or prior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defendant's suggestion that clients may have had implied knowledge, as distinct from broker disclosure, thereby negating liability, rests on shaky ground. </w:t>
      </w:r>
      <w:r>
        <w:rPr>
          <w:rFonts w:ascii="arial" w:eastAsia="arial" w:hAnsi="arial" w:cs="arial"/>
          <w:b/>
          <w:i/>
          <w:color w:val="000000"/>
          <w:sz w:val="20"/>
          <w:lang w:val="en-US" w:eastAsia="en-US" w:bidi="ar-SA"/>
        </w:rPr>
        <w:t>Orangeville Raceway Ltd. v. Wood Gundy Inc.,</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[1995] B.C.J. No. 1254</w:t>
        </w:r>
      </w:hyperlink>
      <w:r>
        <w:rPr>
          <w:rFonts w:ascii="arial" w:eastAsia="arial" w:hAnsi="arial" w:cs="arial"/>
          <w:color w:val="000000"/>
          <w:sz w:val="20"/>
          <w:lang w:val="en-US" w:eastAsia="en-US" w:bidi="ar-SA"/>
        </w:rPr>
        <w:t xml:space="preserve"> (C.A.) is the only Canadian authority relied upon in support of the proposition that there is no liability for a failure to disclose something to the plaintiff that the plaintiff already knew. However, there, the broker had disclosed in writing that he was acting as a principal on six previous occasions. The court held that it was clear the defendant had not acted as agent and, as a result, there was no duty to disclose anything about its profits. The other cases relied upon by Merrill are also distinguishable. In </w:t>
      </w:r>
      <w:r>
        <w:rPr>
          <w:rFonts w:ascii="arial" w:eastAsia="arial" w:hAnsi="arial" w:cs="arial"/>
          <w:b/>
          <w:i/>
          <w:color w:val="000000"/>
          <w:sz w:val="20"/>
          <w:lang w:val="en-US" w:eastAsia="en-US" w:bidi="ar-SA"/>
        </w:rPr>
        <w:t>Hippisley v. Knee Brothers</w:t>
      </w:r>
      <w:r>
        <w:rPr>
          <w:rFonts w:ascii="arial" w:eastAsia="arial" w:hAnsi="arial" w:cs="arial"/>
          <w:color w:val="000000"/>
          <w:sz w:val="20"/>
          <w:lang w:val="en-US" w:eastAsia="en-US" w:bidi="ar-SA"/>
        </w:rPr>
        <w:t xml:space="preserve">, [1905] 1 K.B. 1, a rebate received by an agent was held to be unrelated to the transaction in which he acted as agent. Here, the plaintiff says that the currency exchange was part and parcel of the security transaction. In </w:t>
      </w:r>
      <w:r>
        <w:rPr>
          <w:rFonts w:ascii="arial" w:eastAsia="arial" w:hAnsi="arial" w:cs="arial"/>
          <w:b/>
          <w:i/>
          <w:color w:val="000000"/>
          <w:sz w:val="20"/>
          <w:lang w:val="en-US" w:eastAsia="en-US" w:bidi="ar-SA"/>
        </w:rPr>
        <w:t>Anangel Atlas Compania Naviera S.A. v. Ishikawajima-Harima Heavy Industries Co. Ltd</w:t>
      </w:r>
      <w:r>
        <w:rPr>
          <w:rFonts w:ascii="arial" w:eastAsia="arial" w:hAnsi="arial" w:cs="arial"/>
          <w:color w:val="000000"/>
          <w:sz w:val="20"/>
          <w:lang w:val="en-US" w:eastAsia="en-US" w:bidi="ar-SA"/>
        </w:rPr>
        <w:t>., [1990] 1 Lloyd's L.R. 167 (Q.B. (Com. Ct.)), the Court found that the plaintiff knew of certain payments made to its agent and consented to them.</w:t>
      </w:r>
      <w:r>
        <w:rPr>
          <w:rFonts w:ascii="arial" w:eastAsia="arial" w:hAnsi="arial" w:cs="arial"/>
          <w:sz w:val="20"/>
          <w:lang w:val="en-US" w:eastAsia="en-US" w:bidi="ar-SA"/>
        </w:rPr>
        <w:cr/>
      </w:r>
    </w:p>
    <w:p>
      <w:pPr>
        <w:numPr>
          <w:numId w:val="6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For which clients do the individual circumstances create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This is an individual issue but the fact that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fiduciary relationships may have existed or that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brokers may have disclosed the currency spread and Merrill's commission should not preclude certification for the entire class.</w:t>
      </w:r>
      <w:r>
        <w:rPr>
          <w:rFonts w:ascii="arial" w:eastAsia="arial" w:hAnsi="arial" w:cs="arial"/>
          <w:sz w:val="20"/>
          <w:lang w:val="en-US" w:eastAsia="en-US" w:bidi="ar-SA"/>
        </w:rPr>
        <w:cr/>
      </w:r>
    </w:p>
    <w:p>
      <w:pPr>
        <w:numPr>
          <w:numId w:val="6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Which implied terms (whether based on industry standard or otherwise) are implied into the relationships between Merrill and which of its clients, based upon the circumstances applicable to each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Either Merrill owed the same duties to each of its clients or those duties varied according to the type of client and the particular circumstances of the relationship. The issue of whether certain terms were implied into the contractual relationships between Merrill and certain categories of its clients, in certain circumstances, is clearly a common issue.</w:t>
      </w:r>
      <w:r>
        <w:rPr>
          <w:rFonts w:ascii="arial" w:eastAsia="arial" w:hAnsi="arial" w:cs="arial"/>
          <w:sz w:val="20"/>
          <w:lang w:val="en-US" w:eastAsia="en-US" w:bidi="ar-SA"/>
        </w:rPr>
        <w:cr/>
      </w:r>
    </w:p>
    <w:p>
      <w:pPr>
        <w:numPr>
          <w:numId w:val="7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Was the alleged representation regarding agency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Whether reliance, as opposed to disclosure, is a relevant factor is a common issue that must be determined prior to any individual investigation of reliance.</w:t>
      </w:r>
      <w:r>
        <w:rPr>
          <w:rFonts w:ascii="arial" w:eastAsia="arial" w:hAnsi="arial" w:cs="arial"/>
          <w:sz w:val="20"/>
          <w:lang w:val="en-US" w:eastAsia="en-US" w:bidi="ar-SA"/>
        </w:rPr>
        <w:cr/>
      </w:r>
    </w:p>
    <w:p>
      <w:pPr>
        <w:numPr>
          <w:numId w:val="7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How much did Merrill profit or lose on each sale of currency made to any particular client (or how much did the client lose on that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asserts that damages can be calculated globally on the basis of Merrill's secret profit or commission, which can then be allocated to the class members pro rata according to their qualifying currency exchanges. It suggests that such profit or commission is easily quantifiable because Merrill tracked the performance of its currency traders.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Merrill warns that a class proceeding will tend to be unfair, inefficient and unmanageable where the individual issues loom large. In these circumstances, it has been noted that "class actions have the potential for becoming monsters of complexity and cost": </w:t>
      </w:r>
      <w:r>
        <w:rPr>
          <w:rFonts w:ascii="arial" w:eastAsia="arial" w:hAnsi="arial" w:cs="arial"/>
          <w:b/>
          <w:i/>
          <w:color w:val="000000"/>
          <w:sz w:val="20"/>
          <w:lang w:val="en-US" w:eastAsia="en-US" w:bidi="ar-SA"/>
        </w:rPr>
        <w:t>Tiemstra v. Insurance Corporation of British Columbia</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(1996), 22 B.C.L.R. (3d) 49</w:t>
        </w:r>
      </w:hyperlink>
      <w:r>
        <w:rPr>
          <w:rFonts w:ascii="arial" w:eastAsia="arial" w:hAnsi="arial" w:cs="arial"/>
          <w:color w:val="000000"/>
          <w:sz w:val="20"/>
          <w:lang w:val="en-US" w:eastAsia="en-US" w:bidi="ar-SA"/>
        </w:rPr>
        <w:t xml:space="preserve"> at 61 (S.C.), aff'd </w:t>
      </w:r>
      <w:hyperlink r:id="rId210" w:history="1">
        <w:r>
          <w:rPr>
            <w:rFonts w:ascii="arial" w:eastAsia="arial" w:hAnsi="arial" w:cs="arial"/>
            <w:i/>
            <w:color w:val="0077CC"/>
            <w:sz w:val="20"/>
            <w:u w:val="single"/>
            <w:shd w:val="clear" w:color="auto" w:fill="FFFFFF"/>
            <w:lang w:val="en-US" w:eastAsia="en-US" w:bidi="ar-SA"/>
          </w:rPr>
          <w:t>(1997), 38 B.C.L.R. (3d) 377</w:t>
        </w:r>
      </w:hyperlink>
      <w:r>
        <w:rPr>
          <w:rFonts w:ascii="arial" w:eastAsia="arial" w:hAnsi="arial" w:cs="arial"/>
          <w:color w:val="000000"/>
          <w:sz w:val="20"/>
          <w:lang w:val="en-US" w:eastAsia="en-US" w:bidi="ar-SA"/>
        </w:rPr>
        <w:t xml:space="preserve"> (C.A.). A class action which is, at its heart, a myriad of individual actions, cannot be the preferable procedure. In this case, Merrill has been out of the retail business since December 31, 2001. Hence, all of its advisors who have moved to other firms would be difficult to locate and it would be costly and unworkable to locate them in order to determine what they told their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defendant describes the determination of preferability as a cost/benefit analysis, balancing fairness and efficiency. Many of the Ontario cases Merrill relies upon frame the issue in that manner. However, Mr. Ward notes the rift between the development of the law regarding certification in Ontario and British Columbia. For example, in </w:t>
      </w:r>
      <w:r>
        <w:rPr>
          <w:rFonts w:ascii="arial" w:eastAsia="arial" w:hAnsi="arial" w:cs="arial"/>
          <w:b/>
          <w:i/>
          <w:color w:val="000000"/>
          <w:sz w:val="20"/>
          <w:lang w:val="en-US" w:eastAsia="en-US" w:bidi="ar-SA"/>
        </w:rPr>
        <w:t>Olsen v. Behr Process Corp</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[2003] B.C.J. No. 1887</w:t>
        </w:r>
      </w:hyperlink>
      <w:r>
        <w:rPr>
          <w:rFonts w:ascii="arial" w:eastAsia="arial" w:hAnsi="arial" w:cs="arial"/>
          <w:color w:val="000000"/>
          <w:sz w:val="20"/>
          <w:lang w:val="en-US" w:eastAsia="en-US" w:bidi="ar-SA"/>
        </w:rPr>
        <w:t xml:space="preserve"> (S.C.) at para. 33, Oppal J. as he then was, remarked: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plaintiffs' counsel that the decision in </w:t>
      </w:r>
      <w:r>
        <w:rPr>
          <w:rFonts w:ascii="arial" w:eastAsia="arial" w:hAnsi="arial" w:cs="arial"/>
          <w:b/>
          <w:i/>
          <w:color w:val="000000"/>
          <w:sz w:val="20"/>
          <w:lang w:val="en-US" w:eastAsia="en-US" w:bidi="ar-SA"/>
        </w:rPr>
        <w:t>Gariepy</w:t>
      </w:r>
      <w:r>
        <w:rPr>
          <w:rFonts w:ascii="arial" w:eastAsia="arial" w:hAnsi="arial" w:cs="arial"/>
          <w:color w:val="000000"/>
          <w:sz w:val="20"/>
          <w:lang w:val="en-US" w:eastAsia="en-US" w:bidi="ar-SA"/>
        </w:rPr>
        <w:t xml:space="preserve"> simply cannot be reconciled with the general trend towards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has itemized the advantages of a class proceeding over individual litigation in this case:</w:t>
      </w:r>
      <w:r>
        <w:rPr>
          <w:rFonts w:ascii="arial" w:eastAsia="arial" w:hAnsi="arial" w:cs="arial"/>
          <w:sz w:val="20"/>
          <w:lang w:val="en-US" w:eastAsia="en-US" w:bidi="ar-SA"/>
        </w:rPr>
        <w:cr/>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whatever limitation period is found to be applicable to the claim is tolled for the entire class (s. 39);</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formal notice program is created which will alert all interested persons to the status of the litigation (s. 19);</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is able to attract more sophisticated counsel through the aggregation of potential damages and the availability of contingency fee arrangements (s. 38);</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prevents the defendant from creating procedural obstacles and hurdles that individual litigants may not have the resources to clear;</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are given the ability to apply to participate in the litigation if desired (s. 15)</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case managed by a single judge (s. 14)</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given a number of powers designed to protect the interests of absent class members (s. 12)</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are protected from any adverse cost award in relation to the common issues stage of the proceeding (s. 37)</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the resolution of any remaining individual issues, a class proceeding allows the court to create simplified structures and procedures (s. 27)</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the operation of statute, any order or settlement will accrue to the benefit of the entire class, without the necessity of resorting to principles of estoppel (ss. 26 and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Shortly after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was decided, the Supreme Court of Canada delivered judgment in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Rumley</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Chief Justice McLachlin, for the Court in both cases, discussed the advantages of class proceedings in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by aggregating similar individual actions, class actions serve judicial economy by avoiding unnecessary duplication in fact-finding and legal analysis. Second, by distributing fixed litigation costs amongst a large number of class members, class actions improve access to justice by making economical the prosecution of claims that any one class member would find too costly to prosecute on his or her own. Third, class actions serve efficiency and justice by ensuring that actual and potential wrongdoers modify their behaviour to take full account of the harm they are causing, or might cause,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McLachlin C.J.C. stated that the preferability inquiry should be conducted through the lens of those three advantages of class actions over a multiplicity of individual suits: judicial economy, access to justice and behaviour modification.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determining whether a class proceeding would be the preferable procedure, the term "preferable" involves two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first the question of "whether or not the class proceeding [would be] a fair, efficient and manageable method of advancing the claim", and second, the question of whether a class proceeding would be preferable "in the sense of preferable to other procedures such as joinder, test cases, consolidation and so on."</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at para. 28.</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Rumley,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Those questions require the Court to scrutinize the common issues in the context of all of the circumstances of the particular claim. In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certification was held not to be the preferable procedure. There, the plaintiff claimed to represent some 30,000 people living in the vicinity of a landfill which allegedly created noise and physical pollution. McLachlin C.J.C. concluded at para. 32 that any common issue (e.g. that the respondent emitted pollutants into the air) was negligible in relation to the individual issues. Each of the class members would have to establish that they were affected by physical or noise pollution from the landfill; thereafter, each would have to establish when, and to what degree, they were affected. It was likely that some areas were affected more seriously than others and that some areas were affected at some times and other areas at other times. Thus, it was difficult to say how resolution of the common issue advanced the action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On the other hand, certification was considered appropriate in </w:t>
      </w:r>
      <w:r>
        <w:rPr>
          <w:rFonts w:ascii="arial" w:eastAsia="arial" w:hAnsi="arial" w:cs="arial"/>
          <w:b/>
          <w:i/>
          <w:color w:val="000000"/>
          <w:sz w:val="20"/>
          <w:lang w:val="en-US" w:eastAsia="en-US" w:bidi="ar-SA"/>
        </w:rPr>
        <w:t>Rumley</w:t>
      </w:r>
      <w:r>
        <w:rPr>
          <w:rFonts w:ascii="arial" w:eastAsia="arial" w:hAnsi="arial" w:cs="arial"/>
          <w:color w:val="000000"/>
          <w:sz w:val="20"/>
          <w:lang w:val="en-US" w:eastAsia="en-US" w:bidi="ar-SA"/>
        </w:rPr>
        <w:t xml:space="preserve"> for multiple allegations of sexual abuse of children at a residential school extending over several decades</w:t>
      </w:r>
      <w:r>
        <w:rPr>
          <w:rFonts w:ascii="arial" w:eastAsia="arial" w:hAnsi="arial" w:cs="arial"/>
          <w:b/>
          <w:i/>
          <w:color w:val="000000"/>
          <w:sz w:val="20"/>
          <w:lang w:val="en-US" w:eastAsia="en-US" w:bidi="ar-SA"/>
        </w:rPr>
        <w:t>.</w:t>
      </w:r>
      <w:r>
        <w:rPr>
          <w:rFonts w:ascii="arial" w:eastAsia="arial" w:hAnsi="arial" w:cs="arial"/>
          <w:color w:val="000000"/>
          <w:sz w:val="20"/>
          <w:lang w:val="en-US" w:eastAsia="en-US" w:bidi="ar-SA"/>
        </w:rPr>
        <w:t xml:space="preserve"> The standard of care issues with respect to a duty and a breach (relevant to both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fiduciary duty claims) and the issue of punitive damages were common to all of the individuals who claimed to have been sexually abused. On appeal, the government argued that the nature of demonstrating that its conduct fell below an acceptable standard was inescapably individualistic. The Supreme Court of Canada concluded that both the commonality and preferability requirements were satisfied. All class members shared an interest in the question of whether the government breached a duty of care. The fact that the relevant standard of care may have varied between 1950 and 1992 because of the "dramatic ... evolution" in the law relating to sexual abuse was not an obstacle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my view, the individual issues in this case are substantially more straightforward than those in </w:t>
      </w:r>
      <w:r>
        <w:rPr>
          <w:rFonts w:ascii="arial" w:eastAsia="arial" w:hAnsi="arial" w:cs="arial"/>
          <w:b/>
          <w:i/>
          <w:color w:val="000000"/>
          <w:sz w:val="20"/>
          <w:lang w:val="en-US" w:eastAsia="en-US" w:bidi="ar-SA"/>
        </w:rPr>
        <w:t>Rumley</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Harrington v. Dow Corning Corp</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[1996] B.C.J. No. 734</w:t>
        </w:r>
      </w:hyperlink>
      <w:r>
        <w:rPr>
          <w:rFonts w:ascii="arial" w:eastAsia="arial" w:hAnsi="arial" w:cs="arial"/>
          <w:color w:val="000000"/>
          <w:sz w:val="20"/>
          <w:lang w:val="en-US" w:eastAsia="en-US" w:bidi="ar-SA"/>
        </w:rPr>
        <w:t xml:space="preserve"> (S.C.), aff'd </w:t>
      </w:r>
      <w:hyperlink r:id="rId213" w:history="1">
        <w:r>
          <w:rPr>
            <w:rFonts w:ascii="arial" w:eastAsia="arial" w:hAnsi="arial" w:cs="arial"/>
            <w:i/>
            <w:color w:val="0077CC"/>
            <w:sz w:val="20"/>
            <w:u w:val="single"/>
            <w:shd w:val="clear" w:color="auto" w:fill="FFFFFF"/>
            <w:lang w:val="en-US" w:eastAsia="en-US" w:bidi="ar-SA"/>
          </w:rPr>
          <w:t>[2000] B.C.J. No. 2237</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Harrington</w:t>
      </w:r>
      <w:r>
        <w:rPr>
          <w:rFonts w:ascii="arial" w:eastAsia="arial" w:hAnsi="arial" w:cs="arial"/>
          <w:color w:val="000000"/>
          <w:sz w:val="20"/>
          <w:lang w:val="en-US" w:eastAsia="en-US" w:bidi="ar-SA"/>
        </w:rPr>
        <w:t>") involving the rupture or failure rate of breast implants and the alleged link between silicone and connective tissue disease or other complications. The volume and complexity of factual questions did not defeat the plaintiffs' right to certification in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addition to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there are numerous cases involving unjust enrichment and/or investment cases, in which certification has been granted:</w:t>
      </w:r>
      <w:r>
        <w:rPr>
          <w:rFonts w:ascii="arial" w:eastAsia="arial" w:hAnsi="arial" w:cs="arial"/>
          <w:sz w:val="20"/>
          <w:lang w:val="en-US" w:eastAsia="en-US" w:bidi="ar-SA"/>
        </w:rPr>
        <w:cr/>
      </w:r>
    </w:p>
    <w:p>
      <w:pPr>
        <w:numPr>
          <w:numId w:val="7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Bodnar v. The Cash Store Inc.,</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[2006] B.C.J. No. 1171</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2006 BCCA 260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Ayrton v. PRL Financial (Alta.) Ltd.,</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[2006] A.J. No. 296</w:t>
        </w:r>
      </w:hyperlink>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2006 ABCA 88</w:t>
        </w:r>
      </w:hyperlink>
      <w:r>
        <w:rPr>
          <w:rFonts w:ascii="arial" w:eastAsia="arial" w:hAnsi="arial" w:cs="arial"/>
          <w:b/>
          <w:i/>
          <w:color w:val="000000"/>
          <w:sz w:val="20"/>
          <w:lang w:val="en-US" w:eastAsia="en-US" w:bidi="ar-SA"/>
        </w:rPr>
        <w:t>, McCutcheon v. The Cash Store Inc.</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[2006] O.J. No. 1860</w:t>
        </w:r>
      </w:hyperlink>
      <w:r>
        <w:rPr>
          <w:rFonts w:ascii="arial" w:eastAsia="arial" w:hAnsi="arial" w:cs="arial"/>
          <w:color w:val="000000"/>
          <w:sz w:val="20"/>
          <w:lang w:val="en-US" w:eastAsia="en-US" w:bidi="ar-SA"/>
        </w:rPr>
        <w:t xml:space="preserve"> (Sup. Ct.) with respect to "payday loans" where it was alleged that the fees paid constitute a criminal rate of interest;</w:t>
      </w:r>
    </w:p>
    <w:p>
      <w:pPr>
        <w:numPr>
          <w:numId w:val="7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Parsons v. Coast Capital Savings Credit Union,</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[2006] B.C.J. No. 751</w:t>
        </w:r>
      </w:hyperlink>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2006 BCSC 552</w:t>
        </w:r>
      </w:hyperlink>
      <w:r>
        <w:rPr>
          <w:rFonts w:ascii="arial" w:eastAsia="arial" w:hAnsi="arial" w:cs="arial"/>
          <w:color w:val="000000"/>
          <w:sz w:val="20"/>
          <w:lang w:val="en-US" w:eastAsia="en-US" w:bidi="ar-SA"/>
        </w:rPr>
        <w:t xml:space="preserve"> where overdraft charges by the defendant Credit Union were said to constitute a criminal rate of interest;</w:t>
      </w:r>
    </w:p>
    <w:p>
      <w:pPr>
        <w:numPr>
          <w:numId w:val="7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Elms v. Laurentian Bank of Canada,</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[2001] B.C.J. No. 1284</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2001 BCCA 429</w:t>
        </w:r>
      </w:hyperlink>
      <w:r>
        <w:rPr>
          <w:rFonts w:ascii="arial" w:eastAsia="arial" w:hAnsi="arial" w:cs="arial"/>
          <w:color w:val="000000"/>
          <w:sz w:val="20"/>
          <w:lang w:val="en-US" w:eastAsia="en-US" w:bidi="ar-SA"/>
        </w:rPr>
        <w:t xml:space="preserve"> where the proposed class consisted of more than 200 people who had invested money in a land development which went bankrupt; the investors claimed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compensation for breach of trust and breach of fiduciary duty against the Bank and the lawyers involved;</w:t>
      </w:r>
    </w:p>
    <w:p>
      <w:pPr>
        <w:numPr>
          <w:numId w:val="7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Metera v. Financial Planning Group,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A.J. No. 468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ABQB 326</w:t>
      </w:r>
      <w:r>
        <w:rPr>
          <w:rFonts w:ascii="arial" w:eastAsia="arial" w:hAnsi="arial" w:cs="arial"/>
          <w:color w:val="000000"/>
          <w:sz w:val="20"/>
          <w:lang w:val="en-US" w:eastAsia="en-US" w:bidi="ar-SA"/>
        </w:rPr>
        <w:t xml:space="preserve"> where investors in a failed investment sued the defendant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conflict of interest, breach of contract and breach of fiduciary duty. In that case the court recognized the existence of complicating factors; e.g., there were numerous representations made, some of which may have been accurate and some not; some plaintiffs may have relied on the representations and some may not have done so; there were multiple sources of those representations; there may be variations in the duty of care owed to the investors. Nevertheless, the common issues were certified, leaving individual issue of representation and reliance to the second stage.</w:t>
      </w:r>
    </w:p>
    <w:p>
      <w:pPr>
        <w:numPr>
          <w:numId w:val="7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Tracy Instaloans Financial Solutions Centres (BC) Ltd, et al,</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[2006] B.C.J. No. 1639</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2006 BCSC 1018</w:t>
        </w:r>
      </w:hyperlink>
      <w:r>
        <w:rPr>
          <w:rFonts w:ascii="arial" w:eastAsia="arial" w:hAnsi="arial" w:cs="arial"/>
          <w:color w:val="000000"/>
          <w:sz w:val="20"/>
          <w:lang w:val="en-US" w:eastAsia="en-US" w:bidi="ar-SA"/>
        </w:rPr>
        <w:t xml:space="preserve">, at paras. 61 - 62, Madam Justice Brown reiterated her approval of the reasoning in </w:t>
      </w:r>
      <w:r>
        <w:rPr>
          <w:rFonts w:ascii="arial" w:eastAsia="arial" w:hAnsi="arial" w:cs="arial"/>
          <w:b/>
          <w:i/>
          <w:color w:val="000000"/>
          <w:sz w:val="20"/>
          <w:lang w:val="en-US" w:eastAsia="en-US" w:bidi="ar-SA"/>
        </w:rPr>
        <w:t>Metera: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again, </w:t>
      </w:r>
      <w:r>
        <w:rPr>
          <w:rFonts w:ascii="arial" w:eastAsia="arial" w:hAnsi="arial" w:cs="arial"/>
          <w:b/>
          <w:i/>
          <w:color w:val="000000"/>
          <w:sz w:val="20"/>
          <w:lang w:val="en-US" w:eastAsia="en-US" w:bidi="ar-SA"/>
        </w:rPr>
        <w:t>Bodnar</w:t>
      </w:r>
      <w:r>
        <w:rPr>
          <w:rFonts w:ascii="arial" w:eastAsia="arial" w:hAnsi="arial" w:cs="arial"/>
          <w:color w:val="000000"/>
          <w:sz w:val="20"/>
          <w:lang w:val="en-US" w:eastAsia="en-US" w:bidi="ar-SA"/>
        </w:rPr>
        <w:t xml:space="preserve"> is instructive. In that case, I held at [paragraph] 58 - 59:</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court noted in </w:t>
      </w:r>
      <w:r>
        <w:rPr>
          <w:rFonts w:ascii="arial" w:eastAsia="arial" w:hAnsi="arial" w:cs="arial"/>
          <w:b/>
          <w:i/>
          <w:color w:val="000000"/>
          <w:sz w:val="20"/>
          <w:lang w:val="en-US" w:eastAsia="en-US" w:bidi="ar-SA"/>
        </w:rPr>
        <w:t>Metera v. Financial Planning Group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A.J. No. 468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ABQB 326</w:t>
      </w:r>
      <w:r>
        <w:rPr>
          <w:rFonts w:ascii="arial" w:eastAsia="arial" w:hAnsi="arial" w:cs="arial"/>
          <w:color w:val="000000"/>
          <w:sz w:val="20"/>
          <w:lang w:val="en-US" w:eastAsia="en-US" w:bidi="ar-SA"/>
        </w:rPr>
        <w:t xml:space="preserve"> at para. 69:</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it would be extremely rare for a class proceeding to contain only common issues, with no individual issues to be determined. Class proceedings are usually bifurcated. First there is a hearing or trial to determine the common issues, and then a procedure must be devised to resolve the individual issues. This is the normal situation, and the presence of individual issues should not be overemphasized, the question always being whether a class proceeding is the preferable way to resolve what common issues there are.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to accede to the defendants argument would be to overemphasize the presence of individual issues, which as </w:t>
      </w:r>
      <w:r>
        <w:rPr>
          <w:rFonts w:ascii="arial" w:eastAsia="arial" w:hAnsi="arial" w:cs="arial"/>
          <w:b/>
          <w:i/>
          <w:color w:val="000000"/>
          <w:sz w:val="20"/>
          <w:lang w:val="en-US" w:eastAsia="en-US" w:bidi="ar-SA"/>
        </w:rPr>
        <w:t>Metera</w:t>
      </w:r>
      <w:r>
        <w:rPr>
          <w:rFonts w:ascii="arial" w:eastAsia="arial" w:hAnsi="arial" w:cs="arial"/>
          <w:color w:val="000000"/>
          <w:sz w:val="20"/>
          <w:lang w:val="en-US" w:eastAsia="en-US" w:bidi="ar-SA"/>
        </w:rPr>
        <w:t xml:space="preserve"> instructs, is to be avoided.</w:t>
      </w:r>
    </w:p>
    <w:p>
      <w:pPr>
        <w:numPr>
          <w:numId w:val="7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Nanaimo Immigrant Settlement Society v. British Columbia,</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[2001] B.C.J. No. 209</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2001 BCCA 75</w:t>
        </w:r>
      </w:hyperlink>
      <w:r>
        <w:rPr>
          <w:rFonts w:ascii="arial" w:eastAsia="arial" w:hAnsi="arial" w:cs="arial"/>
          <w:color w:val="000000"/>
          <w:sz w:val="20"/>
          <w:lang w:val="en-US" w:eastAsia="en-US" w:bidi="ar-SA"/>
        </w:rPr>
        <w:t xml:space="preserve"> where a declaration was sought that fees collected by the Province in return for issuance of bingo and casino licences were ultra vires and should be returned on the basis of unjust enrichment;</w:t>
      </w:r>
    </w:p>
    <w:p>
      <w:pPr>
        <w:numPr>
          <w:numId w:val="7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Howard Estate v. British Columbia,</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[1999] B.C.J. No. 585</w:t>
        </w:r>
      </w:hyperlink>
      <w:r>
        <w:rPr>
          <w:rFonts w:ascii="arial" w:eastAsia="arial" w:hAnsi="arial" w:cs="arial"/>
          <w:color w:val="000000"/>
          <w:sz w:val="20"/>
          <w:lang w:val="en-US" w:eastAsia="en-US" w:bidi="ar-SA"/>
        </w:rPr>
        <w:t xml:space="preserve"> (S.C.) where the plaintiffs sought to recover probate fees following a Supreme Court of Canada decision which held that the Ontario probate fee was a tax which had not been lawfully enacted by the legislature;</w:t>
      </w:r>
    </w:p>
    <w:p>
      <w:pPr>
        <w:numPr>
          <w:numId w:val="8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Collette v. Great Pacific Management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2004 BCCA 110</w:t>
      </w:r>
      <w:r>
        <w:rPr>
          <w:rFonts w:ascii="arial" w:eastAsia="arial" w:hAnsi="arial" w:cs="arial"/>
          <w:color w:val="000000"/>
          <w:sz w:val="20"/>
          <w:lang w:val="en-US" w:eastAsia="en-US" w:bidi="ar-SA"/>
        </w:rPr>
        <w:t xml:space="preserve"> relating to claims for damages for losses on units of two mortgages purchased from representatives of the defendant financial advisors or investment brokers. The chambers judge had refused certification, in part, on the basis that the common issues did not necessarily apply to all members of the putative class and individualized inquires into the specific contractual arrangements between the defendants and their clients were necessary to determine whether the alleged implied contractual terms existed. The Court of Appeal allowed the appeal finding that the issues broke down into two categories: "the stage two relationship" was dependent upon individual circumstances; however, at the first stage, the allegation was that no investment advisor could have offered the units to any client unless they passed the due diligence test of the specialty investment department. Any breach of duty at that stage was common to all clients of the firm.</w:t>
      </w:r>
    </w:p>
    <w:p>
      <w:pPr>
        <w:numPr>
          <w:numId w:val="8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Hickey-Button</w:t>
      </w:r>
      <w:r>
        <w:rPr>
          <w:rFonts w:ascii="arial" w:eastAsia="arial" w:hAnsi="arial" w:cs="arial"/>
          <w:b/>
          <w:color w:val="000000"/>
          <w:sz w:val="20"/>
          <w:lang w:val="en-US" w:eastAsia="en-US" w:bidi="ar-SA"/>
        </w:rPr>
        <w:t xml:space="preserve"> v. </w:t>
      </w:r>
      <w:r>
        <w:rPr>
          <w:rFonts w:ascii="arial" w:eastAsia="arial" w:hAnsi="arial" w:cs="arial"/>
          <w:b/>
          <w:i/>
          <w:color w:val="000000"/>
          <w:sz w:val="20"/>
          <w:lang w:val="en-US" w:eastAsia="en-US" w:bidi="ar-SA"/>
        </w:rPr>
        <w:t>The Loyalist College of Applied Arts and Technology</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[2006] O.J. No. 2393</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Hickey-Button</w:t>
      </w:r>
      <w:r>
        <w:rPr>
          <w:rFonts w:ascii="arial" w:eastAsia="arial" w:hAnsi="arial" w:cs="arial"/>
          <w:color w:val="000000"/>
          <w:sz w:val="20"/>
          <w:lang w:val="en-US" w:eastAsia="en-US" w:bidi="ar-SA"/>
        </w:rPr>
        <w:t>") the Ontario Court of Appeal certified the plaintiff's case that was based on allegations of breach of contract and negligent misrepresentation. The defendant College had offered students who successfully completed two years of its three-year diploma course the option of obtaining a degree in nursing from Queen's University by completing two additional years of the Queen's nursing program. In fact, no such option was available. As here, the defendant argued that any contractual relationship depended on the entirety of the representations, written and oral, made to the students and that the negligent misrepresentation claims could only be made on a student to student basis. The Court of Appeal rejected the defence that the many individual issues that could arise made a class action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the other hand, the defendant cites a number of cases in which certification was denied for one or more reasons: the individual issues overwhelmed the common issues, there was no identifiable class, or there was no workable litigation plan. I will refer to some of the most recent cases cited by the defendant:</w:t>
      </w:r>
      <w:r>
        <w:rPr>
          <w:rFonts w:ascii="arial" w:eastAsia="arial" w:hAnsi="arial" w:cs="arial"/>
          <w:sz w:val="20"/>
          <w:lang w:val="en-US" w:eastAsia="en-US" w:bidi="ar-SA"/>
        </w:rPr>
        <w:cr/>
      </w:r>
    </w:p>
    <w:p>
      <w:pPr>
        <w:numPr>
          <w:numId w:val="8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 xml:space="preserve">Markson v. MBNA Canada Bank </w:t>
      </w:r>
      <w:hyperlink r:id="rId222" w:history="1">
        <w:r>
          <w:rPr>
            <w:rFonts w:ascii="arial" w:eastAsia="arial" w:hAnsi="arial" w:cs="arial"/>
            <w:i/>
            <w:color w:val="0077CC"/>
            <w:sz w:val="20"/>
            <w:u w:val="single"/>
            <w:shd w:val="clear" w:color="auto" w:fill="FFFFFF"/>
            <w:lang w:val="en-US" w:eastAsia="en-US" w:bidi="ar-SA"/>
          </w:rPr>
          <w:t>(2005), 78 O.R. (3d) 39</w:t>
        </w:r>
      </w:hyperlink>
      <w:r>
        <w:rPr>
          <w:rFonts w:ascii="arial" w:eastAsia="arial" w:hAnsi="arial" w:cs="arial"/>
          <w:color w:val="000000"/>
          <w:sz w:val="20"/>
          <w:lang w:val="en-US" w:eastAsia="en-US" w:bidi="ar-SA"/>
        </w:rPr>
        <w:t xml:space="preserve"> (Div. Ct.), the plaintiff sought certification with respect to charges made by MBNA Canada Bank on cash advances to its credit card holders at what was alleged to be a criminal rate of interest. However, the question of whether the interest exceeded 60% in any particular case was dependent in part on how soon the cash advances were repaid. Hence, individual investigations were necessary and certification was denied.</w:t>
      </w:r>
    </w:p>
    <w:p>
      <w:pPr>
        <w:numPr>
          <w:numId w:val="8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Cassano v. Toronto-Dominion Bank,</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[2005] O.J. No. 845</w:t>
        </w:r>
      </w:hyperlink>
      <w:r>
        <w:rPr>
          <w:rFonts w:ascii="arial" w:eastAsia="arial" w:hAnsi="arial" w:cs="arial"/>
          <w:color w:val="000000"/>
          <w:sz w:val="20"/>
          <w:lang w:val="en-US" w:eastAsia="en-US" w:bidi="ar-SA"/>
        </w:rPr>
        <w:t xml:space="preserve"> (Sup. Ct.), aff'd </w:t>
      </w:r>
      <w:hyperlink r:id="rId224" w:history="1">
        <w:r>
          <w:rPr>
            <w:rFonts w:ascii="arial" w:eastAsia="arial" w:hAnsi="arial" w:cs="arial"/>
            <w:i/>
            <w:color w:val="0077CC"/>
            <w:sz w:val="20"/>
            <w:u w:val="single"/>
            <w:shd w:val="clear" w:color="auto" w:fill="FFFFFF"/>
            <w:lang w:val="en-US" w:eastAsia="en-US" w:bidi="ar-SA"/>
          </w:rPr>
          <w:t>[2006] O.J. No. 2930</w:t>
        </w:r>
      </w:hyperlink>
      <w:r>
        <w:rPr>
          <w:rFonts w:ascii="arial" w:eastAsia="arial" w:hAnsi="arial" w:cs="arial"/>
          <w:color w:val="000000"/>
          <w:sz w:val="20"/>
          <w:lang w:val="en-US" w:eastAsia="en-US" w:bidi="ar-SA"/>
        </w:rPr>
        <w:t xml:space="preserve"> (Div. Ct.) the proposed class was comprised of all holders of TD Visa cards within a specified time period who incurred debits or credits as a result of foreign currency transactions. A class proceeding was found not to be the preferable proceeding. There, resolution of the common issues would not significantly advance the proceedings. The difficulties involved in determining whether losses were suffered and quantifying those losses were a barrier to the efficient management of the claims on a class wide basis. Loss could not be established on a class-wide basis.</w:t>
      </w:r>
    </w:p>
    <w:p>
      <w:pPr>
        <w:numPr>
          <w:numId w:val="8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Ogden v. Gulf Log Salvage Co-operative Assn.</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[2005] B.C.J. No. 61</w:t>
        </w:r>
      </w:hyperlink>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2005 BCSC 56</w:t>
        </w:r>
      </w:hyperlink>
      <w:r>
        <w:rPr>
          <w:rFonts w:ascii="arial" w:eastAsia="arial" w:hAnsi="arial" w:cs="arial"/>
          <w:color w:val="000000"/>
          <w:sz w:val="20"/>
          <w:lang w:val="en-US" w:eastAsia="en-US" w:bidi="ar-SA"/>
        </w:rPr>
        <w:t>, the plaintiff sought to certify a class action against the defendant Salvage Association for breaching its duty of care to salvors to obtain the best possible price for salvaged logs and against the province for failing to enforce a statute requiring the Salvage Association to obtain the best price. The Court held that the claims raised predominantly individual issues with respect to both liability and damages as each sale transaction was governed by many factors. There were common issues, but their resolution would be of little assistance to the determination of the claims. The Court held that prosecution of small claims by individual actions or consolidation of a small number of individual actions was more practical for resolving the claims than a class action.</w:t>
      </w:r>
    </w:p>
    <w:p>
      <w:pPr>
        <w:numPr>
          <w:numId w:val="8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Caputo,</w:t>
      </w:r>
      <w:r>
        <w:rPr>
          <w:rFonts w:ascii="arial" w:eastAsia="arial" w:hAnsi="arial" w:cs="arial"/>
          <w:color w:val="000000"/>
          <w:sz w:val="20"/>
          <w:lang w:val="en-US" w:eastAsia="en-US" w:bidi="ar-SA"/>
        </w:rPr>
        <w:t xml:space="preserve"> the plaintiffs sought to certify a class of all residents of Ontario, living or deceased, who had smoked cigarettes manufactured by the defendant tobacco manufacturers and all persons having derivative claims. The potential class comprised between 2.4 million and 15 million members and arose from multiple fact situations spanning at least 50 years.</w:t>
      </w:r>
    </w:p>
    <w:p>
      <w:pPr>
        <w:numPr>
          <w:numId w:val="8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 xml:space="preserve">Chadha v. Bayer Inc. </w:t>
      </w:r>
      <w:hyperlink r:id="rId226" w:history="1">
        <w:r>
          <w:rPr>
            <w:rFonts w:ascii="arial" w:eastAsia="arial" w:hAnsi="arial" w:cs="arial"/>
            <w:i/>
            <w:color w:val="0077CC"/>
            <w:sz w:val="20"/>
            <w:u w:val="single"/>
            <w:shd w:val="clear" w:color="auto" w:fill="FFFFFF"/>
            <w:lang w:val="en-US" w:eastAsia="en-US" w:bidi="ar-SA"/>
          </w:rPr>
          <w:t>(2003), 63 O.R. (3d) 22</w:t>
        </w:r>
      </w:hyperlink>
      <w:r>
        <w:rPr>
          <w:rFonts w:ascii="arial" w:eastAsia="arial" w:hAnsi="arial" w:cs="arial"/>
          <w:color w:val="000000"/>
          <w:sz w:val="20"/>
          <w:lang w:val="en-US" w:eastAsia="en-US" w:bidi="ar-SA"/>
        </w:rPr>
        <w:t xml:space="preserve"> (C.A.), leave to appeal to S.C.C. refused, </w:t>
      </w:r>
      <w:hyperlink r:id="rId227" w:history="1">
        <w:r>
          <w:rPr>
            <w:rFonts w:ascii="arial" w:eastAsia="arial" w:hAnsi="arial" w:cs="arial"/>
            <w:i/>
            <w:color w:val="0077CC"/>
            <w:sz w:val="20"/>
            <w:u w:val="single"/>
            <w:shd w:val="clear" w:color="auto" w:fill="FFFFFF"/>
            <w:lang w:val="en-US" w:eastAsia="en-US" w:bidi="ar-SA"/>
          </w:rPr>
          <w:t>[2003] S.C.C.A. No. 106</w:t>
        </w:r>
      </w:hyperlink>
      <w:r>
        <w:rPr>
          <w:rFonts w:ascii="arial" w:eastAsia="arial" w:hAnsi="arial" w:cs="arial"/>
          <w:color w:val="000000"/>
          <w:sz w:val="20"/>
          <w:lang w:val="en-US" w:eastAsia="en-US" w:bidi="ar-SA"/>
        </w:rPr>
        <w:t>, the issue turned on the efficacy and method of proof of whether all indirect purchasers of the defendant manufacturers and suppliers to the Canadian market of the iron oxide pigments used to colour concrete brick and paving stones overpaid for their homes as a result.</w:t>
      </w:r>
    </w:p>
    <w:p>
      <w:pPr>
        <w:numPr>
          <w:numId w:val="8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[2005] B.C.J. No. 2370</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leave to appeal to S.C.C. refused, </w:t>
      </w:r>
      <w:hyperlink r:id="rId229" w:history="1">
        <w:r>
          <w:rPr>
            <w:rFonts w:ascii="arial" w:eastAsia="arial" w:hAnsi="arial" w:cs="arial"/>
            <w:i/>
            <w:color w:val="0077CC"/>
            <w:sz w:val="20"/>
            <w:u w:val="single"/>
            <w:shd w:val="clear" w:color="auto" w:fill="FFFFFF"/>
            <w:lang w:val="en-US" w:eastAsia="en-US" w:bidi="ar-SA"/>
          </w:rPr>
          <w:t>[2005] S.C.C.A. No. 545</w:t>
        </w:r>
      </w:hyperlink>
      <w:r>
        <w:rPr>
          <w:rFonts w:ascii="arial" w:eastAsia="arial" w:hAnsi="arial" w:cs="arial"/>
          <w:color w:val="000000"/>
          <w:sz w:val="20"/>
          <w:lang w:val="en-US" w:eastAsia="en-US" w:bidi="ar-SA"/>
        </w:rPr>
        <w:t>, the Court of Appeal held that the plaintiff had failed to establish an evidentiary basis for commonality or preferable procedure and that the proposed litigation plan was "notably vague". There the plaintiffs had brought a products liability action against a motor vehicle manufacturer, claiming that the placement of fuel tanks on the outside of frame rails of class vehicles increased the risk of death or injury when those vehicles were side-impacted.</w:t>
      </w:r>
    </w:p>
    <w:p>
      <w:pPr>
        <w:numPr>
          <w:numId w:val="8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Gariepy,</w:t>
      </w:r>
      <w:r>
        <w:rPr>
          <w:rFonts w:ascii="arial" w:eastAsia="arial" w:hAnsi="arial" w:cs="arial"/>
          <w:color w:val="000000"/>
          <w:sz w:val="20"/>
          <w:lang w:val="en-US" w:eastAsia="en-US" w:bidi="ar-SA"/>
        </w:rPr>
        <w:t xml:space="preserve"> the proposed class consisted of "all owners of residential dwellings in Ontario who have or had a polybutylene plumbing system' in their residence ....". The Court concluded that, in view of the system by system examination required to resolve the proposed class members' claims, resolution of the scientific question - the common issue - would not advance the action significantly.</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MacLean v. Telus Corp.</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[2006] B.C.J. No. 1107</w:t>
        </w:r>
      </w:hyperlink>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2006 BCSC 766</w:t>
        </w:r>
      </w:hyperlink>
      <w:r>
        <w:rPr>
          <w:rFonts w:ascii="arial" w:eastAsia="arial" w:hAnsi="arial" w:cs="arial"/>
          <w:color w:val="000000"/>
          <w:sz w:val="20"/>
          <w:lang w:val="en-US" w:eastAsia="en-US" w:bidi="ar-SA"/>
        </w:rPr>
        <w:t>, the proposed class was "persons who prior to November 12, 1999 purchased prepaid calling credit for use of cellular phones from either of the Defendants or their predecessors (subscribers)". There were three separate ways that the prepaid credit was purchased and a determination of whether there was a contractual breach by the defendants had to be determined on the basis of each plaintiff's individual circumstances. Thus, the plaintiffs were unable to establish that the proposed common issues were common issue to the class members and that their resolution would advance the case.</w:t>
      </w:r>
    </w:p>
    <w:p>
      <w:pPr>
        <w:numPr>
          <w:numId w:val="9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Macleod,</w:t>
      </w:r>
      <w:r>
        <w:rPr>
          <w:rFonts w:ascii="arial" w:eastAsia="arial" w:hAnsi="arial" w:cs="arial"/>
          <w:color w:val="000000"/>
          <w:sz w:val="20"/>
          <w:lang w:val="en-US" w:eastAsia="en-US" w:bidi="ar-SA"/>
        </w:rPr>
        <w:t xml:space="preserve"> the plaintiff sought to certify class proceedings against video rental companies arising from their charges for overdue or unreturned items. The proposed common issue of whether the charges constituted a breach of contract could not be determined solely from evidence of general practices adopted by the defendants without regard to the knowledge and understanding of the individual class members. Similarly, the allegation that the defendants were unjustly enriched was not a common issue because there would need to be individual inquiries as to whether there was a juridical basis for the payment of the charges in each case. The issue as to whether punitive and exemplary damages were warranted could not stand alone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Those cases are distinguishable as the plaintiffs' claims were contractual in nature and no agency-principal relationship was involved. Further, in most of those cases, the plaintiff claimed compensatory damages rather than restitution of revenue received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Here, the agency-principal relationship is the nub of the plaintiff's case. Accordingly, it is useful to briefly review the law relating to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Agency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relationship of a stockbroker or financial advisor to a client is not necessarily a fiduciary relationship, although it may be in certain circumstances: </w:t>
      </w:r>
      <w:r>
        <w:rPr>
          <w:rFonts w:ascii="arial" w:eastAsia="arial" w:hAnsi="arial" w:cs="arial"/>
          <w:b/>
          <w:i/>
          <w:color w:val="000000"/>
          <w:sz w:val="20"/>
          <w:lang w:val="en-US" w:eastAsia="en-US" w:bidi="ar-SA"/>
        </w:rPr>
        <w:t xml:space="preserve">Reed v. McDermid St. Lawrence Ltd. </w:t>
      </w:r>
      <w:hyperlink r:id="rId231" w:history="1">
        <w:r>
          <w:rPr>
            <w:rFonts w:ascii="arial" w:eastAsia="arial" w:hAnsi="arial" w:cs="arial"/>
            <w:i/>
            <w:color w:val="0077CC"/>
            <w:sz w:val="20"/>
            <w:u w:val="single"/>
            <w:shd w:val="clear" w:color="auto" w:fill="FFFFFF"/>
            <w:lang w:val="en-US" w:eastAsia="en-US" w:bidi="ar-SA"/>
          </w:rPr>
          <w:t>(1990), 52 B.C.L.R. (2d) 265</w:t>
        </w:r>
      </w:hyperlink>
      <w:r>
        <w:rPr>
          <w:rFonts w:ascii="arial" w:eastAsia="arial" w:hAnsi="arial" w:cs="arial"/>
          <w:color w:val="000000"/>
          <w:sz w:val="20"/>
          <w:lang w:val="en-US" w:eastAsia="en-US" w:bidi="ar-SA"/>
        </w:rPr>
        <w:t xml:space="preserve"> (C.A.). It is, however, a relationship between agent and principal. The former has a duty to act in the interest of the latter and cannot allow his or her personal interests to conflict with the interest of the principal or make a profit in the absence of full and fair disclosure: </w:t>
      </w:r>
      <w:r>
        <w:rPr>
          <w:rFonts w:ascii="arial" w:eastAsia="arial" w:hAnsi="arial" w:cs="arial"/>
          <w:b/>
          <w:i/>
          <w:color w:val="000000"/>
          <w:sz w:val="20"/>
          <w:lang w:val="en-US" w:eastAsia="en-US" w:bidi="ar-SA"/>
        </w:rPr>
        <w:t>R.H. Deacon &amp; Co. Ltd. v. Varga,</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[1973] 1 O.R. 233</w:t>
        </w:r>
      </w:hyperlink>
      <w:r>
        <w:rPr>
          <w:rFonts w:ascii="arial" w:eastAsia="arial" w:hAnsi="arial" w:cs="arial"/>
          <w:color w:val="000000"/>
          <w:sz w:val="20"/>
          <w:lang w:val="en-US" w:eastAsia="en-US" w:bidi="ar-SA"/>
        </w:rPr>
        <w:t xml:space="preserve"> (C.A.) at 239, aff'd </w:t>
      </w:r>
      <w:hyperlink r:id="rId233" w:history="1">
        <w:r>
          <w:rPr>
            <w:rFonts w:ascii="arial" w:eastAsia="arial" w:hAnsi="arial" w:cs="arial"/>
            <w:i/>
            <w:color w:val="0077CC"/>
            <w:sz w:val="20"/>
            <w:u w:val="single"/>
            <w:shd w:val="clear" w:color="auto" w:fill="FFFFFF"/>
            <w:lang w:val="en-US" w:eastAsia="en-US" w:bidi="ar-SA"/>
          </w:rPr>
          <w:t>[1975] 1 S.C.R. 39</w:t>
        </w:r>
      </w:hyperlink>
      <w:r>
        <w:rPr>
          <w:rFonts w:ascii="arial" w:eastAsia="arial" w:hAnsi="arial" w:cs="arial"/>
          <w:color w:val="000000"/>
          <w:sz w:val="20"/>
          <w:lang w:val="en-US" w:eastAsia="en-US" w:bidi="ar-SA"/>
        </w:rPr>
        <w:t>. Whether or not the members of the proposed class knew or should have known that Merrill was making a profit is, of course, an issue to be determined. Certainly, the evidence of Mr. Cooper and Mr. Scott, his broker, with respect to the state of the former's knowledge, is in conflict. There is also a dispute as to whether, as Merrill alleges, it disclosed the fact that in certain circumstances, it acted as principal rather than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the present circumstances, Merrill was arguably selling its own property to its clients when it drew on its reserve of foreign currency. In </w:t>
      </w:r>
      <w:r>
        <w:rPr>
          <w:rFonts w:ascii="arial" w:eastAsia="arial" w:hAnsi="arial" w:cs="arial"/>
          <w:b/>
          <w:i/>
          <w:color w:val="000000"/>
          <w:sz w:val="20"/>
          <w:lang w:val="en-US" w:eastAsia="en-US" w:bidi="ar-SA"/>
        </w:rPr>
        <w:t>Scherer v. Zacks</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[1952] 4 D.L.R. 503</w:t>
        </w:r>
      </w:hyperlink>
      <w:r>
        <w:rPr>
          <w:rFonts w:ascii="arial" w:eastAsia="arial" w:hAnsi="arial" w:cs="arial"/>
          <w:color w:val="000000"/>
          <w:sz w:val="20"/>
          <w:lang w:val="en-US" w:eastAsia="en-US" w:bidi="ar-SA"/>
        </w:rPr>
        <w:t xml:space="preserve"> at 507, the Court clarified the duty of an agent with regard to his own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agent may sell his own property to the principal if it is proved that no advantage was taken by the agent of his position and the transaction was entered into in perfectly good faith and after full disclosure, but </w:t>
      </w:r>
      <w:r>
        <w:rPr>
          <w:rFonts w:ascii="arial" w:eastAsia="arial" w:hAnsi="arial" w:cs="arial"/>
          <w:color w:val="000000"/>
          <w:sz w:val="20"/>
          <w:u w:val="single"/>
          <w:lang w:val="en-US" w:eastAsia="en-US" w:bidi="ar-SA"/>
        </w:rPr>
        <w:t>the onus</w:t>
      </w:r>
      <w:r>
        <w:rPr>
          <w:rFonts w:ascii="arial" w:eastAsia="arial" w:hAnsi="arial" w:cs="arial"/>
          <w:color w:val="000000"/>
          <w:sz w:val="20"/>
          <w:lang w:val="en-US" w:eastAsia="en-US" w:bidi="ar-SA"/>
        </w:rPr>
        <w:t xml:space="preserve"> of proving this lies on the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the absence of full disclosure, the agent must recompense the principal in the amount of the undisclosed profit or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Despite the fact that some cases (e.g. </w:t>
      </w:r>
      <w:r>
        <w:rPr>
          <w:rFonts w:ascii="arial" w:eastAsia="arial" w:hAnsi="arial" w:cs="arial"/>
          <w:b/>
          <w:i/>
          <w:color w:val="000000"/>
          <w:sz w:val="20"/>
          <w:lang w:val="en-US" w:eastAsia="en-US" w:bidi="ar-SA"/>
        </w:rPr>
        <w:t>Atlanta Industrial Sales Limited and Westcoast Developments Ltd. v. Emerald Management &amp; Realty Ltd.,</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[2006] A.J. No. 624</w:t>
        </w:r>
      </w:hyperlink>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2006 ABQB 255</w:t>
        </w:r>
      </w:hyperlink>
      <w:r>
        <w:rPr>
          <w:rFonts w:ascii="arial" w:eastAsia="arial" w:hAnsi="arial" w:cs="arial"/>
          <w:color w:val="000000"/>
          <w:sz w:val="20"/>
          <w:lang w:val="en-US" w:eastAsia="en-US" w:bidi="ar-SA"/>
        </w:rPr>
        <w:t>) appear to have conflated all agency relationships and fiduciary relationships, I consider it beyond doubt that the principal-agent or broker-client relationship is not necessarily a fiduciary one although, in certain cases, it may become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boundaries of the fiduciary principle in the broker-client relationship were demarcated by Keenan J. in </w:t>
      </w:r>
      <w:r>
        <w:rPr>
          <w:rFonts w:ascii="arial" w:eastAsia="arial" w:hAnsi="arial" w:cs="arial"/>
          <w:b/>
          <w:i/>
          <w:color w:val="000000"/>
          <w:sz w:val="20"/>
          <w:lang w:val="en-US" w:eastAsia="en-US" w:bidi="ar-SA"/>
        </w:rPr>
        <w:t>Varcoe v. Sterling</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xml:space="preserve"> (Gen. Div.) at pp. 234-36: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relationship of broker and client is not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 fiduciary relationship . . . . Where the elements of trust and confidence and reliance on skill and knowledge and advice are present, the relationship is fiduciary and the obligations that attach are fiduciary. On the other hand, if those elements are not present, the fiduciary relationship does not exist . . . . The circumstances can cover the whole spectrum from total reliance to total independence. An example of total reliance is found in the case of </w:t>
      </w:r>
      <w:r>
        <w:rPr>
          <w:rFonts w:ascii="arial" w:eastAsia="arial" w:hAnsi="arial" w:cs="arial"/>
          <w:b/>
          <w:i/>
          <w:color w:val="000000"/>
          <w:sz w:val="20"/>
          <w:lang w:val="en-US" w:eastAsia="en-US" w:bidi="ar-SA"/>
        </w:rPr>
        <w:t>Ryder v. Osler, Wills, Bickle Ltd.</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(1985), 49 O.R. (2d) 609</w:t>
        </w:r>
      </w:hyperlink>
      <w:r>
        <w:rPr>
          <w:rFonts w:ascii="arial" w:eastAsia="arial" w:hAnsi="arial" w:cs="arial"/>
          <w:color w:val="000000"/>
          <w:sz w:val="20"/>
          <w:u w:val="single"/>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16 D.L.R. (4th) 80</w:t>
        </w:r>
      </w:hyperlink>
      <w:r>
        <w:rPr>
          <w:rFonts w:ascii="arial" w:eastAsia="arial" w:hAnsi="arial" w:cs="arial"/>
          <w:color w:val="000000"/>
          <w:sz w:val="20"/>
          <w:lang w:val="en-US" w:eastAsia="en-US" w:bidi="ar-SA"/>
        </w:rPr>
        <w:t xml:space="preserve"> (H.C.J.). A $400,000 trust for the benefit of an elderly widow was deposited with the broker. An investment plan was prepared and approved and authority given to operate a discretionary account . . . . At the other end of the spectrum is the unreported case of </w:t>
      </w:r>
      <w:r>
        <w:rPr>
          <w:rFonts w:ascii="arial" w:eastAsia="arial" w:hAnsi="arial" w:cs="arial"/>
          <w:b/>
          <w:i/>
          <w:color w:val="000000"/>
          <w:sz w:val="20"/>
          <w:lang w:val="en-US" w:eastAsia="en-US" w:bidi="ar-SA"/>
        </w:rPr>
        <w:t>Merit Investment Corp. v. Mogil</w:t>
      </w:r>
      <w:r>
        <w:rPr>
          <w:rFonts w:ascii="arial" w:eastAsia="arial" w:hAnsi="arial" w:cs="arial"/>
          <w:color w:val="000000"/>
          <w:sz w:val="20"/>
          <w:lang w:val="en-US" w:eastAsia="en-US" w:bidi="ar-SA"/>
        </w:rPr>
        <w:t xml:space="preserve">, Ont. H.C.J., Anderson J., March 23, 1989 (summarized at </w:t>
      </w:r>
      <w:hyperlink r:id="rId238" w:history="1">
        <w:r>
          <w:rPr>
            <w:rFonts w:ascii="arial" w:eastAsia="arial" w:hAnsi="arial" w:cs="arial"/>
            <w:i/>
            <w:color w:val="0077CC"/>
            <w:sz w:val="20"/>
            <w:u w:val="single"/>
            <w:shd w:val="clear" w:color="auto" w:fill="FFFFFF"/>
            <w:lang w:val="en-US" w:eastAsia="en-US" w:bidi="ar-SA"/>
          </w:rPr>
          <w:t>14 A.C.W.S. (3d) 378</w:t>
        </w:r>
      </w:hyperlink>
      <w:r>
        <w:rPr>
          <w:rFonts w:ascii="arial" w:eastAsia="arial" w:hAnsi="arial" w:cs="arial"/>
          <w:color w:val="000000"/>
          <w:sz w:val="20"/>
          <w:lang w:val="en-US" w:eastAsia="en-US" w:bidi="ar-SA"/>
        </w:rPr>
        <w:t>), in which the client used the brokerage firm for processing orders. He referred to the account executive as an "order-taker", whose advice was not sought and whose warnings were ignored.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relationship of the broker and client is elevated to a fiduciary level when the client reposes trust and confidence in the broker and relies on the broker's advice in making business decisions. When the broker seeks or accepts the client's trust and confidence and undertakes to advise, the broker must do so fully, honestly and in good faith . . . . It is the trust and reliance placed by the client which gives to the broker the power and in some cases, discretion, to make a business decision for the client. Because the client has reposed that trust and confidence and has given over that power to the broker, the law imposes a duty on the broker to honour that trust and respond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That passage was adopted as "an accurate statement of fiduciary law in the context of independent professional advisory relationships" by LaForest J. in </w:t>
      </w:r>
      <w:r>
        <w:rPr>
          <w:rFonts w:ascii="arial" w:eastAsia="arial" w:hAnsi="arial" w:cs="arial"/>
          <w:b/>
          <w:i/>
          <w:color w:val="000000"/>
          <w:sz w:val="20"/>
          <w:lang w:val="en-US" w:eastAsia="en-US" w:bidi="ar-SA"/>
        </w:rPr>
        <w:t>Hodgkinson v. Simms et al.,</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420.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Determination of the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thrust of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goes far beyond resolving the common issues in a dispute; it embodies flexible procedures for the management and determination of the individual issues. For example, s. 27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Determination of individual issues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(1) When the court determines common issues in favour of a class or subclass and determines that there are issues, other than those that may be determined under section 32, that are applicable only to certain individual members of the class or subclass, the court may</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those individual issues in further hearings presided over by the judge who determined the common issues or by another judge of the court,</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appoint one or more persons including, without limitation, one or more independent experts, to conduct an inquiry into those individual issues under the Rules of Court and report back to the court, or</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consent of the parties, direct that those individual issues be determined in any other manner.</w:t>
      </w:r>
    </w:p>
    <w:p>
      <w:pPr>
        <w:numPr>
          <w:numId w:val="9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give any necessary directions relating to the procedures that must be followed in conducting hearings, inquiries and determinations under subsection (1).</w:t>
      </w:r>
    </w:p>
    <w:p>
      <w:pPr>
        <w:numPr>
          <w:numId w:val="9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giving directions under subsection (2), the court must choose the least expensive and most expeditious method of determining the individual issues that is consistent with justice to members of the class or subclass and the parties and, in doing so, the court may</w:t>
      </w:r>
    </w:p>
    <w:p>
      <w:pPr>
        <w:numPr>
          <w:numId w:val="9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dispense with any procedural step that it considers unnecessary, and</w:t>
      </w:r>
    </w:p>
    <w:p>
      <w:pPr>
        <w:numPr>
          <w:numId w:val="9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authorize any special procedural steps, including steps relating to discovery, and any special rules, including rules relating to admission of evidence and means of proof, that it considers appropriate.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Modification of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third goal of certification is modification of the defendant's behaviour. In this case, Merrill Lynch left the business of providing financial services to individual retail investors in December 2001, and hence there is no issue of modifying the defendant's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Judgment in the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xml:space="preserve"> decision was rendered in September 2001. Merrill says that, following that judgment, many investment advisors altered their forms so as to provide the necessary information to their clients. Specifically, the National Bank Financial, formerly another defendant in this action, changed its contracts to make reference to currency transactions. However, the plaintiff notes that this change affects only new contracts. There no notification to existing clients of the currency conversion commission. Further, the plaintiff points out that there is no evidence of any other investment advisors altering their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 re preferability: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Many of the defendant's cases are distinguishable on the basis that they are purely contractual in nature and do not involve agency principles. Others illustrate a divergence between differing approaches to class action litigation in BC and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conclude that the proposed common issues will advance the litigation significantly and that individual actions would be uneconomic and impractical. Resolving the common issues first will enhance judicial efficiency and fairness to the parties. Access to justice is a fundamental goal of class proceedings. The many potential claimants cannot realistically bring individual actions. The issues raised in this litigation - particularly whether financial advisors are entitled to take commissions on foreign currency conversions without full disclosure - have a potentially far-reaching influence on capital markets in BC.</w:t>
      </w:r>
      <w:r>
        <w:rPr>
          <w:rFonts w:ascii="arial" w:eastAsia="arial" w:hAnsi="arial" w:cs="arial"/>
          <w:sz w:val="20"/>
          <w:lang w:val="en-US" w:eastAsia="en-US" w:bidi="ar-SA"/>
        </w:rPr>
        <w:cr/>
      </w:r>
    </w:p>
    <w:p>
      <w:pPr>
        <w:numPr>
          <w:numId w:val="9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Is there a suitable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Merrill does not dispute that Mr. Cooper would be a suitable representative who would fairly and adequately represent the interests of the class and does not have an interest that conflicts with the interests of the other class members. However, the defendant asserts that the plaintiff does not satisfy the requirement set out in s. 4(1)(e)(ii) which requires him to "produce a plan for the proceeding that sets out a workable method of advancing the proceeding on behalf of the class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Citing </w:t>
      </w:r>
      <w:r>
        <w:rPr>
          <w:rFonts w:ascii="arial" w:eastAsia="arial" w:hAnsi="arial" w:cs="arial"/>
          <w:b/>
          <w:i/>
          <w:color w:val="000000"/>
          <w:sz w:val="20"/>
          <w:lang w:val="en-US" w:eastAsia="en-US" w:bidi="ar-SA"/>
        </w:rPr>
        <w:t>Caputo</w:t>
      </w:r>
      <w:r>
        <w:rPr>
          <w:rFonts w:ascii="arial" w:eastAsia="arial" w:hAnsi="arial" w:cs="arial"/>
          <w:color w:val="000000"/>
          <w:sz w:val="20"/>
          <w:lang w:val="en-US" w:eastAsia="en-US" w:bidi="ar-SA"/>
        </w:rPr>
        <w:t>, Merrill says that the litigation plan is often an integral ingredient of the preferability analysis. Here, the proposed litigation plan is criticized on the basis that it provides no real or procedurally fair treatment of individual issues and there is a danger that it might abrogate the defendant's discovery and other rights in regard to the liability issues relating to disclosure made to, or the knowledge of, the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purpose of a litigation plan was described by Madam Justice Gerow in </w:t>
      </w:r>
      <w:r>
        <w:rPr>
          <w:rFonts w:ascii="arial" w:eastAsia="arial" w:hAnsi="arial" w:cs="arial"/>
          <w:b/>
          <w:i/>
          <w:color w:val="000000"/>
          <w:sz w:val="20"/>
          <w:lang w:val="en-US" w:eastAsia="en-US" w:bidi="ar-SA"/>
        </w:rPr>
        <w:t>Fakhri v. Alfalfa's Canada Inc.,</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[2003] B.C.J. No. 2618</w:t>
        </w:r>
      </w:hyperlink>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2003 BCSC 1717</w:t>
        </w:r>
      </w:hyperlink>
      <w:r>
        <w:rPr>
          <w:rFonts w:ascii="arial" w:eastAsia="arial" w:hAnsi="arial" w:cs="arial"/>
          <w:color w:val="000000"/>
          <w:sz w:val="20"/>
          <w:lang w:val="en-US" w:eastAsia="en-US" w:bidi="ar-SA"/>
        </w:rPr>
        <w:t xml:space="preserve"> at para. 77, aff'd </w:t>
      </w:r>
      <w:hyperlink r:id="rId241" w:history="1">
        <w:r>
          <w:rPr>
            <w:rFonts w:ascii="arial" w:eastAsia="arial" w:hAnsi="arial" w:cs="arial"/>
            <w:i/>
            <w:color w:val="0077CC"/>
            <w:sz w:val="20"/>
            <w:u w:val="single"/>
            <w:shd w:val="clear" w:color="auto" w:fill="FFFFFF"/>
            <w:lang w:val="en-US" w:eastAsia="en-US" w:bidi="ar-SA"/>
          </w:rPr>
          <w:t>[2004] B.C.J. No. 2200</w:t>
        </w:r>
      </w:hyperlink>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2004 BCCA 549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purpose of the plan for proceeding at the certification stage is to aid the court by providing a framework within which the case may proceed and to demonstrate that the representative plaintiff and class counsel have a clear grasp of the complexities involved in the case which are apparent at the time of certification and a plan to address them. </w:t>
      </w:r>
      <w:r>
        <w:rPr>
          <w:rFonts w:ascii="arial" w:eastAsia="arial" w:hAnsi="arial" w:cs="arial"/>
          <w:color w:val="000000"/>
          <w:sz w:val="20"/>
          <w:u w:val="single"/>
          <w:lang w:val="en-US" w:eastAsia="en-US" w:bidi="ar-SA"/>
        </w:rPr>
        <w:t>The court does not scrutinize the plan at the certification hearing to ensure that it will be capable of carrying the case through to trial and resolution of the common issues without amendment. It is anticipated that plans will require amendments as the case proceeds and the nature of the individual issues are demonstrated by the class members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Hoy v. Medtronic</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[2001] B.C.J. No. 1968</w:t>
        </w:r>
      </w:hyperlink>
      <w:r>
        <w:rPr>
          <w:rFonts w:ascii="arial" w:eastAsia="arial" w:hAnsi="arial" w:cs="arial"/>
          <w:color w:val="000000"/>
          <w:sz w:val="20"/>
          <w:lang w:val="en-US" w:eastAsia="en-US" w:bidi="ar-SA"/>
        </w:rPr>
        <w:t xml:space="preserve">, at [paragraphs] 81-82; </w:t>
      </w:r>
      <w:r>
        <w:rPr>
          <w:rFonts w:ascii="arial" w:eastAsia="arial" w:hAnsi="arial" w:cs="arial"/>
          <w:b/>
          <w:i/>
          <w:color w:val="000000"/>
          <w:sz w:val="20"/>
          <w:lang w:val="en-US" w:eastAsia="en-US" w:bidi="ar-SA"/>
        </w:rPr>
        <w:t>Scott</w:t>
      </w:r>
      <w:r>
        <w:rPr>
          <w:rFonts w:ascii="arial" w:eastAsia="arial" w:hAnsi="arial" w:cs="arial"/>
          <w:color w:val="000000"/>
          <w:sz w:val="20"/>
          <w:lang w:val="en-US" w:eastAsia="en-US" w:bidi="ar-SA"/>
        </w:rPr>
        <w:t>, [paragraphs] 164-167.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plaintiff's proposed case management plan is appended to these reasons as Schedule "A". It provides for notice, discovery of documents and examinations for discovery; case management and interlocutory applications; resolution of all, or as many as possible, of the common issues through Rule 18 and Rule 18A applications; and the exchange of expert reports and a viva voce trial if necessary. The plaintiff notes that if the defendant is wholly successful on the common issues, the case will be at an end. If the plaintiff is successful, the case management plan can be implemented and amended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proposes that Merrill's revenue relating to the foreign exchange can be determined without the participation of the individual clients. A specific accounting of revenue can be determined with respect to those transactions that can be specifically traced. Merrill can provide the accounting and the plaintiff could dispute it within 30 days, such dispute to be determined by a Master. Damages would be awarded according to the revenue on the offset amount for each day plus any revenue earned on the excess amount. Members of the class would be entitled to recover from the global revenue according to their pro rata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Merrill may be required to provide a list of class members to whom they allege that appropriate disclosure was made. Mini-trials may need to be heard on that issue, perhaps on affidavits, and perhaps by way of proceedings before a Master. Claims forms may be developed for other issues that require evidence from class members and/or a Master can make a report and recommendation to the Court. Alternatively, the plaintiff is prepared to arbitrate the issues regarding the calculation and distribution of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While the case management plan will likely require amendment and modification as the litigation progresses, I conclude that it is sufficient to satisfy the requirements of the certification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It is true that Merrill provided competitive currency exchange rates that its clients could not likely have obtained elsewhere. However, Merrill was never at risk of losing money (globally) in the process. It insulated itself against any loss by offsetting currency transactions against one another to minimize its risk exposure and by applying a spread that was greater than the average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While there may have to be a determination, in each particular case, of certain issues, e.g., as to what information was transmitted from the broker to the client, it is nonetheless the case that there are substantive common issues. The most significant of those arise from allegations that are not conceded: that Merrill acted as agent; that it failed to disclose the currency transaction scheme, that liability would flow from such a failure to disclose; and that the measure of liability is the spread.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All of the defendant's submissions stem from its position that individual inquires are necessary to, and determinative of, all of the issues relating to the plaintiff's claims. On the other hand, if, as the plaintiff asserts, there is a common duty from the broker to the client arising out of the agency relationship, regardless of the particulars of that relationship, then the determination of many of the legal and factual issues will move the litigation forward substantially. If the resolution of some or all of the common issues is decided in the defendant's favour, then the litigation may be ended, or it may be appropriate to decertify these claims as a class proceeding. The </w:t>
      </w:r>
      <w:r>
        <w:rPr>
          <w:rFonts w:ascii="arial" w:eastAsia="arial" w:hAnsi="arial" w:cs="arial"/>
          <w:b/>
          <w:i/>
          <w:color w:val="000000"/>
          <w:sz w:val="20"/>
          <w:lang w:val="en-US" w:eastAsia="en-US" w:bidi="ar-SA"/>
        </w:rPr>
        <w:t>CPA</w:t>
      </w:r>
      <w:r>
        <w:rPr>
          <w:rFonts w:ascii="arial" w:eastAsia="arial" w:hAnsi="arial" w:cs="arial"/>
          <w:color w:val="000000"/>
          <w:sz w:val="20"/>
          <w:lang w:val="en-US" w:eastAsia="en-US" w:bidi="ar-SA"/>
        </w:rPr>
        <w:t xml:space="preserve"> contemplates flexibility in the litigation procedure. As the Ontario Court of Appeal noted in </w:t>
      </w:r>
      <w:r>
        <w:rPr>
          <w:rFonts w:ascii="arial" w:eastAsia="arial" w:hAnsi="arial" w:cs="arial"/>
          <w:b/>
          <w:i/>
          <w:color w:val="000000"/>
          <w:sz w:val="20"/>
          <w:lang w:val="en-US" w:eastAsia="en-US" w:bidi="ar-SA"/>
        </w:rPr>
        <w:t>Hickey-Button</w:t>
      </w:r>
      <w:r>
        <w:rPr>
          <w:rFonts w:ascii="arial" w:eastAsia="arial" w:hAnsi="arial" w:cs="arial"/>
          <w:color w:val="000000"/>
          <w:sz w:val="20"/>
          <w:lang w:val="en-US" w:eastAsia="en-US" w:bidi="ar-SA"/>
        </w:rPr>
        <w:t xml:space="preserve"> at para. 59, "the certification process is sufficiently flexible to react to changes in the litigation landscape that occur in the course of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Accordingly, I certify the plaintiff's action as a class proceeding. The common issues and the case management plan are approved. Counsel have liberty to apply with respect to any matters that require clarification.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394.5pt;height:509.25pt">
            <v:imagedata r:id="rId243" o:title=""/>
          </v:shape>
        </w:pict>
      </w:r>
      <w:r>
        <w:rPr>
          <w:rFonts w:ascii="arial" w:eastAsia="arial" w:hAnsi="arial" w:cs="arial"/>
          <w:sz w:val="20"/>
          <w:lang w:val="en-US" w:eastAsia="en-US" w:bidi="ar-SA"/>
        </w:rPr>
        <w:t xml:space="preserve">  </w:t>
      </w:r>
      <w:r>
        <w:pict>
          <v:shape id="_x0000_i1079" type="#_x0000_t75" style="width:432.06pt;height:541.58pt">
            <v:imagedata r:id="rId244" o:title=""/>
          </v:shape>
        </w:pict>
      </w:r>
      <w:r>
        <w:pict>
          <v:shape id="_x0000_i1080" type="#_x0000_t75" style="width:420pt;height:559.5pt">
            <v:imagedata r:id="rId245" o:title=""/>
          </v:shape>
        </w:pict>
      </w:r>
      <w:r>
        <w:pict>
          <v:shape id="_x0000_i1081" type="#_x0000_t75" style="width:417pt;height:348.75pt">
            <v:imagedata r:id="rId246" o:title=""/>
          </v:shape>
        </w:pic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Crichton v. McNaughton, [2008] B.C.J. No. 784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26-27 and April 21,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M48741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784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2008 BCSC 556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166 A.C.W.S. (3d) 690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Sheri Crichton, Plaintiff, and Devin McNaughton and Barry Audin,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4" w:name="Keywords_10"/>
      <w:bookmarkEnd w:id="84"/>
      <w:r>
        <w:rPr>
          <w:rFonts w:ascii="arial" w:eastAsia="arial" w:hAnsi="arial" w:cs="arial"/>
          <w:b/>
          <w:color w:val="000000"/>
          <w:sz w:val="20"/>
          <w:lang w:val="en-US" w:eastAsia="en-US" w:bidi="ar-SA"/>
        </w:rPr>
        <w:t>Damages — General damages — For personal injuries — Cost of future care — Loss of earning capacity — Non-pecuniary damages, including pain and suffering — Action by Crichton for damages for a motor vehicle collision allowed — McNaughton, the defendant driver, was wholly responsible for the collision — Furthermore, Crichton sustained injuries as a result of the collision and was disabled from her employment duties — Crichton was awarded $40,000 in non-pecuniary damages and $9,187 for past wage loss — She was also awarded $10,000 for loss of future earning capacity and $1000 for the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Liability of owner — Action by Crichton for damages for a motor vehicle collision allowed — McNaughton, the defendant driver, was wholly responsible for the collision — Audin, the defendant vehicle owner, was vicariously liable — Crichton sustained injuries as a result of the collision and was disabled from her employment duties — Thus, Crichton was awarded $40,000 in non-pecuniary damages and $9,187 for past wage loss — She was also awarded $10,000 for loss of future earning capacity and $1000 for the cost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5" w:name="Case Summary_9"/>
            <w:bookmarkEnd w:id="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Crichton for damages for a motor vehicle collision which she alleged took place between the vehicle she was driving and a vehicle driven by the defendant McNaughton and owned by the defendant Audin. Crichton alleged that McNaughton hit her from behind and that the impact caused her to suffer soft tissue injuries. Immediately following the alleged collision, McNaughton offered to pay for the repairs to Crichton's vehicle. Crichton took the position that she was entitled to $40,000 in non-pecuniary damages, $9,187 for past wage loss, $20,000 for loss of future earning capacity and an award for the cost of future care. McNaughton and Audin denied that a collision took place between the vehicles. In the alternative, McNaughton and Audin took the position that Crichton was only entitled to $7,500 in non-pecuniary damages and less than was requested for past lost wages. McNaughton and Audin also submitted that Crichton was not entitled to an award for loss of future earning capacity.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6" w:name="Holdings of Court_6"/>
            <w:bookmarkEnd w:id="8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a minor rear-end collision between the vehicle driven by McNaughton and Crichton's vehicle. If McNaughton had believed that he did not hit Crichton's vehicle, he would not have offered to pay for the repairs. McNaughton was wholly responsible for the collision and Audin was vicariously liable, as McNaughton was driving the vehicle with his consent. Furthermore, Crichton did sustain a soft tissue injury as a result of the collision and she was disabled from her employment duties for approximately three and a half weeks. Crichton was awarded $40,000 in non-pecuniary damages and $9,187 for past wage loss. She was also awarded $10,000 for loss of future earning capacity and $1000 for the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7" w:name="Legislation Cited_8"/>
      <w:bookmarkEnd w:id="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4"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255" w:history="1">
        <w:r>
          <w:rPr>
            <w:rFonts w:ascii="arial" w:eastAsia="arial" w:hAnsi="arial" w:cs="arial"/>
            <w:i/>
            <w:color w:val="0077CC"/>
            <w:sz w:val="20"/>
            <w:u w:val="single"/>
            <w:shd w:val="clear" w:color="auto" w:fill="FFFFFF"/>
            <w:lang w:val="en-US" w:eastAsia="en-US" w:bidi="ar-SA"/>
          </w:rPr>
          <w:t>R.S.B.C. 1996, c. 231, s. 98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256" w:history="1">
        <w:r>
          <w:rPr>
            <w:rFonts w:ascii="arial" w:eastAsia="arial" w:hAnsi="arial" w:cs="arial"/>
            <w:i/>
            <w:color w:val="0077CC"/>
            <w:sz w:val="20"/>
            <w:u w:val="single"/>
            <w:shd w:val="clear" w:color="auto" w:fill="FFFFFF"/>
            <w:lang w:val="en-US" w:eastAsia="en-US" w:bidi="ar-SA"/>
          </w:rPr>
          <w:t>R.S.B.C. 1996, c. 318, s. 86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66(29)(b)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8" w:name="Counsel_10"/>
      <w:bookmarkEnd w:id="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de Turberville.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Whitfield.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9" w:name="Judgment_10"/>
      <w:bookmarkEnd w:id="89"/>
      <w:r>
        <w:pict>
          <v:line id="_x0000_s1086"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0" w:name="A.F. WILSON J."/>
            <w:bookmarkEnd w:id="90"/>
            <w:r>
              <w:rPr>
                <w:rFonts w:ascii="arial" w:eastAsia="arial" w:hAnsi="arial" w:cs="arial"/>
                <w:b/>
                <w:color w:val="000000"/>
                <w:sz w:val="30"/>
                <w:lang w:val="en-US" w:eastAsia="en-US" w:bidi="ar-SA"/>
              </w:rPr>
              <w:t>A.F.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collision which the plaintiff, Sheri Levy, formerly Sheri Crichton, alleges occurred between the vehicle she was driving and one driven by the defendant, Devin McNaughton, and owned by the defendant, Barry Audin ("the McNaughton vehicle"). The collision is said to have occurred at the corner of Wall Street and Bowen Road, in Nanaimo, at approximately midday on July 15, 2005. The defendants deny there was any collision between the vehicles. The issues at trial are thus, first, whether there was a collision, and, second, if there was, what damages were sustained by Ms. Levy.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Liability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Sheri Levy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Levy says she was driving her family minivan, a 1990 Plymouth Voyager, on the way home after doing some shopping in the late morning of July 15, 2005. She drove south on Wall Street to the intersection with Bowen Road, then went into a lane to turn right onto Bowen Road. That is a single lane, requiring drivers to yield right of way to vehicles traveling west on Bowen Road. Ms. Levy says she stopped in that lane, as there was a vehicle going through the intersection on Bowen Road. She had her foot on the brake. At that point, she was hit from behind by the McNaughton vehicle. She says her vehicle was moved forward as a result of the impact, enough that the purchases she had made which were on the centre seat fell onto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the impact, Ms. Levy says that she got out of her vehicle, and walked towards the vehicle which had struck her, a pickup truck. She said the driver did not get out at first, but motioned her to move forward. She refused to do so, and said that he had hit her. He then got out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Levy says that the taillight on her minivan was cracked, with a piece missing, and the license plate bent. However, the taillight and license plate were not produced, nor were there any photographs of the damage. Ms. Levy says that she did take photographs of the damage, which were on a computer at home. However, she says those photographs were lost when the hard drive of the computer was damaged by a virus.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Levy says that before she started out on that trip, she had done a check of the vehicle, and the taillight was not cracked at that time. She says the other driver also pointed out scuff marks on the fender, but she does not know if those were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Levy says that the two of them exchanged information, and that the driver of the truck told her to take the minivan to his auto body shop to have it fixed. However, she did not do that. In fact, she says no repairs were done to the minivan. She says that it was traded to a mechanic in exchange for repairs to another vehicle the following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Levy says that she reported the accident to I.C.B.C. She admits that she was requested to bring the vehicle in for inspection, but did not do so.</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Devin McNaughton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direct examination, Mr. McNaughton said that in July 2005, he was working for Mr. Audin and driving his Ford F250 pickup. He said it was used for off-road driving, and had a heavy-duty front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McNaughton said that he came up Wall Street, intending to make a right turn onto Comox Road (the name of the road before it changes into Bowen Road). He says he saw the brake lights of the van in front of him go on, that he steered around it, and ended up stopped beside it. He said that his vehicle came to a stop parallel to the van, with his front bumper beside the front bumper of the van. He said that a woman got out of the van, and said that he had struck her vehicle. However, he said, "It is my opinion that I did not". He said he looked at her vehicle, saw the broken taillight, and a scratch on the rear bumper, but that there was no broken glass on the roadway. He said, "She made me believe I had caused it - she said I hit her, I wasn't sure if I did or not" (based on my notes, which may not be verbatim). He said he felt no impact. However, he admits that he did offer to pay for the repairs. He said he did that because he thought if he had hit her vehicle, he was responsible to pay for it. That does indicate, at least, some uncertainty on his part as to whether there was an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cross-examination, Mr. McNaughton says that there was six feet between the passenger side of his vehicle, and the driver's side of her vehicle when they were stopped. He agreed that there was a pedestrian island to his right, and said that they were between it and the sidewalk. He was then shown photographs of the turn lane, and the traffic island, Exhibit 4. There does not appear to be enough room for the van and the pickup to be side by side in the gap between the sidewalk and the traffic island, certainly not if there was six feet between the passenger side of his vehicle, and the driver's side of hers. Mr. McNaughton then said, for the first time, that the driver's side of his vehicle was up on the traffic island. At the end of cross-examination, he did agree that it was possible that he had hit Ms. Levy's vehicle.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Gordon Thompson, Estimator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Thompson, an estimator employed by I.C.B.C., did not inspect Ms. Levy's van, as it was not brought in as requested. However, he did inspect the Ford pickup, and took pictures. He confirmed that it did have a steel checkerplate front bumper, an after-market accessory, welded to the frame. He said there was no sign of new damage. However, on cross-examination, he conceded that the vehicle, with that bumper, could cause damage to another vehicle without it showing.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Jennifer Bricker, a friend of Ms. Levy, and Allene Schickerowsky, her mother, also gave evidence which may be relevant to the issue of liability. Ms. Bricker gave evidence of complaints made to her by Ms. Levy (admissible only for the fact of the complaints, not the truth of them) and also her observations of how Mr. Levy was carrying herself stiffly, and was not able to pick up her youngest child. Ms. Schickerowsky also gave evidence of complaints made by Ms. Levy after the accident, noted that she was in apparent pain from the way she carried herself, and that she was less active, especially with the children, after the collision.</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find there was a rear-end collision between the vehicle driven by Mr. McNaughton and that driven by Ms. Levy. I accept that could well have happened without Mr. McNaughton being aware of it, with the heavy steel bumper on the pickup nudging the rear bumper of the van. That is indicated by the fact that he initially did not get out of the pickup, but motioned Ms. Levy to move her vehicle forward. There are suspicious circumstances: the fact that Ms. Levy did not make her vehicle available for inspection by I.C.B.C.; the absence of the damaged taillight or photographs of the damage; and the lack of glass from the taillight on the roadway. However, Mr. McNaughton's explanation of what happened, that he ended up beside Ms. Levy's van, parallel to it, but six feet away from it, makes no sense, particularly when the photographs showing the traffic island are considered. Further, Mr. McNaughton seemed uncertain, even in his direct examination, as to whether his vehicle hit the Levy vehicle. In cross-examination, he conceded that it is possible that he did. In fact, I find that his belief about whether his vehicle struck the Levy vehicle is stronger than a mere possibility. If he did not believe that he had struck it, I find that he would not have offered to provide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thus find that there was a minor collision, based on the evidence of Ms. Levy and Mr. McNaughton. I am not dissuaded from that view by the evidence of Mr. Thompson, in light of the heavy-duty nature of the front bumper. I find some corroboration for the collision in the evidence of Ms. Bricker and Ms. Schickerowsky of the fact of complaints made to them, and observations of Mr. Levy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 there is no evidence of any fault on the part of Ms. Levy, I find Mr. McNaughton wholly responsible for the collision. The only evidence is that he was driving the vehicle with the consent of Mr. Audin. I thus find Mr. Audin vicariously liable pursuant to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Effect of Collision on Ms. Levy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Ms. Levy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Levy says that, although she was wearing her lap and shoulder seat belt, and the van had captain's chairs with high backs, she went forward and hit the steering wheel, and then back against the seat. She said that following the collision she was shaken, nauseated, and had a headache. However, she was able to telephone her husband on the cell phone to ask him what to do. She says that at that time she had pain in her neck and upper back, and that the headache was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Levy did go into the clinic where her regular family doctor, Dr. Mann carried on practice. However, she saw Dr. Anthony. His clinical note indicates: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MOTOR VEHICLE ACCIDENT [RFV]</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NECK STRAIN. MVA TODAY. 3 HRS AGO. DRIVER DODGE CARAVAN, STATIONARY, L&amp;D SEATBELT, HIGHBACK SEAT. STRUCK REAR LEFT BY 3/4 TON PICKUP &amp; DAMAGED TAILLIGHT. IMMEDIATE DISCOMFORT LEFT TRAPEZIUS - SCAPULAR AREA. DISCOMFORT BACK OF HEAD, NO PRIOR INJURY. O/E: NECK ROM ALL 20-25% RESTRICTED, VERY TENDER LEFT TRAPEZIUS. DX - SOFT TISSUE INJURY. RX: IBUPROFEN, STRETCH EXERCISES. SEE 7-10 DAYS PRN.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clinical records do indicate that Ms. Levy had previous medical problems in 2005. On January 27, 2005, the clinical note indicates: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 PAIN [RFV]</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LUMBAR BACK PAIN. (L) HIP: 8 YEARS AGO TROUBLE DURING PREGNANCY. OVER LAST YEAR INCREASING EPISODES OF BILATERAL LUMBAR PAIN WITH WT BEARING. PIVOTING TO TURN CAUSES RADICULAR PAIN. NO BOWEL OR BLADDER CONTROL PROBS. P: XRAY, ADVIL, STRETCHES.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result, she had lumbar spine and pelvic x-rays, which were negative. However, she was back in the clinic on February 8. The clinical note indicates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 PAIN [RFV]</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PAIN X 3 MONTHS, COMES ONCE/MONTH, LEFT SI AND HIP AREA, LIKE SHE HAD DURING PREGNANCIES. SEEMS MUCOSKELETAL. REASSURED, DO EXERCISES, SEE PRN.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TENDER ON LIGHT PALPITATION AROUND LEFT SI JOINT AND DIFFUSELY AROUND THAT AREA, FULL 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complaints preceding the motor vehicle accident related to her low back. There is no indication of low back complaints on the date of the collision or subsequently until July, 2006. Also with respect to the July 15 visit, there is no indication of muscle spasm. Dr. Dunlop prescribed medication, exercises and for Ms. Levy to return in seven to ten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Levy said that she continued to have pain in the neck, the left upper back, and headaches. She returned to the clinic four days later, on July 19, and saw Dr. Boshoff. His clinical note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MOTOR VEHICLE ACCIDENT [RFV]</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MVA FRIDAY - SAW DR. DUNLOP. NECK &amp; BACK PAIN. USED ADVIL - NO EFFECT. STILL QUITE SORE. O/E: TENDER TO TOUCH, ROM LIMITED DUE TO PAIN, NEURO - LOTS OF PAIN LEFT NECK &amp; BACK. RX: NAPROXYN 500 MG BID, BACLOFEN 10 MG TID. MASSAGE RX.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respect to the reference to the back, Dr. Mann gave evidence by deposition, that he thought the reference to the back related to the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Although Ms. Levy says that she was having muscle spasms, again there is no note of that on the clinical note. There is a note of spasms in Dr. Mann's clinical note, dated July 21, 2005,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MOTOR VEHICLE ACCIDENT [RFV]</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MVA 15 JULY. HAS VAN CLIPPED BY A TRUCK FROM BEHIND. PERHAPS NO DAMAGE TO TRUCK (DRIVER DENIED ANY CONTACT). SOME DAMAGE TO BACK OF HER VAN. LOTS OF PAIN &amp; SPASM (LT) BACK AND SCAPULAR AREA. WORKS AS HOUSE PAINTER. CONT EXERCISE, HEAT/COLD. RX: T3 X 100. SEE 1 WK.</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BACK: TENDER AROUND SCAPULA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GAIT: "STIFF"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NECK: ALL ROM 50%, ALL PAINFUL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SHOULDERS: LT. FULL ROM, BUT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That clinical note indicates that, while Ms. Levy complained of spasm, no spasm was noted on the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Levy's next visit to Dr. Mann was on July 28, 2005, when his clinical note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MOTOR VEHICLE ACCIDENT [RFV]</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DOING OK. IMPROVED ROM, THO' STILL LOTS OF PAIN. GETTING MASSAGE. WORKING ON ROM. STAY OFF 1 MORE WK, THEN BACK TO WORK. SEE PRN.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BACK: FLEXES TO TOUCH KNEES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NECK: 75-100% ROM, PAIN AT EXTREMES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Despite Dr. Mann's indication that she could try to go back to work after a week, Ms. Levy did not return to painting that season, which ended around the end of October. She says that her employer did not want a person on the jobsite when that person was taking medications. She also said that she would have problems lifting her left arm above her head, needed to use a high roller, to lift ladders, and to paint. She says she had physical limitations at that time, that such activities as transferring her laundry from one machine to another, vacuuming and cooking were difficult. She said what she found most distressing was that she was unable to pick up her son, then aged 2. She could not put him in or out of a grocery cart, and it was hard to put him into his car seat. She was not able to wrestle with the children as she had previously done. She also gave up previous activities, such as bicycling and playing catch.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Levy says that she had massage therapy over the summer until about mid-September. At that time, she was cut off by I.C.B.C., and could not afford further treatments herself. She said that the massage therapy had helped in regaining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Levy next saw Dr. Mann on September 2, when his clinical note indicates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MOTOR VEHICLE ACCIDENT [RFV]</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STILL GETTING MASSAGE 2/WK. DOING EXERCISES. NOT AT WORK. SOME IMPROVEMENT. REFILL BACLOFEN TID X30, TYLENOL NO 3 1-2 DAILY X40.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NECK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ALMOST FULL R.O.M., THOUGH ALL MOVEMENTS PAINFUL, NECK MUSCLES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September 22, 2005, Dr. Mann's clinical note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MOTOR VEHICLE ACCIDENT [RFV]</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STILL HEADACHES AND NECK PAIN. THERAPIST SAID NEEDS MORE MASSAGE. GIVEN NOTES. SHERI NEEDS 2 MORE WEEKS OF MASSAGE, THEN SHE SHOULD HAVE A GRADUATED RETURN TO WORK OVER 2-4 WEEKS. (EXTERIOR HOUSE PAINTING). RX: TYLENOL NO 3 X 20.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GAIT</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NORMAL BUT HOLDS NECK STIFF.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NECK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FULL ROM, MODERATELY PAINFUL, NUCHAL MUSCLES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Levy says that Dr. Mann and Mr. Paradis, the massage therapist, gave her stretching exercises for her neck, which she says she is still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his evidence on deposition, Dr. Mann gave the opinion that Ms. Levy had achieved "full functional recovery" by October 31,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early November 2005, Ms. Levy did attempt to return to work, doing an interior painting job. That job lasted 32 hours, and caused her pain in the neck and upper back, and muscle spasms as she was rolling ceilings. However, it appears that she did not return to see Dr. Mann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end of the outdoor painting season, Ms. Levy would normally have applied for and received regular employment insurance benefits. However, she had not received the necessary hours to qualify for such benefits. She did work for three weeks as a returning officer for Elections Canada in December, 2005, and January 2006. She also worked for 26 hours on a private painting job in March, 2006. On April 2, 2006, she returned to her employment with Home Pro, and was promoted to the position of foreman. That position involved less overhead work, only when the job was falling behind schedule. However, she said if she did that work, she got neck and upper back spasms, and headaches lasting for two to three days. She thus received assistance with any overhead work. She did return to see Dr. Mann on April 27, 2006, with complaints of ongoing problems with pain in the left side of her neck, and spasms on the left upper back. His clinical note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MOTOR VEHICLE ACCIDENT [RFV]</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STILL NECK AND UPPER BACK PAINS. I.C.B.C. ISSUE ONGOING. HOWEVER APPEARS FULLY FUNCTIONAL. WENT BACK TO WORK, PAINTING. PAINS MOSTLY AT REST. ALSO PLAYS AND COACHES BASKET BALL. DISCUSSED INCIPENT PAIN SYNDROME IN DETAIL. SHE HAS GOOD INSIGHT. CONTINUE ACTIVITIES, ADD AEROBIC ACTIVITY.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EXAM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BACK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TENDER TO LEFT OF SPINE ON LIGHT PALPATION. GOOD ROM, TOUCHES TOES.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GAIT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NECK</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TENDER LEFT NECK MUSCLES, FULL ROM THOUGH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Levy says the reference to playing basketball is an error, that in fact she only coached at her stepdaughter's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Levy did continue with the pattern of painting during the season of April to October in 2006, then collecting employment insurance benefits. She said that by the end of 2006, she was still having problems with her neck and upper back spasms. However, she was doing less lifting as she had been promoted to assistant manager, then trainer/manager. She thus had reduced symptoms, with only occasional headaches and muscle spasms. However, she says she was still not able to do the activities she could before the accident, such as wrestling with her son and giving him "airplane rides". She was not able to ride a bicycle without having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Levy apparently had a recurrence of the problems with the low back pain in 2006, as indicated by clinical records dated July 18, 2006 and December 21, 2006. In the July visit, the reason for the visit is shown as being back pain, but Ms. Levy had multiple complaints, including in her chest, right hip, and low back. However, there are no neck or upper back complaints noted. On December 21, the complaints related to occasional low back pain. However, there was also a visit on December 15 for ongoing upper back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low back pain apparently continued in 2007. Dr. Mann's clinical note of March 30, 2007, indicates intermittent low back pain while working as a decorator, which Ms. Mann related to the motor vehicle accident. It is the opinion of Dr. Mann, however, that it does not relate to the motor vehicle accident. I accept that opinion, as the problems with the low back preceded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May 3, 2007, Ms. Levy again saw Dr. Mann as a result of neck pain. It was indicated to be intermittent, with spasms and tingling in both arms. However, Ms. Levy is indicated as being fully functional, and working at painting house interiors. That conflicts with what Ms. Levy says she was told by Dr. Mann: that if the overhead work was causing her neck pain and back spasms, she should not do it any more. That is not indicated either in Dr. Mann's deposition or in any medical report from him. I do not accept that there is medical evidence establishing that Ms. Levy was disabled from overhead work. However, I accept that Dr. Mann may well have said something to the effect that if overhead painting hurt her, she should stop doing it. I do accept that she did, in fact, have pain in her upper back and neck when doing overhead work, and that as a result she did not do it. However, with her new job responsibilities, that was not a significant part of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August 9, 2007, Ms. Levy sustained an injury at work, when she fell off a truck when using an extended pole. The primary injury was to her legs. Ms. Levy does not allege any aggravation of her upper back or neck injuries as a result of that injury. However, there is an issue as to whether she sustained a head injury, which may have caused the trapezius spasm found by Dr. Chin in his examination on November 7, 2007. In that report, Dr. Chin reports that Ms. Levy told him that she hit the left side of her head in the accident. She also told him that following the accident at work, she noted "slight increase in neck pain and stiffness", but that they had settled down to the level they were at before her injury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Emergency Department records of the injury do not indicate any complaint of head injury or any indication of it on the primary assessment. An x-ray was done of Ms. Levy's neck on September 5, 2007, but that appears to have been part of a complete physical examination done by Dr. Balfour on that date, rather than to arise from the work injury. In his clinical note relating to that physical examination, Dr. Balfour noted some residual neck symptoms in relation to the car accident, which had not been investigated, and that he would review the x-ray results when available. There thus does not appear to be any indication of injuries to the head or neck in the fall at work which would explain the "significant amount of trapezius spasm on the left side" seen by Dr. Chin on November 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Levy was disabled until January, 2008, as a result of the injury at work on August 9, 2007. She received physiotherapy during that time. She has, however, done contract work for Corrections Canada in its vocational training program for painters. She indicated she plans to return to Home Pro at the start of the exterior painting season in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Levy reported that her neck and back are now slightly stiff, with occasional muscle spasms. She does not indicate any significant restriction of her activities at this time. However, she said that she would use massage therapy for the neck and upper back, if it was available.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only reports of Dr. Mann which were filed are two brief reports dated August 13, 2005 and February 21,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2005 report is a one page report of the injury. It noted complaints of pain in the back of the neck and the left scapular area. It also reported under "Objective Findings" that there was tenderness and spasm in those areas, and that all movements of the neck were 50%. However, on his deposition, Dr. Mann agreed that he did not have any findings of spasms on his examinations, that they were only reported by Ms. Levy. He also agreed that when he saw her on July 28, 2005, she had a 75% to 100% range of motion in the neck. At that time, Dr. Mann considered that Ms. Levy would be disabled from work for a further period of a week or two from July 28,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letter of February 21, 2006, Dr. Mann indicated that Ms. Levy was unable to do her normal work as a painter between October 10 and 30, 2005. At that time, he had not seen Ms. Levy since September 22, 2005. When he had seen her then he noted no muscle spasms, and found that Ms. Levy had a full range of motion of her neck. However, on the deposition, he indicated that he considered that she was not able to work normally as a painter in the latter part of October, based on pain reported at his examination in September, and his impression that she was highly motivated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Mann apparently also prepared a report dated November 22, 2007, which was not produced at trial. However, it was produced to counsel for the defendants at the deposition. At the deposition, Dr. Mann gave evidence that he considered that Ms. Levy was "functionally recovered" by October 31, 2005. He agreed that any ongoing problems had a complex origin, that the motor vehicle accident was a factor, but that there were many factors, including stress and the stress of an accident. It was his opinion that the workplace accident on August 9, 2007 did not aggravate any of the injuries received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Levy was examined at the request of her counsel by Dr. Chin, an orthopaedic surgeon, on November 7, 2007. Ms. Levy reported to Dr. Chin that, after the initial three month period when she was off work, her pain symptoms had remained essentially the same, and had not improved. That is contrary to her evidence at trial, that there has been improvement since August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Chin reports the results of his physical examination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Cervical range of motion today was measured within normal limits except for left lateral rotation that was decreased by 20%. There was significant left-sided paraspinal tenderness and to a lesser degree, midline tenderness on palpation. There was only mild right-sided paraspinal tenderness on palpation. There was a significant amount of trapezius spasm on the left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Spurling test was negative for obvious radicular symptoms, but reproduced tightness over the anterior scalene muscles of her neck. Scapulohumeral shrug is negative.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Focal neurologic examination of her upper extremity confirmed intact C5 - T1 dermatoma and myotomal distributions in both upper extremities. There was no evidence of myelopathy noted. Deep tendon reflexes were equal and brisk. She has grade 5/5 strength in the entire upper extremity. In fact, on sensory testing, she felt increase in sensitivity in light touch on her </w:t>
      </w:r>
      <w:r>
        <w:rPr>
          <w:rFonts w:ascii="arial" w:eastAsia="arial" w:hAnsi="arial" w:cs="arial"/>
          <w:color w:val="000000"/>
          <w:sz w:val="20"/>
          <w:u w:val="single"/>
          <w:lang w:val="en-US" w:eastAsia="en-US" w:bidi="ar-SA"/>
        </w:rPr>
        <w:t>left side</w:t>
      </w:r>
      <w:r>
        <w:rPr>
          <w:rFonts w:ascii="arial" w:eastAsia="arial" w:hAnsi="arial" w:cs="arial"/>
          <w:color w:val="000000"/>
          <w:sz w:val="20"/>
          <w:lang w:val="en-US" w:eastAsia="en-US" w:bidi="ar-SA"/>
        </w:rPr>
        <w:t xml:space="preserve"> than her right side. Her shoulder examination was essentially normal with full range of motion and negative impingement signs. There was no evidence of instability. She had grade 5/5 strength in her rotator cuff muscles. On further examination of her periscapular region, she was clinically tender along the left-sided rhomboid region over the medial parascapular border. There was no evidence of scapular winging or scapulothoracic crepitus. There was no obvious tenderness along the midthoracic spine palpation. Examination of her lower extremities revealed no obvious intraarticular knee pathology. She had full range of motion of her knee with no detected effusions. The ligaments were stable. No joint line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noted in paragraph 39, counsel for the defendants suggested that the trapezius spasm may have been a result of the injuries received at work in August 2007. On his deposition, Dr. Chin said that he found that the muscle spasm was as a result of the motor vehicle accident on July 15, 2005. I accept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diagnoses given by Dr. Chin was: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left sided shoulder periscapular pain likely related to myofascial pain syndrome;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Midcervical and midthoracic spine pain secondary to whiplash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his deposition, Dr. Chin described myofascial pain syndrome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it's an anatomic description of where we think or we feel where the pain is coming from. The muscle structure or the muscle unit is - the circumferential envelope for it is usually a fascial layer and it's usually quite a thick band. And myofascial pain syndrome means "myo" meaning muscle, "fascial" meaning thick and enveloping band, I guess, that band gets inflamed, it gets irritated, and it can rub against muscle planes or it can rub against bursal planes and these structures get inflamed which can result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Chin concluded that those injuries were as a result of the motor vehicle accident. He considered that her diagnosis was "guarded".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she has a good chance that she will always have some level of pain or discomfort secondary to her whiplash injury. It is not inconceivable that subsequent minor trauma may re aggravate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Contrary to her report to Dr. Chin, Ms. Levy's evidence at trial was that the injuries received in the motor vehicle accident were not aggravated by those received at work in August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Chin recommended further physiotherapy and intermittent support from other health care practitioners, such as an acupuncturist or massage therapist. He said that if her chronic pain does not resolve that she may be a candidate for referral to a chronic pain specialist. However, on his deposition, he did concede that that is not his area of expertise, that as there is no specific muscle injury or detachment requiring surgical repair, his normal step would be to refer the patient to a physiatrist or chronic pain specialist. However, he did not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cross-examination, Dr. Chin did not consider it surprising that he found muscle spasms, although there is no indication of them on any of the physical examinations in the clinical records. He said that such spasms are intermittent, so that a person could have a good day or could have a bad day. He confirmed that on the day of his examination, there was a significant amount of tightness within the trapezius region. He agreed that muscle spasms could be caused by things other than injuries in a motor vehicle accident, including prolonged stress, deconditioning of the paraspinal muscles, and extended periods of overhead work. Apart from the possibility that the spasms were caused by the injuries in the August, 2007, work accident, which I find not to be the case, Dr. Chin did not resile from his opinion that the muscle spasms he found were due to the injuries received in the motor vehicle accident. I accept his opinion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Levy then saw Dr. Dommisse, also an orthopaedic surgeon, at the request of counsel for the defendants. Dr. Dommisse was not cross-examined on his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When she saw Dr. Dommisse on December 7, 2007, Ms. Levy complained of neck and left trapezius muscle pain, extending into the mid-spine level. She said the symptoms had been present since the accident, and were aggravated by her work as a painter. She did, however, say that the pain had decreased since the accident, but had not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his physical examination of her cervical spine, shoulders and upper extremities, Dr. Dommisse noted tenderness in the midline of the cervical spine from C4 to C7, and also within the paravertaebral muscles of the cervical spine on the right and left side. However, he found no spasm in those muscles. He also noted tenderness at the base of the skull on the right and left sides. He noted limited range of flexion and extension of the cervical spine, fifty degrees, compared to the normal of one hundred and fifty degrees, and that extension movement produced pain. However, rotation and lateral flexion of the cervical spine were normal. The results on the neurological examinations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Dommisse's opinion, as set out in his report of December 14, 2007 was as follows: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objective signs of injury in Ms. Crichton.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Ms. Crichton likely sustained a Grade I strain of the cervical spine as a result of the accident of July 15, 2005.</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Crichton exhibits minimal restriction of flexion and extension movements of her cervical spine. She experiences pain with extension movements. There are no objective findings.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objectively supportable injury as a result of the motor vehicle accident of July 15, 2005.</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Crichton was involved in a previous motor vehicle accident when she was a teenager. She sustained an injury to her right shoulder at that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Additionally, Ms. Crichton sustained likely soft tissue injuries to her lower extremities when she fell off a truck in August, 2007. There is no evidence of Reflex Sympathetic Dystrophy at this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likely that Ms. Crichton would have suffered a degree of neck pain with extension movements as required by her ceiling painting activities at her place of employment for example.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opinion, Ms. Crichton is not disabled from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would have been reasonable for Ms. Crichton to be off work for 3-4 weeks following the accident of July 15, 2005.</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have any specific recommendations for treatment other than Ms. Crichton should maintain her own active, independent exercise program and, in particular, maintain cardio exercising three times weekly.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Ms. Crichton does not require any passive modalities of treatment or surgery as a result of the accident of July 15, 2005.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unlikely that Ms. Crichton would require any future treatment or medication as a result of the accident of July 15, 2005.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recommended exercise program, as outlined above, is for her general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 supplementary letter, dated February 11, 2008, Dr. Dommisse agreed that his estimate of three to four weeks as a reasonable time for Ms. Levy to be off work following the accident was an estimate for an average patient, and that some patients may require longer periods of time off work, depending on the circumstances. He also agreed that Dr. Mann may have been in a better position to provide an opinion at that time. He said his recommendation was for an early graduated return to work, which he considered to be not only therapeutic, but also beneficial in promoting rehabilitation. He did not agree with Dr. Mann's recommendation of further massage therapy, stating that "passive modalities of treatment are of no long term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Chin was requested to comment on Dr. Dommisse's report, which he did in a report dated February 4, 2008. He considered the history of a previous motor vehicle accident to be irrelevant, as it resulted in an injury to her right shoulder, and she did not have complaints of shoulder or neck discomfort before the motor vehicle accident on July 15, 2005. He noted that the injuries sustained in that accident resulted in left shoulder parascapular pain symptoms and neck pain. His opinion thus remains that the motor vehicle accident was the most probable cause of the left parascapular/shoulder myofascial pain syndrome. He agreed that she will not require surgical treatment as a result of it, but felt that if she was not successful in an active exercise program, she might be a candidate for a referral to the chronic pain clinic.</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conclude that Ms. Levy did sustain a soft tissue injury to the left side of her neck and shoulder as a result of the motor vehicle accident. I accept the opinion of Dr. Dommisse that some people may have been able to return to work in three or four weeks after such an injury. However, with the overhead work, lifting, and extended use of the upper extremities involved in Ms. Levy's painting work, I accept the opinion of Dr. Mann that it was reasonable for her to remain off work as a painter until the end of October, 2005. I accept his opinion that at that time she was "fully functionally recovered", in the sense that she was physically able to perform her job duties. However, I accept her evidence that doing the painting caused her considerable pain, as did other activities involving her upper extremities, such as picking up her son. I find that there has been improvement since August, 2005, but that she does have ongoing discomfort. In that regard, I accept the evidence of Dr. Chin that the "significant amount of trapezius spasm on the left side" which he found on his physical examination in November, 2007, was caused primarily by the injuries received in the motor vehicle accident, rather than any other factors, such as stress, deconditioning, or the injuries received at work in August, 2007. I also accept the opinion of Dr. Chin that Ms. Levy will likely have some level of pain and discomfort relating to the injury, although do not consider it to be such that it is likely to significantly disable her from any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thus conclude that Ms. Levy was disabled from her employment duties for approximately three and one-half months; has had ongoing, but decreasing, pain in her neck and left shoulder since that time, now almost three years post-accident; and is likely to have some ongoing pain or discomfort with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Counsel for Ms. Levy submits that an appropriate award for non-pecuniary damages would be $40,000. He relied upon the following cases:</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Jones v. Davenport</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2008 BCSC 18</w:t>
        </w:r>
      </w:hyperlink>
      <w:r>
        <w:rPr>
          <w:rFonts w:ascii="arial" w:eastAsia="arial" w:hAnsi="arial" w:cs="arial"/>
          <w:color w:val="000000"/>
          <w:sz w:val="20"/>
          <w:lang w:val="en-US" w:eastAsia="en-US" w:bidi="ar-SA"/>
        </w:rPr>
        <w:t>: $45,000 non-pecuniary damages to the 26 year old plaintiff for injuries incurred in two motor vehicle accidents, the first which resulted in soft-tissue injuries to the back of the neck and upper trapezius muscles, which was aggravated in the second collision. The judge considered the injury to be one of moderate severity, and accepted that the plaintiff continued to experience symptoms from the injuries approximately two and one-half years after the first, and one and one-half years after the second. However, he did not accept that she had made no progress in her recovery in the year before trial. He assessed the risk of her experiencing symptoms from her injuries indefinitely to be at about 25 percent.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Gilmore v. Machibroda</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2008 BCSC 260</w:t>
        </w:r>
      </w:hyperlink>
      <w:r>
        <w:rPr>
          <w:rFonts w:ascii="arial" w:eastAsia="arial" w:hAnsi="arial" w:cs="arial"/>
          <w:color w:val="000000"/>
          <w:sz w:val="20"/>
          <w:lang w:val="en-US" w:eastAsia="en-US" w:bidi="ar-SA"/>
        </w:rPr>
        <w:t>: $45,000 non-pecuniary damages to a 28 year old plaintiff for soft-tissue injury to neck and upper and lower back. The judge found the injuries would have resolved after 6 months, with pain and suffering relating to the neck and upper back for 4 years from the date of the accident and pain in the lower back also for 4 years, at which time a pre-existing degenerative back condition would have become symptomatic in any event.</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Jackman v. All Season Labour Supplies Ltd. et al.</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2006 BCSC 2053</w:t>
        </w:r>
      </w:hyperlink>
      <w:r>
        <w:rPr>
          <w:rFonts w:ascii="arial" w:eastAsia="arial" w:hAnsi="arial" w:cs="arial"/>
          <w:color w:val="000000"/>
          <w:sz w:val="20"/>
          <w:lang w:val="en-US" w:eastAsia="en-US" w:bidi="ar-SA"/>
        </w:rPr>
        <w:t>: $40,000 non-pecuniary damages for injuries sustained in a minor collision causing headaches for about 3 weeks, neck stiffness and soreness for 1 to 2 months with flare-ups 3 to 4 times a month continuing until trial. She was unable to do her job, requiring physical work including bending and lifting for approximately 4 months. Even when she returned to work, she still had pain, so that she was not back to her pre-accident working hours until slightly over a year after the accident. At the time of trial, approximately 3 years after the accident, the plaintiff had low back pain 3 to 4 times a month, with a guarded medical prognosis for the pain, although it was consider not severe enough to restrict her employment potential.</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Laroche v. MacPhail</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2007 BCSC 1451</w:t>
        </w:r>
      </w:hyperlink>
      <w:r>
        <w:rPr>
          <w:rFonts w:ascii="arial" w:eastAsia="arial" w:hAnsi="arial" w:cs="arial"/>
          <w:color w:val="000000"/>
          <w:sz w:val="20"/>
          <w:lang w:val="en-US" w:eastAsia="en-US" w:bidi="ar-SA"/>
        </w:rPr>
        <w:t>: $35,000 non-pecuniary damages to a 38 year old plaintiff who missed 2 days of work after the accident, suffered significant pain in the first month, less but still significant pain in the next 2 months, with continued pain 1 day every 2 weeks, not likely to improve.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Myers v. Leng</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2006 BCSC 1582</w:t>
        </w:r>
      </w:hyperlink>
      <w:r>
        <w:rPr>
          <w:rFonts w:ascii="arial" w:eastAsia="arial" w:hAnsi="arial" w:cs="arial"/>
          <w:color w:val="000000"/>
          <w:sz w:val="20"/>
          <w:lang w:val="en-US" w:eastAsia="en-US" w:bidi="ar-SA"/>
        </w:rPr>
        <w:t>: $25,000 non-pecuniary damages as a result of minor collision disabling him from work as a floor installer for about 6 weeks, with stiffness and pain in the right shoulder, chest and neck. By 1 year post-accident, the plaintiff was still feeling pain in those areas, but it was not constant, and he was pain free for 2 to 3 weeks each month. There were no complaints to his doctor between June, 2003 and October, 2005, but the judge did not consider that detracted from his credibility; to the contrary, considered that it was not necessary to see the doctor on a continuous basis if there was no need for continuous medical treatment. (at paragraph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Counsel for the defendant submitted that an appropriate award of non-pecuniary damages would be $7,500. She relied on:</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Starrett v. Smith et al.</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2002 BCPC 383</w:t>
        </w:r>
      </w:hyperlink>
      <w:r>
        <w:rPr>
          <w:rFonts w:ascii="arial" w:eastAsia="arial" w:hAnsi="arial" w:cs="arial"/>
          <w:color w:val="000000"/>
          <w:sz w:val="20"/>
          <w:lang w:val="en-US" w:eastAsia="en-US" w:bidi="ar-SA"/>
        </w:rPr>
        <w:t>: $7,500 award to 31 year old woman from minor to moderate soft-tissue injuries resulting in her missing time off college, but with symptoms essentially resolved after one year.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Day v. Viney et al.</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2002 BCSC 693</w:t>
        </w:r>
      </w:hyperlink>
      <w:r>
        <w:rPr>
          <w:rFonts w:ascii="arial" w:eastAsia="arial" w:hAnsi="arial" w:cs="arial"/>
          <w:color w:val="000000"/>
          <w:sz w:val="20"/>
          <w:lang w:val="en-US" w:eastAsia="en-US" w:bidi="ar-SA"/>
        </w:rPr>
        <w:t>: $7,500 for soft-tissue injuries in the area of the neck. The judge rejected the defence position that there was full recovery within 3 months of the accident, concluding that he suffered effects for a period of 12 to 13 months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consider the cases relied upon by the defence to involve plaintiffs who recovered significantly more quickly than has Ms. Levy. I consider the </w:t>
      </w:r>
      <w:r>
        <w:rPr>
          <w:rFonts w:ascii="arial" w:eastAsia="arial" w:hAnsi="arial" w:cs="arial"/>
          <w:b/>
          <w:i/>
          <w:color w:val="000000"/>
          <w:sz w:val="20"/>
          <w:lang w:val="en-US" w:eastAsia="en-US" w:bidi="ar-SA"/>
        </w:rPr>
        <w:t>Jackman</w:t>
      </w:r>
      <w:r>
        <w:rPr>
          <w:rFonts w:ascii="arial" w:eastAsia="arial" w:hAnsi="arial" w:cs="arial"/>
          <w:color w:val="000000"/>
          <w:sz w:val="20"/>
          <w:lang w:val="en-US" w:eastAsia="en-US" w:bidi="ar-SA"/>
        </w:rPr>
        <w:t xml:space="preserve"> case most comparable. I thus award non-pecuniary damages of $40,000.</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claims loss of income under two headings, firstly, the loss of employment income in the amount of $6,697.60 and secondly, loss of employment insurance benefits in the amount of $2,490. The defendants do not dispute the calculations made by counsel for the plaintiff, but submit that she should have been back to work within 3 to 4 weeks, and that her loss of income claim should be calculated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position of the defendants is based on the opinion of Dr. Dommisse, in his report of December 14, 2007, that "it would have been reasonable for Ms. Crichton to be off work for 3 to 4 weeks following the accident July 15, 2005". However, in a supplementary letter of February 11, 2008, he agreed that was an estimate for an average patient, and that some patients may require longer periods of time off work. He also agreed that Dr. Mann was in a better position to provide an opinion as to that. It was Dr. Mann's opinion, as set out in his report dated February 21, 2006, that Ms. Levy was not able to work at her employment as a painter until the end of October. I accept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a result of the Notice to Admit dated January 10, 2008, the defendants have admitted that if Ms. Levy had not been injured in a motor vehicle accident on July 15, 2005, she would have accumulated an additional 600 hours working for Home Pro Painting and Decorating between July 15 and October 31, 2005. I accept that she would have been paid at a rate of $10 per hour for 160 hours and $11 per hour for 440 plus 4 percent holiday pay. I thus accept the plaintiff's claim in the amount of $6,697.60 as her gross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claim with respect to employment insurance benefits is on the basis that, as a result of the accident, Ms. Levy did not accumulate enough hours of insurable earnings to qualify for employment insurance benefits in the winter of 2005 to 2006. She needed 630 hours; she had accumulated only 399 hours. She testified that her practice was to work at painting during the outdoor painting season, then to collect employment insurance benefits over the winter. If she had done that, the defendant admits, as set out in the Notice to Admit, that she would have received 27 weeks of employment insurance benefits at a rate of $166 per week, amounting to $4,482.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behalf of the defendants, it is submitted that the fact that Ms. Levy could not collect employment insurance benefits should not be a burden on the defendants. It also submits that employment insurance benefits are meant to replace income for people fit to work, not ones who chose to take the winter off and collect benefits. However, the general principle to be applied in awarding damages is to attempt to place an injured person in as close a position as is possible to that she would have been in had she not been injured. In this case, I accept that if Ms. Levy had not been injured, she would have worked as a painter until the end of October, and then collected employment insurance benefits, subject to any job she might be able to obtain during the winter period. In fact, the evidence is that she did have some work over that period, including one week interior painting, and three weeks working for Elections Canada. It is conceded that she would not have been entitled to receive employment insurance benefits during those four weeks. The claim is thus for 15 weeks of benefits at $166 per week, totalling $2,490.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 similar award was made in </w:t>
      </w:r>
      <w:r>
        <w:rPr>
          <w:rFonts w:ascii="arial" w:eastAsia="arial" w:hAnsi="arial" w:cs="arial"/>
          <w:b/>
          <w:i/>
          <w:color w:val="000000"/>
          <w:sz w:val="20"/>
          <w:lang w:val="en-US" w:eastAsia="en-US" w:bidi="ar-SA"/>
        </w:rPr>
        <w:t>Thomas v. Jackson</w:t>
      </w:r>
      <w:r>
        <w:rPr>
          <w:rFonts w:ascii="arial" w:eastAsia="arial" w:hAnsi="arial" w:cs="arial"/>
          <w:color w:val="000000"/>
          <w:sz w:val="20"/>
          <w:lang w:val="en-US" w:eastAsia="en-US" w:bidi="ar-SA"/>
        </w:rPr>
        <w:t>, unreported, June 16, 2000, Supreme Court of British Columbia, Nanaimo Registry No. S21836. That case involved a seasonal fish plant worker, who generally worked from June to October of each year, then obtained employment insurance benefits if she had sufficient hours accumulated. The claim for lost employment insurance benefits was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thus award the sum of $9,187.60 for past wage loss, made up of loss of earnings of $6,697.60 and loss of employment insurance benefits of $2,490.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also accept the submissions on behalf of counsel for Ms. Levy that, with the amount of her income, no tax would be payable, and there should be no deduction from her gross income loss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to determine the net income loss. The award for past loss of wages will thus be in the amount of $9,187.60.</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Counsel for the plaintiff submits that, as a result of the restrictions on Ms. Levy's ability to do heavier over-head work, an award for loss of future earning capacity of $20,000 is appropriate. He noted that there is no principle of law that medical evidence is necessary to establish an impairment of earning capacity, that the question is whether on the whole of the evidence the trial judge can make a finding of impairment: </w:t>
      </w:r>
      <w:r>
        <w:rPr>
          <w:rFonts w:ascii="arial" w:eastAsia="arial" w:hAnsi="arial" w:cs="arial"/>
          <w:b/>
          <w:i/>
          <w:color w:val="000000"/>
          <w:sz w:val="20"/>
          <w:lang w:val="en-US" w:eastAsia="en-US" w:bidi="ar-SA"/>
        </w:rPr>
        <w:t>Miscisco v. Small</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2001 BCCA 576</w:t>
        </w:r>
      </w:hyperlink>
      <w:r>
        <w:rPr>
          <w:rFonts w:ascii="arial" w:eastAsia="arial" w:hAnsi="arial" w:cs="arial"/>
          <w:color w:val="000000"/>
          <w:sz w:val="20"/>
          <w:lang w:val="en-US" w:eastAsia="en-US" w:bidi="ar-SA"/>
        </w:rPr>
        <w:t xml:space="preserve">. He also relies on </w:t>
      </w:r>
      <w:r>
        <w:rPr>
          <w:rFonts w:ascii="arial" w:eastAsia="arial" w:hAnsi="arial" w:cs="arial"/>
          <w:b/>
          <w:i/>
          <w:color w:val="000000"/>
          <w:sz w:val="20"/>
          <w:lang w:val="en-US" w:eastAsia="en-US" w:bidi="ar-SA"/>
        </w:rPr>
        <w:t>Jones v. Davenport, 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Laroche v. MacPhail, 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Myers v. Lange, supra</w:t>
      </w:r>
      <w:r>
        <w:rPr>
          <w:rFonts w:ascii="arial" w:eastAsia="arial" w:hAnsi="arial" w:cs="arial"/>
          <w:color w:val="000000"/>
          <w:sz w:val="20"/>
          <w:lang w:val="en-US" w:eastAsia="en-US" w:bidi="ar-SA"/>
        </w:rPr>
        <w:t>, in which awards for loss of future earning capacity were made in the amount of $30,000, $16,000, and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for the defendant submits that there is no basis for such an award. She submits there is no medical evidence of incapacity, that, to the contrary, the opinion of Dr. Mann is that Ms. Levy was fully functional by the end of October, 2005. She notes that in 2007, Ms. Levy worked from 50 to 60 hours in some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Huddart J.A. provided a useful review of the principles relating to an award for loss of earning capacity in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[2001] B.C.J. No. 4</w:t>
        </w:r>
      </w:hyperlink>
      <w:r>
        <w:rPr>
          <w:rFonts w:ascii="arial" w:eastAsia="arial" w:hAnsi="arial" w:cs="arial"/>
          <w:color w:val="000000"/>
          <w:sz w:val="20"/>
          <w:lang w:val="en-US" w:eastAsia="en-US" w:bidi="ar-SA"/>
        </w:rPr>
        <w:t xml:space="preserve"> (C.A.) at paragraph 8 to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most basic of those principles is that a plaintiff is entitled to be put into the position he would have been in but for the accident so far as money can do that. An award for loss of earning capacity is based on the recognition that a plaintiff's capacity to earn income is an asset which has been taken away: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xml:space="preserve"> (C.A.). Where a plaintiff's permanent injury limits him in his capacity to perform certain activities and consequently impairs his income earning capacity, he is entitled to compensation. What is being compensated is not lost projected future earnings but the loss or impairment of earning capacity as a capital asset. In some cases, projections from past earnings may be a useful factor to consider in valuing the loss but past earnings are not the only factor to consider.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b/>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(Q.L.) at para. 121, aff'd </w:t>
      </w:r>
      <w:hyperlink r:id="rId270"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(Q.L.). Guidance as to what factors may be relevant can be found in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31;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They include:</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b/>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paragraph 12, Huddart J.A. noted that, even if a plaintiff is able to earn the same amount of income from alternative employment, he would still be entitled to compensation for loss if occupations previously available were closed to him, referring to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at 59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Pallos v. I.C.B.C.</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Finch J.A. also considered the issue of whether the plaintiff must prove that the future loss is "a real possibility", and that there is "a reasonable chance" such loss will occur, the test in </w:t>
      </w:r>
      <w:r>
        <w:rPr>
          <w:rFonts w:ascii="arial" w:eastAsia="arial" w:hAnsi="arial" w:cs="arial"/>
          <w:b/>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leave to appeal to S.C.C. refused: </w:t>
      </w:r>
      <w:hyperlink r:id="rId278" w:history="1">
        <w:r>
          <w:rPr>
            <w:rFonts w:ascii="arial" w:eastAsia="arial" w:hAnsi="arial" w:cs="arial"/>
            <w:i/>
            <w:color w:val="0077CC"/>
            <w:sz w:val="20"/>
            <w:u w:val="single"/>
            <w:shd w:val="clear" w:color="auto" w:fill="FFFFFF"/>
            <w:lang w:val="en-US" w:eastAsia="en-US" w:bidi="ar-SA"/>
          </w:rPr>
          <w:t>[1990] S.C.C.A. No. 327</w:t>
        </w:r>
      </w:hyperlink>
      <w:r>
        <w:rPr>
          <w:rFonts w:ascii="arial" w:eastAsia="arial" w:hAnsi="arial" w:cs="arial"/>
          <w:color w:val="000000"/>
          <w:sz w:val="20"/>
          <w:lang w:val="en-US" w:eastAsia="en-US" w:bidi="ar-SA"/>
        </w:rPr>
        <w:t>. At paragraph 29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respectful view, a consideration of this issue should not have been limited to the test established in </w:t>
      </w:r>
      <w:r>
        <w:rPr>
          <w:rFonts w:ascii="arial" w:eastAsia="arial" w:hAnsi="arial" w:cs="arial"/>
          <w:b/>
          <w:i/>
          <w:color w:val="000000"/>
          <w:sz w:val="20"/>
          <w:lang w:val="en-US" w:eastAsia="en-US" w:bidi="ar-SA"/>
        </w:rPr>
        <w:t>Steenblok v. Funk</w:t>
      </w:r>
      <w:r>
        <w:rPr>
          <w:rFonts w:ascii="arial" w:eastAsia="arial" w:hAnsi="arial" w:cs="arial"/>
          <w:color w:val="000000"/>
          <w:sz w:val="20"/>
          <w:lang w:val="en-US" w:eastAsia="en-US" w:bidi="ar-SA"/>
        </w:rPr>
        <w:t xml:space="preserve"> (supra). The plaintiff's claim in this case, properly considered, is that he has a permanent injury, and permanent pain, which limit him in his capacity to perform certain activities and which, therefore, impair his income earning capacity. The loss of capacity has been suffered even though he is still employed by his pre-accident employer, and may continue to be so employed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this case, I find that Ms. Levy has established a claim for loss of future earning capacity, considering the criterion set out by Finch J. in </w:t>
      </w:r>
      <w:r>
        <w:rPr>
          <w:rFonts w:ascii="arial" w:eastAsia="arial" w:hAnsi="arial" w:cs="arial"/>
          <w:b/>
          <w:i/>
          <w:color w:val="000000"/>
          <w:sz w:val="20"/>
          <w:lang w:val="en-US" w:eastAsia="en-US" w:bidi="ar-SA"/>
        </w:rPr>
        <w:t>Brown v. Golaiy, supra</w:t>
      </w:r>
      <w:r>
        <w:rPr>
          <w:rFonts w:ascii="arial" w:eastAsia="arial" w:hAnsi="arial" w:cs="arial"/>
          <w:color w:val="000000"/>
          <w:sz w:val="20"/>
          <w:lang w:val="en-US" w:eastAsia="en-US" w:bidi="ar-SA"/>
        </w:rPr>
        <w:t>. I accept that there is no evidence of any ongoing functional disability. Even on the evidence of Dr. Chin, Ms. Levy's ongoing problems relate to chronic pain, rather than any disability. If she remains in her present position, or is able to obtain employment such as that she had teaching the painting trade for Corrections Canada, it may well be that she will sustain no loss of income. However, if she does have to return to an entry level painting job, or other employment requiring heavy physical labour, it is more than a mere possibility that such disability may cause a flare up of the pain, resulting in loss of hours of work. If disclosed to another employer, that ongoing pain may also make her less attractive to potential employers. She is still relatively young; she has a lengthy working life expectance.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those circumstances, I award $10,000 for loss of future earning capacity.</w:t>
      </w:r>
      <w:r>
        <w:rPr>
          <w:rFonts w:ascii="arial" w:eastAsia="arial" w:hAnsi="arial" w:cs="arial"/>
          <w:sz w:val="20"/>
          <w:lang w:val="en-US" w:eastAsia="en-US" w:bidi="ar-SA"/>
        </w:rPr>
        <w:cr/>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Chin has given the opinion that Ms. Levy would benefit from intermittent support from one or more forms of therapy in the long run. Dr. Demmisse disagrees with that, considering that there is no long-term benefit. Ms. Levy herself feels that massage therapy would assist her. Dr. Chin also indicated that Ms. Levy may need the services of a chronic pain specialist, although did not refer her to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 plaintiff is entitled to an award for costs of future care, based on what is reasonably necessary on the medical evidence to promote her mental and physical health: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xml:space="preserve"> (S.C.) at paragraph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this case, in light of Dr. Chin's findings of muscle spasms in November, 2007, I accept that further massage therapy may promote Ms. Levy's health. I thus award $1,000 for costs of future care.</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Special damages have been agreed in the amount of $586.43 and there will thus be an award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summary, I find that a collision did take place between the vehicle driven by Ms. Levy and that driven by Mr. McNaughton on July 15, 2005. I find that Mr. McNaughton was wholly at fault for that collision for which he and Mr. Audin are jointly and severally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assess damages to Ms. Levy as follows: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$40,000;</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and employment insurance benefits: $9,187.60;</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$10,000;</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$586.43;</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Unless there are Offers to Settle of which I am unaware, the plaintiff will be entitled to her costs of this proceeding on Scale B, subject to the limitation in Rule 66(29)(b).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De Abreu v. Huang, [2013] B.C.J. No. 447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 Steeves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M110724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447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398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Lisa Therese De Abreu, Plaintiff, and Eugene Huang and Ru Zhou Huang,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8"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1" w:name="Keywords_11"/>
      <w:bookmarkEnd w:id="91"/>
      <w:r>
        <w:rPr>
          <w:rFonts w:ascii="arial" w:eastAsia="arial" w:hAnsi="arial" w:cs="arial"/>
          <w:b/>
          <w:color w:val="000000"/>
          <w:sz w:val="20"/>
          <w:lang w:val="en-US" w:eastAsia="en-US" w:bidi="ar-SA"/>
        </w:rPr>
        <w:t>Damages — Physical and psychological injuries — Physical injuries — Body injuries — Back ad spine — Action by plaintiff seeking damages for personal injuries sustained in motor vehicle accident allowed — Plaintiff continued to experience muscle spasms in back and shoulder problems three years after accident — Recovery not significantly impacted by plaintiff's refusal to attend for certain therapies — Plaintiff awarded $25,000 in non-pecuniary damages, $3,500 in special damages and $1,440 for future physiotherapy and massage therapy.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Cost of future care — Special damages — Expenses and expenditures — Non-pecuniary loss — Action by plaintiff seeking damages for personal injuries sustained in motor vehicle accident allowed — Plaintiff continued to experience muscle spasms in back and shoulder problems three years after accident — Recovery not significantly impacted by plaintiff's refusal to attend for certain therapies — Plaintiff awarded $25,000 in non-pecuniary damages, $3,500 in special damages and $1,440 for future physiotherapy and massage therapy.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by plaintiff seeking damages for personal injuries sustained in motor vehicle accident allowed — Plaintiff backing out of alley when defendant backed into her — Defendant 100 per cent liable for accident, involving his backing out of parking spot into alley and failing to ensure his way was clear.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2" w:name="Case Summary_10"/>
            <w:bookmarkEnd w:id="9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De Abreu seeking damages for personal injuries she sustained in a motor vehicle accident with Huang. De Abreu was a 44-year-old teacher, also working part time at a group home, at the time of the accident. She also enjoyed various recreational activities. She was reversing down an alleyway to find a parking spot when her vehicle collided with Huang's vehicle. Huang had just obtained his N licence a month prior to the accident. He was backing out of a parking spot in a lot adjacent to the alley when the accident took place. He admitted his view of the alley was somewhat obstructed, but that he performed the necessary shoulder checks prior to backing out and immediately colliding with the De Abreu vehicle. De Abreu claimed she immediately felt pain in her shoulders. She attended a walk-in clinic 10 days later because the pain did not resolve. She did not follow a recommendation that she attend physiotherapy. Three months later, she visited a chiropractor for moderate pain, advising the chiropractor that she could look after herself normally and had no problems with work or sleep at the time. De Abreu was diagnosed with degenerative disc disease in May 2011. De Abreu provided an expert opinion that the ongoing muscle spasms, shoulder weakness and chronic pain she experienced were caused by the accident with Huang. With massage and physical therapy, De Abreu could return to normal functioning. At the time of trial, De Abreu was restricted in the recreational activities she could enjoy, but she continued to work in a demanding job. She was unwilling to participate in some recommended forms of treatment because she did not think they would 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3" w:name="Holdings of Court_7"/>
            <w:bookmarkEnd w:id="9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Huang, backing out of a parking space with an obstructed view of the alley, was held 100 per cent liable for the accident. He failed to account for obstacles restricting his vision when he chose to back out into the alley. De Abreu's unwillingness to participate in certain forms of treatment did not significantly affect her recovery. She was entitled to $25,000 in non-pecuniary damages, special damages of $3,500 for treatments she had undergone, and $1,440 for future massage and physiotherapy treatments.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4" w:name="Legislation Cited_9"/>
      <w:bookmarkEnd w:id="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9"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86" w:history="1">
        <w:r>
          <w:rPr>
            <w:rFonts w:ascii="arial" w:eastAsia="arial" w:hAnsi="arial" w:cs="arial"/>
            <w:i/>
            <w:color w:val="0077CC"/>
            <w:sz w:val="20"/>
            <w:u w:val="single"/>
            <w:shd w:val="clear" w:color="auto" w:fill="FFFFFF"/>
            <w:lang w:val="en-US" w:eastAsia="en-US" w:bidi="ar-SA"/>
          </w:rPr>
          <w:t>RSBC 1996, CHAPTER 318, s. 193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5" w:name="Counsel_11"/>
      <w:bookmarkEnd w:id="9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0"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J.S. Witten.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D.F. Hepburn.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6" w:name="Judgment_11"/>
      <w:bookmarkEnd w:id="96"/>
      <w:r>
        <w:pict>
          <v:line id="_x0000_s1091"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Subject to Rule 15-1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7" w:name="J. STEEVES J."/>
            <w:bookmarkEnd w:id="97"/>
            <w:r>
              <w:rPr>
                <w:rFonts w:ascii="arial" w:eastAsia="arial" w:hAnsi="arial" w:cs="arial"/>
                <w:b/>
                <w:color w:val="000000"/>
                <w:sz w:val="30"/>
                <w:lang w:val="en-US" w:eastAsia="en-US" w:bidi="ar-SA"/>
              </w:rPr>
              <w:t>J. STEEVES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as a result of a motor vehicle accident that occurred on April 19, 2009. She was driving in reverse in an alley when the defendant's vehicle backed out of a parking lot and hit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submits that the accident caused her to have neck pain, headaches and upper back pain. She seeks special and non-pecuniary damages as well as damages for cost of future care. She does not seek damages for past income loss 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submits that the plaintiff was contributorily negligent with regards to the April 2009 motor vehicle accident because she was driving in reverse and not taking reasonable care. An equal apportionment is sought. He also submits that the plaintiff's injuries were minor and he disputes the amounts of damages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Therefore, there is no dispute that there was an accident involving the vehicles of the plaintiff and the defendant. However, there is a dispute as to whether one or both of the parties was negligent and there is a dispute as to the extent of the plaintiff's injuries and the damages she is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born in 1969 and, at the time of trial, she was 44 years old. She is currently working as a teacher and also completing a university degree in general studies. She expects to complete that degree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1991 the plaintiff began part-time work in a group home assisting children and adults with disabilities, some with severe disabilities. While doing this work she injured her lower back and hip and she has been obtaining chiropractic and other treatments for this condition since the original injury. She also explained to a physician that she had back pain beginning at age 20 and she has needed occasional chiropractic treatment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1995 the plaintiff commenced work as an educational assistant with the Burnaby School District. Among other things this involved planning and implementing behavioral management strategies as well as monitoring the behavior of students. The work was for about five hours per day. She continued to work part-time at the group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now has a conditional teaching certificate and in the fall of 2011 she commenced work as a teacher of special needs students. This work involves substantially more time than the educational assistant work and the plaintiff supervises a team of seven other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Prior to the April 2009 accident the plaintiff was involved in a number of activities. She had been practicing yoga for a number of years before April 2009 and she had advanced to the point that she was doing difficult positions. She was also involved in boat paddling including a three-hour race in 2000. She undertook a triathlon in 2005 including about four to six months training with friends. She has had a dog for a number of years and she spends time every day walking the dog. She took belly dancing classes in 2007 and 2008. These activities were confirmed by the testimony of a friend of the plaintiff, Shannon Anselmo.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spring of 2009 the plaintiff's partner, Jennifer McGinn, was campaigning to be elected to the provincial legislature. The plaintiff was assisting Ms. McGinn, including driving her to various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April 19, 2009 the plaintiff was driving Ms. McGinn to her campaign office in the 500 block of Broadway in Vancouver. Ms. McGinn was in the front passenger seat. The plaintiff drove her vehicle into an alley behind the campaign office with the idea of parking in a parking spot where she had parked a number of times before. However when they approached the parking spot, about 80% the length of the block, they observed that it was taken by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stopped her vehicle, placed it in reverse and drove in reverse back down the alley. She did this because she knew there was alternate parking behind her where she had also parked before. She testified that she looked both ways over her shoulders and in her mirrors and she proceeded to back up. After going a short distance for about five to ten seconds, she heard and felt something hit the rear of her vehicle, behind the driver's door. This turned out to be the defendant's vehicle. According to the evidence of the plaintiff, she did not see the defendant's vehicle until after the impact. Her first reaction was that she thought she had "hit a pole." Photographs taken just after the accident (by the defendant's father) show the plaintiff's vehicle stopped on the far side of the alley. That is, the south side of the 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also testified. He was about 22 years old at the time of the April 2009 accident. He obtained his learner's driver's license in 2008 and then his "N" license in the same month as the accident, April 2009. His father operates a restaurant in the 500 block of Broadway, he works there as a server and he is familiar with the alley where the accident took place. He agreed it is a busy alley. The defendant was aware of the parking lots in the alley and he agreed that there is a grade from the parking lot up to the 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date of the accident, April 19, 2009, the defendant parked the vehicle he was driving in the parking lot at the rear of and beside his father's restaurant. The vehicle was owned by his father. The defendant was on his way to a party of his friends and he stopped to pick up some food to take to the party. He parked with the front of his car into the parking space. He went inside the restaurant using a door in the alley, picked up his food and left the restaurant using the same door, back into the 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parking spot occupied by the defendant was one of five spots angled against a wall that was perpendicular to the alley. It was the second spot in front of the alley. It faced a wall as did the first parking spot. In his evidence the defendant agreed that this wall obstructed his vision on the right (east), the direction from which the plaintiff came. In addition, there was another wall further east that extended right to the alley. This also restricted the defendant's view in the direction that the plaintiff came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testified that he entered the car, he fastened his seatbelt and he did a "360 degree check", looking over his left and right shoulders. He started the engine, put the transmission in reverse and he backed up. His intention was to back into the alley in reverse, turn around and then head west down the alley to go to his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Because there was grade up to the alley the engine had to be "gassed a little more", as the defendant put it in his evidence. However the engine was "not gassed all the time"; he "gas[sed,] then mov[ed]" as he backed up slowly. When asked why he did not turn around in the parking lot he reviewed the photographs in evidence and he said that other cars were parked in the parking lot so he could not turn around in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testified that, as he backed up, "before I knew it I hit a car." Both vehicles stopped and both drivers got out to exchange the usual information. The defendant then went into the building behind the parking lot and came out with an older man, the defendant's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Photographs were entered into evidence that demonstrated damage to the left rear side of the plaintiff's vehicle and the right rear bumper of the defendant's vehicle. The cost for repairing the plaintiff's vehicle was $2,512.43 and the cost to repair the defendant's vehicle was $650.23.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time of the April 2009 accident the plaintiff was living by herself in a small apartment. Since June 2010 she has been married and she lives with her partner, Ms. McGinn, in a two-bedroom apartment that is about 742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testified that she is not able to do some tasks around the home, especially ones involving reaching. She tried to do a short paddling race but she regretted that attempt because it increased her symptoms. She is unable to do the advanced yoga positions she did before the accident, especially positions such as head stands where the neck is taking some stress. She is still able to walk her dog but she does not feel comfortable going back to activities such as belly dancing. Ms. Anselmo and Ms. McGinn confirmed these limitations in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testified that she felt pain and shoulders right after the April 19, 2009 accident. She first sought medical attention on April 29, 2009. This was at a walk-in clinic and she went there because she was concerned she was not getting better. Still, she "thought it was no big deal" and she thought it would "pass" because she was "in pretty good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chart for the medical appointment on April 29, 2009 is not fully legible but it does record a "sore neck" and physiotherapy was recommended. The plaintiff testified that she did not follow this recommendation. She explained that she had used physiotherapy previously for her lower back and hip problems and it provided only temporary relief. The plaintiff testified that during the spring and summer of 2009 she experienced tightness in her neck, especially with left and right extension. At the time she was doing stretching exercises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July 2009 the plaintiff concluded her back problems were not going away and she decided to see a chiropractor, Dr. Victor Sam. Dr. Sam had helped the plaintiff previously with her lower back and hip. Dr. Sam's chart notes are entirely illegible. The plaintiff testified that his treatment helped her "for a short time." She next saw another chiropractor, Dr. Jonathan Gerrard. Among other things Dr. Gerrard had the plaintiff complete a "Neck Disability Index" form. In a form dated July 17, 2009 the plaintiff agreed with the following statements, among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pain is moderate at the moment.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look after myself normally, without causing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lift heavy weights, but it gives extra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do as much work as I want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trouble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completed other indexes for Dr. Gerrard and the questions asked changed with subsequent forms (including the deletion of a section on work). One is dated October 14, 2009 and the plaintiff agreed to the following statements, among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pain comes and goes and is very mild.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normally change my way of washing or dressing even though it causes some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 lift heavy weights but it gives extra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get no pain in 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social life is normal and gives me no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Gerrard's chart notes are also in evidence for a number of appointments with the plaintiff over the period October 2008 to October 2009. These record the plaintiff's problems with her lower back and hip prior to the April 2009 accident that is the subject of this litigation. The plaintiff saw Dr. Gerrard for the first time after the accident on July 17, 2009 and on four other occasions in that same month. She was seen on three occasions in August 2009 and on five occasions in October 2009. Some of this visits included treatment for the lower back and hip and, in her evidence, the plaintiff was unable to say whether the neck or the lower back/hip was the primary object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mixing of the causes for the treatment is reflected in Dr. Gerrard's chart. On July 30, 2009 there was increased range of motion in the neck and there was an "overall sense of feeling looser" and on August 7, 2009 the plaintiff played volleyball without difficulty or pain. Then on October 14, 2009 Dr. Gerrard's assessment was that there was "no disability in the neck and minimal disability in the mid back." Then after the 2009 accident, on August 4, 2009, the hip was "starting to act up insidiously."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saw her general physician on July 15, 2010 and the chart records "Still upper back/neck issues." Physiotherapy was recommended. The plaintiff testified that she did not go to physiotherapy because she had taken physiotherapy for her lower back and hip in the past and not had only given her temporary relief. She went to her doctor "to see if they could say where things were at." The plaintiff saw her general physician again on May 2, 2000 and again physiotherapy was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did attend at physiotherapy in January 2011. In cross-examination she was asked why she waited more than one year after the April 2009 accident to attend physiotherapy. She said in the past physiotherapy had given her temporary relief, "nothing long standing", but with her ongoing neck and upper back problems she thought she would try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was seen by various chiropractors on a number of occasions from July 2011 to January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impression of an x-ray of the cervical spine on May 6, 2011 was of degenerative disc disease at the C4-5 and C5-6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retained an expert and there was no expert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expert was Dr. Rubin Feldman, an expert in physical medicine and rehabilitation. Dr. Feldman's report is dated June 12, 2012. He was cross examined by counsel for the defendant by means of video deposition.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reproduce a portion of the summary and opinion of Dr. Feldman, Q1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history and physical examination provided information which allowed us to determine why she continues to have pain for three years after the accident. The presence of significant cervical paraspinal muscle spasm as well as problems related to spasm of the trapezius muscles, weakness of the left more than right serratus anterior muscle, and instability on abduction of the shoulders all contributed to the chronic pain which has persisted for this length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causation, there is no doubt that the circumstances of the accident were what caused all of these problems to develop. She was totally asymptomatic 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Relative to management, given the abnormalities that were identified on physical examination and radiologically, it would be my opinion that she will need a program in which attention is targeted particularly towards the serratus anterior muscles by strengthening of these muscles sufficiently to have them control scapular movement during abduction of the shoulders so that winging would no longer occur. This should have the effect of allowing the trapezius muscle to function normally without going into muscle spasm and the same could be said for the cervical paraspinal muscles.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if she is to be able to return to normal function of her neck, she will need a combined effort of massage and physical therapy to allow her to start moving her neck properly again. What is required is for massage therapy to be able to reduce the amount of muscle spasm in her posterior neck and trapezius muscles. This should be followed, during the same treatment session, by physical therapy to teach her how to begin to use her neck normally again, taking advantage of diminished muscle spasm obtained by proper massage therapy just prior to the time that physical therapy would start. The combined effort of massage therapy and physical therapy should have the effect of bringing her muscles involved in neck movement back to normal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Relative to prognosis, I must voice my concerns about the length of time that has elapsed since the accident and therefore the length of time that she has been symptomatic. The duration of pain for a period of three years may have an effect of reducing the effectiveness of massage and physical therapy as described.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Nevertheless, she should be given the opportunity to participate in this type of program for a period of at least two to three months. She should be re-evaluated after that length time, to determine whether the treatment has been effective in improving the function of her neck and shoulders with resultant decrease in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experience, there usually is a very positive result obtained by this type of treatment so that permanent disability from these injuries is rare. Done correctly as a targeted treatment for the areas involved, this type of treatment becomes quite successful in treating these areas of persistent pain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she would be helped by a general conditioning exercise program to try to bring her back to the level of fitness that she was in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Liability, with respect to apportionment, and quantum are at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is perhaps a somewhat unusual case because both the plaintiff and defendant were reversing their vehicles at the time of the collision in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For this reason, the defendant submits that liability should be equally shared as between he and the plaintiff. This is because, according to the defendant, both parties failed to keep an active look-out for hazards while performing a maneuver that placed themselves and others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facts are that the April 2009 accident involved an alley or lane with some parking lots on either side. The plaintiff drove forward until just before the end of the block, stopped and reversed. At that point she was required to comply with s. 193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which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Caution in backing vehicle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must not cause the vehicle to move backwards into an intersection or over a crosswalk, and must not in any event or at any place cause a vehicle to move backwards unless the movement can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testified that she did shoulder checks as she reversed down the alley. There is no evidence she was speeding. It is not contrary to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or any other law to drive a vehicle in reverse. What is required is to drive safely when reversing and I find that the plaintiff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was parked in a parking lot on the north side of the alley. He reversed his vehicle to leave the parking lot and he had to use his gas pedal more than once to get up the grade to the alley. Contemporaneous photographs and the defendant's evidence confirm that the impact between the vehicles took place when the defendant's vehicle was across the alley and the plaintiff's vehicle was on the south side of the alley. That is, the defendant had left the parking lot, crossed one lane of the alley and hit the plaintiff's car in the next lane. As well, the damage to the defendant's vehicle was on the right rear bumper and this indicates that it was at an angle to the plaintiff's vehicle. Neither the plaintiff nor the defendant saw the other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 previous case (</w:t>
      </w:r>
      <w:r>
        <w:rPr>
          <w:rFonts w:ascii="arial" w:eastAsia="arial" w:hAnsi="arial" w:cs="arial"/>
          <w:i/>
          <w:color w:val="000000"/>
          <w:sz w:val="20"/>
          <w:lang w:val="en-US" w:eastAsia="en-US" w:bidi="ar-SA"/>
        </w:rPr>
        <w:t>McKenzie v. Insurance Corporation of British Columbia</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[1992] B.C.J. No. 1110</w:t>
        </w:r>
      </w:hyperlink>
      <w:r>
        <w:rPr>
          <w:rFonts w:ascii="arial" w:eastAsia="arial" w:hAnsi="arial" w:cs="arial"/>
          <w:color w:val="000000"/>
          <w:sz w:val="20"/>
          <w:lang w:val="en-US" w:eastAsia="en-US" w:bidi="ar-SA"/>
        </w:rPr>
        <w:t xml:space="preserve">, aff'd </w:t>
      </w:r>
      <w:hyperlink r:id="rId288" w:history="1">
        <w:r>
          <w:rPr>
            <w:rFonts w:ascii="arial" w:eastAsia="arial" w:hAnsi="arial" w:cs="arial"/>
            <w:i/>
            <w:color w:val="0077CC"/>
            <w:sz w:val="20"/>
            <w:u w:val="single"/>
            <w:shd w:val="clear" w:color="auto" w:fill="FFFFFF"/>
            <w:lang w:val="en-US" w:eastAsia="en-US" w:bidi="ar-SA"/>
          </w:rPr>
          <w:t>[1993] B.C.J. No. 2486</w:t>
        </w:r>
      </w:hyperlink>
      <w:r>
        <w:rPr>
          <w:rFonts w:ascii="arial" w:eastAsia="arial" w:hAnsi="arial" w:cs="arial"/>
          <w:color w:val="000000"/>
          <w:sz w:val="20"/>
          <w:lang w:val="en-US" w:eastAsia="en-US" w:bidi="ar-SA"/>
        </w:rPr>
        <w:t>) the plaintiff was driving on a road that was part of a parking lot. He was broadsided by the defendant's vehicle coming from what Mr. Justice Fraser described as a "servient road"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rules of the road historically established by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R.S.B.C. 1979, c. 288 and by the common law may not always translate to parking lots, which may have configurations different from public highways, I find that the locus of this accident substantially resembles that of a main road being fed by a servient road. Mr. McKenzie was on the main road and Ms. Naumann was emerging from a parking area which fed out onto the main road. Ms. Naumann intended to emerge from the parking area and angle left across the main road to a different parking area. The obligation was on her to ensure that this move could be made in safety. She failed to do so. The defendants in this action are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view, while the facts are not exactly the same, that analysis has some application to the instant case. The defendant was coming from a servient position, the parking lot, and attempting to turn around in the alley. The obligation was on him to ensure that entering the alley was done safely. There were obstacles to his right in the form of walls that restricted his vision and he was required to take those into account before he entered the alley. He failed to account for those obstacles when he backed into the alley or he otherwise did not take reasonable care. I find he is liable for the resulting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the defendant was negligent when he entered the alley without taking necessary and reasonable precautions. I deny his submission that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follows from the above conclusion that the plaintiff is entitled to damages without apportionment. She claims damages for non-pecuniary loss, specials and cost of future care. She does not claim for past and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assess those damages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221 B.C.A.C. 272</w:t>
        </w:r>
      </w:hyperlink>
      <w:r>
        <w:rPr>
          <w:rFonts w:ascii="arial" w:eastAsia="arial" w:hAnsi="arial" w:cs="arial"/>
          <w:color w:val="000000"/>
          <w:sz w:val="20"/>
          <w:lang w:val="en-US" w:eastAsia="en-US" w:bidi="ar-SA"/>
        </w:rPr>
        <w:t>, the Court of Appeal has outlined the factors to consider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seeks non-pecuniary damages in the range of $25,000 to $35,000. The following decisions are relied on: </w:t>
      </w:r>
      <w:r>
        <w:rPr>
          <w:rFonts w:ascii="arial" w:eastAsia="arial" w:hAnsi="arial" w:cs="arial"/>
          <w:i/>
          <w:color w:val="000000"/>
          <w:sz w:val="20"/>
          <w:lang w:val="en-US" w:eastAsia="en-US" w:bidi="ar-SA"/>
        </w:rPr>
        <w:t>Dhaliwal v. Vail,</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2007 BCSC 1954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Myers v. Leng,</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2006 BCSC 1582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Orrell v. Lynch,</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2008 BCSC 1696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King v. Horth,</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2009 BCSC 1114</w:t>
        </w:r>
      </w:hyperlink>
      <w:r>
        <w:rPr>
          <w:rFonts w:ascii="arial" w:eastAsia="arial" w:hAnsi="arial" w:cs="arial"/>
          <w:color w:val="000000"/>
          <w:sz w:val="20"/>
          <w:lang w:val="en-US" w:eastAsia="en-US" w:bidi="ar-SA"/>
        </w:rPr>
        <w:t xml:space="preserve">. The defendant submits that non-pecuniary damages should be in the range of $15,000 to $20,000 and relies on the following decisions: </w:t>
      </w:r>
      <w:r>
        <w:rPr>
          <w:rFonts w:ascii="arial" w:eastAsia="arial" w:hAnsi="arial" w:cs="arial"/>
          <w:i/>
          <w:color w:val="000000"/>
          <w:sz w:val="20"/>
          <w:lang w:val="en-US" w:eastAsia="en-US" w:bidi="ar-SA"/>
        </w:rPr>
        <w:t>Boutin v. MacPherson,</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2012 BCSC 1814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Mak v. Eichel,</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2008 BCSC 1102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Woods v. Chahal,</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2008 BCSC 1555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is that the April 2007 accident has created some limitations on the activities of the plaintiff. She was generally active before the accident. She is not as active now as she was before the accident so that, for example, she does little paddling. She did a triathlon before the accident. The evidence is not clear that she would have continued in that sport and it is certainly a daunting one to prepare for. In any event she has not attempted a triathlon since the accident. She is not able to do the more advanced yoga positions and exercises she could do before the accident and she feels constrained to do activities such as belly dancing. As well, her partner and friend confirm she is generally more protective of her neck and upper back and is generally less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However, it is not the case that the plaintiff has significant or even moderate limitations as a result of the April 2007 accident. To her credit she remains relatively active and she has managed to obtain the education and experience to be able to work as a special needs teacher. This is physically demanding as well as stressful. As well, the medical evidence indicates that the plaintiff has firm and particular views of what medical treatment she will participate in. For example, physiotherapy was recommended by her physician soon after the April 2009 accident and she delayed taking that treatment. Her explanation is that she has taken physiotherapy in the past for her lower back and hip and it provided only temporary relief. She holds the same views with regards to massage therapy and chiropractic treatment. With regards to the lower back and hip there is medical evidence that these complaints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submits that the plaintiff has not mitigated her losses because she has not followed the advice of her medical professionals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Antoniali v. Massey,</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2008 BCSC 1085</w:t>
        </w:r>
      </w:hyperlink>
      <w:r>
        <w:rPr>
          <w:rFonts w:ascii="arial" w:eastAsia="arial" w:hAnsi="arial" w:cs="arial"/>
          <w:color w:val="000000"/>
          <w:sz w:val="20"/>
          <w:lang w:val="en-US" w:eastAsia="en-US" w:bidi="ar-SA"/>
        </w:rPr>
        <w:t>). Specifically, it is submitted that the plaintiff did not act reasonably when she did not follow the advice of her physicians and her damages should be reduced accordingly. I can agree that the plaintiff delayed her treatment recommended by her physician but she ultimately took that treatment. As well, while there is radiological evidence of degeneration in the neck, overall the symptoms experienced by the plaintiff were minor and there is no medical evidence that suggests her recovery was significantly affected by her decisions about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Bearing all of this in mind, I conclude that non-pecuniary damages in the amount of $25,000 are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claims special damages in the amount of $5,743.28. This figure is net of amounts claimed from a benefit carrier. It includes specific items such as pillows (to assist with sleeping), "Miracle Balls" (to relieve upper back and neck pain), as well as physiotherapy, massage and chiropractic treatment. On the other hand the defendant says no special damages should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note that the plaintiff's claim for special damages includes payment for acupuncture and it also includes payments for treatment for her lower back and hip. Neither of these are a result of the April 2009 accident. Similarly, some of the physiotherapy etc is for the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evidence does not permit a breaking out of expenses related to the April 2009 accident and expenses that are not related. I assess special damages in the amount of $3,500.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seeks costs of future care for medication (Ibuprofen), chiropractic treatment, physiotherapy and massage therapy. The total is $9,940.00. The defendant opposes payment for any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is entitled to the cost of some future care to assist in the treatment of the injuries associated with the April 2009 accident. She is not entitled to the cost of future care for her lower back and hip. As well, by the plaintiff's own evidence, modalities such as physiotherapy and massage therapy provide her only temporary relief. I conclude some temporary regime of future care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Feldman opined that a regime over six months involving massage therapy and physiotherapy, the latter closely following the former, would be appropriate in this case. Again, the plaintiff's experience is that these modalities give only temporary relief. I do not agree with Dr. Feldman that three times per week of massage and physiotherapy would be appropriate. I have some doubts as to the six month period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For these reasons I conclude that massage therapy followed by physiotherapy once a week for three months is an appropriate future care regime in this case. This amounts to twelve sessions of each and the cost is $50.00 per session for physiotherapy and $70.00 per session for massage therapy. The total is $1,440.00.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 summary of the assessment of damages in this case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510"/>
        <w:gridCol w:w="1673"/>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1882"/>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255"/>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$1,440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$29,940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STEEVES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Duley v. Friesen, [2007] B.C.J. No. 2557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30-31, August 1-3 and 24,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M060746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2557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1723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250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Veerpal Kaur Duley, Plaintiff, and Natalija Friesen, Wescott Lauren Friesen, Ryan Bruce Ballard, Ford Credit Canada Leasing Company / Compagnie de Location Credit Ford Canada, William Phelps and Adams &amp; Phelps Reporting &amp; Video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3"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8" w:name="Keywords_12"/>
      <w:bookmarkEnd w:id="98"/>
      <w:r>
        <w:rPr>
          <w:rFonts w:ascii="arial" w:eastAsia="arial" w:hAnsi="arial" w:cs="arial"/>
          <w:b/>
          <w:color w:val="000000"/>
          <w:sz w:val="20"/>
          <w:lang w:val="en-US" w:eastAsia="en-US" w:bidi="ar-SA"/>
        </w:rPr>
        <w:t>Damages — General damages — For personal injuries — Calculation — Mitigating factors — Loss of housekeeping ability — Non-pecuniary damages, including pain and suffering — The plaintiff was found to have sustained injuries to her neck, back and shoulder in the motor vehicle accident, and she was awarded $31,838 in damages — No future losses were awarded, as had she properly mitigated, the injuries would have resolved by early 2007.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Back — Neck — Non-pecuniary award — $20,001 to $40,000 — The plaintiff was found to have sustained injuries to her neck, back and shoulder in the motor vehicle accident, and she was awarded $31,838 in damages — No future losses were awarded, as had she properly mitigated, the injuries would have resolved by early 2007.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9" w:name="Case Summary_11"/>
            <w:bookmarkEnd w:id="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sought damages for injuries sustained in a motor vehicle accident for which liability was admitted by the two defendants -- She was diagnosed with a soft tissue injury, and complained of pain in her neck, back, shoulder and right arm -- She sought non-pecuniary damages, past wage loss, loss of housekeeping capacity, future loss of earning capacity and future care -- The defendants argued her injury was now resolved, and that many of her complaints related to pre-accident injuries -- HELD: The plaintiff was awarded $31,838 in damages -- In reviewing the records and the evidence of the plaintiff and her physicians, it was impossible to say whether any given statement of pain was contemporaneous or in relation to a historical sensation, and thus the clinical records were not admissible for the truth of their contents -- The court found the plaintiff was highly impressionable and easily manipulated such that she was not able to accurately recall and relate her medical history -- The court was unable to accept much of her testimony regarding the nature and extent of her symptoms -- She was found to have suffered from mild myofacial pain syndrome, which, had she properly mitigated, would have resolved by early 2007 -- Similarly, her shoulder injury should have resolved by this time -- The right forearm injury was found to be not causally related to the accident based on the medical evidence -- She was awarded $28,000 in non-pecuniary damages, $800 for past wage loss amounting to one months' wages, $1,500 for past loss of housekeeping capacity, and $1,538 in special damages, but no future losses.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0" w:name="Counsel_12"/>
      <w:bookmarkEnd w:id="1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4"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Robert C. Marcoux.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Katherine Chong, Danielle Poulin.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1" w:name="Judgment_12"/>
      <w:bookmarkEnd w:id="101"/>
      <w:r>
        <w:pict>
          <v:line id="_x0000_s1095" style="position:absolute;z-index:2517739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2" w:name="G.B. BUTLER J."/>
            <w:bookmarkEnd w:id="102"/>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Veerpal Duley, claims for damages arising out of a motor vehicle accident that occurred on June 6, 2004. Liability is admitted by the defendants Natalija Friesen and Westcott Lauren Friesen. The sole issue is the quantification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Ms. Duley lived in Surrey with her husband, their three young children, her mother-in-law, father-in-law, sister-in-law, niece and nephew. It was a "very traditional" East Indian home with each family member contributing to the welfare of the whole. Ms. Duley was, by all accounts, the central figure in the home as she was primarily responsible for cooking, cleaning and other household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Since the accident, there have been two significant changes in the family. Ms. Duley's husband was killed in a trucking accident that occurred on December 30, 2004. Just before the conclusion of trial, Ms. Duley's mother-in-law, who required a tremendous amount of daily care, passed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accident, Ms. Duley's car was rear-ended. There was minor damage to her vehicle. She went to her family doctor the day after the accident and was diagnosed with a soft tissue injury. It is now more than three years since the accident and she continues to complain of pain in her neck, back, shoulder and right arm. She complains that she has difficulty performing many activities that she is required to do on a daily basis to look after the home and the family. She also says that she will be unable to return to work, which she would have done but for the accident. In addition to her claim for non-pecuniary damages and past wage loss, she advances claims for past and future loss of housekeeping capacity, future loss of earning capacity and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admit that Ms. Duley had a soft tissue injury but say that it is now resolved. They also say that many of her complaints are related not to the accident but rather to pre-existing injuries. They deny that her loss of functional capacity was caused by any injury that she received in the accident and deny any claim for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are as follows:</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nature, extent and duration of the injuries caused by the accident?</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is Ms. Duley entitled to given the nature, extent and duration of the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Issue 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What is the nature, extent and duration of the injuries caused by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issue requires a consideration of the medical evidence as well as an assessment of the evidence of Ms. Duley. The question is complicated by significant disagreements between the physicians regarding the cause of her symptoms and by the unreliability of her evidence regarding the progression of her condition and the nature of her pre-existing problems. To determine the nature, extent and duration of her injuries, I will separately examine the evidence in relation to the three alleged areas of injury: neck and back, right shoulder and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Neck and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Duley saw Dr. Aulakh, her family doctor, on June 7, 2004, the day after the accident. He was not called as a witness, but his records were tendered along with an agreed glossary of the abbreviations he used in his notes. A medical report that he prepared for the Insurance Corporation of British Columbia ("ICBC") dated September 13, 2004 indicates that he diagnosed Ms. Duley as suffering from an acute neck and low back strain. He saw Ms. Duley three times during that period. He reported that she was not disabled from work during that time and that she had no periods of total disability, although she did have a partial disability for approximately 14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Aulakh also prepared a report dated January 12, 2007 which summarizes Ms. Duley's complaints and his treatment and diagnosis. His diagnosis as of that date was that she suffered soft tissue injuries to her neck and low back and that she was recovering very slowly. In spite of the slow recovery, he was of the view that her prognosis remained good and full recovery was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Aulakh referred Ms. Duley to a chiropractor, Dr. Sidhu, who gave evidence at trial. He saw Ms. Duley 14 times between June 15, 2004 and August 24, 2004, the last time that Dr. Aulakh saw her before his report of September 13, 2004. Dr. Sidhu testified that Ms. Duley complained of bilateral neck pain which became more focused on the right side as well as low back pain on the right side. By August 24, 2004 she indicated that the condition was improving and that the pain would come and go. Overall she indicated that the pain in the right lumbar and right cervical regions was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Sidhu continued to see Ms. Duley until June 2005. The nature of her complaints changed somewhat after October 2004 when she began to work at a chicken factory. However, her main complaints of pain in the upper cervical and trapezius regions continued throughout her visits to Dr. Sidhu. At the conclusion of the visits, Dr. Sidhu was of the opinion that her prognosis for a full recovery remained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also called Dr. Adrian, a physiatrist who saw Ms. Duley on May 25, 2007 for the purpose of a medical assessment. He concluded that she probably suffered an injury to the musculoskeletal structures of the neck and lower back as a result of the accident. He was unable to provide an opinion as to what structures were injured. His conclusion was based, in part, on Ms. Duley's assertion that she had not experienced physically limiting symptoms prior to the accident and had experienced persisting pain since the accident. Given the length of time since the accident he felt that her prognosis for recovery was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Prior to seeing Dr. Adrian, Ms. Duley's counsel referred her to Dr. Feldman, also a physiatrist, for an independent assessment on February 1, 2007. However, Dr. Feldman was called as a witness by the defence. Dr. Feldman was of the view that Ms. Duley had a soft tissue injury and that she suffered from a mild myofascial pain syndrome in her posterior neck and at the insertion of the lumbar paraspinal muscles on the sacrum. He was of the view that the pain had been reduced substantially from its onset. His prognosis was that she could expect complete resolution within three to six months of beginning treatment. He was of the view that physiotherapy was the treatment of choice. Ms. Duley was subsequently referred to Moez Dhanji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Dhanji gave evidence that he treated Ms. Duley from May 31, 2007 to July 13, 2007. He testified that Ms. Duley told him that her pain symptoms improved by 30 to 40% in that period of time. Mr. Dhanji was of the view that if Ms. Duley had persisted with the physiotherapy treatments there was a high probability that her injuries would resolve. He noted that she had missed 5 out of 21 appointments. For reasons that were never explained at trial, Ms. Duley was instructed (apparently by her lawyer) not to continue with the physiotherapy treatments. Accordingly, we do not know if the balance of her pain symptoms would have disappeared with a continuation of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Schweigel, an orthopaedic specialist, gave evidence on behalf of the defendants. He saw Ms. Duley for an independent assessment on January 30, 2007. He was of the opinion that she sustained soft tissue injuries to the neck and low back in the accident. He was of the view that some disability from the accident was expected for three to five months, but that the problems she experienced after that time period were most likely related to her pre-existing condition and past injuries. He noted that she had experienced back pain for a number of years prior to the accident and that she had degenerative osteoarthritis of the lumbar spine at L4 and L5.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Aulakh's clinical records contain numerous references to complaints that Ms. Duley made to him of pain or functional problems prior to the accident. When these clinical entries were read to her at trial, she had no recollection of any of the complaints. She was also asked more generally about neck and back problems before the accident, but her response was the same: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accident of June 6, 2004, you had problems with your neck and back; correct?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problem in my back - there was no problem in my neck before. In my back, about that, I saw doctor's notes. My lawyer showed that to me. It's written in there. If it's in doctor report, then I must have gone to him about that. But I don't remember about my back was hurting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That answer nicely summarizes her evidence with regard to her recollection of pre-existing injuries and complaints of pain. More than 20 notes in the clinical records were read to Ms. Duley in cross-examination. These notes referred to pain in her right shoulder, elbow, arm and hands, as well as in her neck and back. Each time she answered that she did not recall having made the complaint. She gave the same answer with regard to a motor vehicle accident prior to the accident in question. She did not recall the accident or the complaints to her doctor following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Duley's lack of memory extended to matters after the accident where the evidence was unfavourable to her. For example, Mr. Dhanji gave evidence that Ms. Duley told him that her pain was 30 to 40% better after the 1 1/2 months of physiotherapy treatments. Although this statement was made less than one month before the commencement of the trial, when asked about it Ms. Duley inexplicably answered: "I don't remember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contrast, Ms. Duley testified that she was able to recall one thing about her initial reports to Dr. Aulakh and Dr. Sidhu. Dr. Aulakh's notes from her first visit indicate that she complained of left-sided neck and back pain. Similarly, Dr. Sidhu's notes from her first visit indicate that she complained of left and right cervical pain and left upper trapezius pain. When faced with those notations, Ms. Duley stated, "Because I was in so much pain I made a mistake - just slipped out of my mouth saying left, but actually I had more problem in my right." This "mistake" was allegedly repeated at least three times in the period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Duley gave very little evidence in chief regarding her symptoms in the three or four months immediately after the accident. Her vagueness regarding those symptoms was such that the nature and extent of her injuries and complaints in that period is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Most of her evidence was directed towards functional problems that she asserted she was having at the time of trial compared with what she believed to be pre-accident condition. The only time she gave specifics about the progression of pain symptoms was in relation to two other events that occurred after the accident. First, she described in some detail how her pain grew worse while she was working at Wingtat Farms, a chicken factory in Surrey. Second, she described how she felt that her problems became worse for a few months after her husband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began to work at Wingtat Farms on September 21, 2004, about 3 1/2 months after the accident. When she applied for the job, she felt that her injuries had improved to the point that she could work full time. On the application form she stated that she was available to work seven days a week from open to close as well as overtime. The day before she started, a physician completed a Medical Certification for the employer which stated that she was given a complete examination and that she was found to be in good health. She worked at Wingtat Farms from September 21, 2004 to November 24, 2004. The work was heavy physical labour. She was required to stand at an assembly line with the chickens moving past her at the rate of 20 to 30 per minute. As each chicken passed by, she held it with one hand and pulled its guts out with her other hand. After starting work at the factory, she began to experience pain in her right shoulder, right arm and down her back. The pain slowly got worse and in the end she was unable to do the job, so she quit.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her husband died on December 30, 2004, she went through a period of grieving and insomnia. She also indicated that the pain from her injuries became worse for approximately three to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Much of Ms. Duley's evidence in chief was directed to her functional difficulties with her duties around the house. Both before and after the death of Mr. Duley, Ms. Duley and her sister-in-law, Darbar Duley, were usually the only two adults in the house. The women carried a heavy burden in terms of housework and providing for the family. Darbar Duley has worked as a farm worker since 1990 for approximately six months of each year. During the working season, she normally works seven days a week for 10 to 13 hours a day. Ms. Duley spent a few summer seasons working on the farms. However, she was the primary family caregiver before the death of her husband, and it appears that this role became even more entrenched after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Duley's household chores were described in some detail. A large part of the family diet was traditional Indian food, so she spent a good deal of time each day making roti, sabji and saag. She did the ironing, cleaning and cooking. She was the primary caregiver for her mother-in-law, Jaswant Duley. Jaswant Duley had a pronounced germ phobia which resulted in an elaborate routine. She spent four or more hours bathing each day and demanded that the doors and walls of her bedroom be continually cleaned. The bathing routine was carried out in two bathrooms and left them covered in water, so it required repeated cleaning of those rooms as well as a considerable amount of laundry. Ms. Duley attended to her mother-in-law and these chores in a tireless fashion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Duley and the family members who gave evidence described the assistance that Ms. Duley required at the time of trial. Darbar Duley helped with making the roti, her nephew, Jimmy Duley did a lot of the vacuuming, her father-in-law, Kahar Duley assisted with the shopping and gardening, and her niece, Renu Duley helped with the care of her children. However, their evidence about the period after the accident and before the work at Wingtat Farms was vague. The family members did not indicate what assistance, if any, was required during that time. I was left with the strong impression that the assistance was required primarily as a result of Ms. Duley's complaints about her right arm or shoulder, which only began after she started work at Wingtat Farms. It was also clear that the family provided more assistance to her after the death of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family members, particularly, Jimmy and Renu Duley, made it clear that up to the date of trial, Ms. Duley remained the individual who did most of the work at the home. While others provided assistance, as one would expect in a large family, Ms. Duley still carried out most of the duties required to maintain the family. She remained the backbone of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Right Shoulder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noted above, Dr. Aulakh's diagnosis was of neck and back strains. He did not diagnose any shoulder injury from the accident. His notes indicate some shoulder pain (without indicating whether it was the right or left side) on June 15, 2007. His records also note that Ms. Duley complained of right shoulder pain on December 21, 2004, about a month after she left Wingtat Farms. His records indicate that Ms. Duley complained of right shoulder pain on a number of occasions in the four or five years prior to the accident. His records of February 3, 2004 include the notation "complaints of right shoulder pain,? abduction to 300 ? rotator cuff?".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mentioned above, Ms. Duley stated at her first visit to Dr. Sidhu that she was experiencing left upper trapezius pain. Dr. Sidhu first noted right shoulder pain in the rotator cuff muscles on November 16, 2004. This coincides with her last days of employment at the chicken 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Schweigel was of the opinion that Ms. Duley's complaints of shoulder pain after she left Wingtat Farms were unrelated to the accident and were more likely related to the chronic shoulder pain that she had complained of in the years leading up to the accident. He offered the view that shoulder pain in the first weeks after the accident would likely be pain radiating from the neck, as this is quite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Adrian was of the opinion that Ms. Duley's right shoulder pain is probably related to a number of factors, including soft tissue pain and referred pain from the injured structures involving her cervicle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Feldman noted that Ms. Duley presented with a mild myofascial pain syndrome in the shoulder girdle musculature. His prognosis was of complete resolution of the myofascial pain syndrome in the posterior shoulders within three to six months after the onset of physical therapy and massage treatment. As noted above, Ms. Duley commenced physiotherapy treatments and experienced substantial improvement, but stopped the treatments after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Right Arm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 signed statement given to an ICBC adjuster on June 9, 2004, Ms. Duley stated that "I have pain in my right forearm before this accident and it has hurt since the accident but I do not know if it is from the accident or not." Apart from this statement, there is nothing in the contemporary records to indicate that she suffered an injury to her right forearm in the accident. Indeed, on the same day that she gave the statement she filled in an ICBC "Insurance Claim Application" in which she described her injuries as being to her "neck and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Aulakh's records do not indicate an injury to her right forearm or elbow. Neither of his reports includes a diagnosis of injury to her right forearm. There is no reference to pain in the right forearm until two years post-accident. There is a brief reference to bilateral radiating arm pain in December 2004, but nothing to indicate that the pain was in the forearm.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Similarly, Dr. Sidhu's records do not indicate any such injury. Further, his medical legal report does not contain any such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Feldman said that "it is difficult to determine whether the accident caused significant increase in the pathology in the area ..." He felt that it was possible that Ms. Duley had a vulnerability in the right forearm as a result of her pre-existing problems in that area and that she became symptomatic as a result of the accident. He theorized that she gripped tightly on the steering wheel when her vehicle was struck from behind and that the exacerbation of her elbow pathology resulted from the violence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Adrian was of the opinion that Ms. Duley's right forearm symptoms were suggestive of a diagnosis of mild carpal tunnel syndrome. He felt that it was unlikely that these symptoms are causally related to the accident, given the temporal gap between the accident and the onset of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Duley did complain to her physician on a number of occasions prior to the accident of problems with her right forearm. Dr. Aulakh's records indicate that he had tentatively diagnosed both tennis elbow and carpal tunnel syndrome. There were also notations in his clinical records of the presence of cysts on her forearms and of bilateral hand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a functional basis, it appears that within the last year or two the most problematic symptom for Ms. Duley has been the pain in her right forearm. This is the symptom that has caused her difficulty with the daily chores of making roti, cutting vegetables and vacuuming.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determination of the nature and extent of Ms. Duley's injuries caused by the accident requires, as a first step, consideration of whether the injuries were caused by the accident. The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remains the "but for" test, which requires the plaintiff to prove on a balance of probabilities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This was confirmed recently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in which McLachlin C.J. stated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the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per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Accordingly, the question in this case is whether Ms. Duley would have suffered the injuries she complains of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She is not entitled to recover damages for those injuries that she would have suffered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 doubt that Ms. Duley did suffer neck and back injuries that she would not have suffered but for the accident. The question is more difficult with regard to the right shoulder and right forearm injuries. To decide Issue A, I must first consider the credibility and reliability of Ms. Duley's evidence and then make factual determinations regarding the nature and extent of her symptoms. I must also consider the use that can be made of the clinical records. Following that determination, I must consider the expert evidence to decide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At the commencement of trial the defendants objected to the admissibility of the clinical records of Dr. Aulakh and Dr. Sidhu for the truth of the facts contained in those records. The parties did agree that the records were admissible pursuant to the provisions of the </w:t>
      </w:r>
      <w:r>
        <w:rPr>
          <w:rFonts w:ascii="arial" w:eastAsia="arial" w:hAnsi="arial" w:cs="arial"/>
          <w:b/>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for proof of the fact that the statements were made by Ms. Duley to those doctors on the dates indicated in the records. Once the parties agreed to admit the records for this limited purpose, I indicated that I would rule on the admissibility of the records for the truth of their contents at the end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[2007] 9 W.W.R. 598</w:t>
        </w:r>
      </w:hyperlink>
      <w:r>
        <w:rPr>
          <w:rFonts w:ascii="arial" w:eastAsia="arial" w:hAnsi="arial" w:cs="arial"/>
          <w:color w:val="000000"/>
          <w:sz w:val="20"/>
          <w:lang w:val="en-US" w:eastAsia="en-US" w:bidi="ar-SA"/>
        </w:rPr>
        <w:t>, Kirkpatrick J.A. upheld the trial judge's refusal to admit a large book of clinical records for the truth of the matters stated therein. In doing so she noted that the hearsay exception for contemporaneous bodily sensation rests on the guarantee of reliability that may be presumed from a spontaneous utterance. She went on to state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party invoking the hearsay exception must focus precisely on those statements in the records that it seeks to have admitted under the exception and the necessity of relying on the particular hearsay. The exception simply cannot apply without first establishing </w:t>
      </w:r>
      <w:r>
        <w:rPr>
          <w:rFonts w:ascii="arial" w:eastAsia="arial" w:hAnsi="arial" w:cs="arial"/>
          <w:color w:val="000000"/>
          <w:sz w:val="20"/>
          <w:u w:val="single"/>
          <w:lang w:val="en-US" w:eastAsia="en-US" w:bidi="ar-SA"/>
        </w:rPr>
        <w:t>in each instance</w:t>
      </w:r>
      <w:r>
        <w:rPr>
          <w:rFonts w:ascii="arial" w:eastAsia="arial" w:hAnsi="arial" w:cs="arial"/>
          <w:color w:val="000000"/>
          <w:sz w:val="20"/>
          <w:lang w:val="en-US" w:eastAsia="en-US" w:bidi="ar-SA"/>
        </w:rPr>
        <w:t xml:space="preserve"> the requisite contemporaneity. It is unacceptable for a party to make a blanket assertion that statements of pain made to doctors and therapists should be accepted for their truth. In the instant case, there were hundreds of pages of clinical and other records, some of which were legible and some not; replete with the recorder's shorthand and technical terms; and containing ambiguous references to what the plaintiff reported. It is impossible to discern from the records themselves whether any given statement of pain was contemporaneous or in relation to a historical sensation.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situation is the same in this case. There are dozens of pages of brief and somewhat cryptic clinical notes. Neither party called Dr. Aulakh as a witness. There was no attempt with either set of records to establish "in each instance" the requisite contemporaneity. Ms. Duley did state that she always told her doctors the truth and that she attempted to answer their questions regarding her pain symptoms accurately. However, as noted in </w:t>
      </w:r>
      <w:r>
        <w:rPr>
          <w:rFonts w:ascii="arial" w:eastAsia="arial" w:hAnsi="arial" w:cs="arial"/>
          <w:b/>
          <w:i/>
          <w:color w:val="000000"/>
          <w:sz w:val="20"/>
          <w:lang w:val="en-US" w:eastAsia="en-US" w:bidi="ar-SA"/>
        </w:rPr>
        <w:t>Samuel</w:t>
      </w:r>
      <w:r>
        <w:rPr>
          <w:rFonts w:ascii="arial" w:eastAsia="arial" w:hAnsi="arial" w:cs="arial"/>
          <w:color w:val="000000"/>
          <w:sz w:val="20"/>
          <w:lang w:val="en-US" w:eastAsia="en-US" w:bidi="ar-SA"/>
        </w:rPr>
        <w:t>, the blanket assertion that statements made to the doctors were truthful does not satisfy the requirement for contemporaneity.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reviewing the records and the evidence of the plaintiff and her physicians, it is impossible to say whether any given statement of pain was contemporaneous or in relation to a historical sensation. Accordingly, I must find that the test in </w:t>
      </w:r>
      <w:r>
        <w:rPr>
          <w:rFonts w:ascii="arial" w:eastAsia="arial" w:hAnsi="arial" w:cs="arial"/>
          <w:b/>
          <w:i/>
          <w:color w:val="000000"/>
          <w:sz w:val="20"/>
          <w:lang w:val="en-US" w:eastAsia="en-US" w:bidi="ar-SA"/>
        </w:rPr>
        <w:t>Samuel</w:t>
      </w:r>
      <w:r>
        <w:rPr>
          <w:rFonts w:ascii="arial" w:eastAsia="arial" w:hAnsi="arial" w:cs="arial"/>
          <w:color w:val="000000"/>
          <w:sz w:val="20"/>
          <w:lang w:val="en-US" w:eastAsia="en-US" w:bidi="ar-SA"/>
        </w:rPr>
        <w:t xml:space="preserve"> has not been satisfied and that the clinical records are not admissible for the truth of their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Findings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have concluded that I am unable to give much credence to Ms. Duley's evidence regarding her symptoms and complaints of pain both before and after the accident. I have set out above some of the difficulties and inconsistencies in her evidence. I have also taken into account her demeanour, the vagueness of most of her positive assertions and the selectivity of her recollections. Ms. Duley is unsophisticated and had a grade nine or ten education in India. While I do not believe that she was intentionally misleading the court, I did form the impression that she was highly impressionable and easily manipulated such that she was not able to accurately recall and relate her medical history. Her evidence regarding the nature and extent of her injuries, to a large extent, was what she believed she should say, rather than an accurate recollection of what occurred. Indeed, I conclude that she did not have a clear recollection of the progress of her injuries and symptoms. As a result, I am not able to accept much of her testimony regarding the nature and extent of her symptoms. I also conclude that her reliability as a historian for the physicians that she saw once the litigation was commenced is questionable. Given her difficulties in recalling and describing her past physical condition at trial, I must infer that she had a similar difficulty in doing so for the physicians that she saw in that time period, particularly with the experts who saw her for the purpose of preparing medical legal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Neck and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have concluded that Ms. Duley suffered injuries to her neck and back as a result of the accident. However, I do not accept the opinion of Dr. Adrian that she suffered an unspecified injury to the musculoskeletal structures from which she is unlikely to recover. That opinion is at odds with both of the treating caregivers (Drs. Sidhu and Aulakh), whose views must be given more weight given the difficulties, highlighted above, with the reliability of Ms. Duley's evidence. Dr. Adrian's opinion was prefaced on his understanding, from the history that he took from the plaintiff, that she had not experienced physically limiting symptoms prior to the accident and had experienced persistent pain since the accident. Neither of those assumptions appear to be correct based on the notations in the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Feldman's opinion that Ms. Duley suffered from a mild myofascial pain syndrome in her neck and lower back is the diagnosis most consistent with the reports of pain in the clinical records and the surrounding circumstances. In particular, I note that he was of the view that once Ms. Duley started treatment she could expect complete resolution within three to six months. She appeared to be well on her way to that resolution with the physiotherapy treatments from Mr. Dhanji after 1 1/2 months. As Dr. Feldman had anticipated, the treatment was very effective. Neither the plaintiff nor her counsel offered any explanation as to why those treatments were stopped. However, the evidence of the efficacy of the treatments is significant because it provides concrete support for Dr. Feldman's diagnosis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Duley's counsel was extremely critical of the evidence of Dr. Schweigel on the basis that he had crossed the line from expert to advocate. In support of that position he notes that Dr. Schweigel was paid $796,000 by ICBC in 2006, more than twice as much as any other expert physician. In addition, he notes that Dr. Schweigel's reports used inappropriate and imprecise language to describe her medications, and that he tailored his language to minimize her supportive symptoms and to emphasize those symptoms that supported his opinion. In short, he asserts that the reports are more argument than opinion. He also argues that Dr. Schweigel's manner in giving evidence was argumentative and not that to be expected from an expert witness who should be providing an independent viewpoint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reject Dr. Schweigel's opinion with regard to the neck and back injury. I agree that he did, at times, cross the line to advocacy both in his reports and in giving evidence. While I do not accept his opinion on this aspect of the claim, I do not reject his evidence in total as I was invited to do by the plaintiff. As Dr. Feldman stated, the principles set out in Dr. Schweigel's report can provide a basis for a better understanding of the issues that arise in these cases. Rather than rejecting his evidence in total, I have given it less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Having found that Ms. Duley suffered from a mild myofascial pain syndrome, the next matter for determination is the length of time that she suffered from it. As I have noted above, I have found Ms. Duley's evidence in this regard to be unreliable. Further, a plaintiff has a duty to mitigate and it is clear that she did not take the steps recommended by Dr. Feldman and her physiotherapist. She missed a significant number of her scheduled appointments and then stopped treatment before it was completed. She also stopped her chiropractic treatments after one year even though she appeared to be getting some benefit from them. While I am of the view that the length of the partial disability was more than three to five months, had she commenced and continued with treatment it is highly likely that her neck and back injuries would have been resolved some time before trial. I will accordingly assess damages on the basis that the symptoms should have resolved by early 2007 had she sought treatment and followed the recommendations of her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Right Shoulder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also accept the opinion of Dr. Feldman with regard to the plaintiff's shoulder injury. Once again his opinion was based on assumptions regarding her history that are consistent with the notations in the clinical records. He concluded that she had mild myofascial pain syndrome in the shoulder girdle musculature. I note that other than complaints of bilateral pain in the upper trapezius muscles, Ms. Duley did not have significant symptoms in the right shoulder until after she began work at Wingtat Farms, where the repetitive work was likely to cause shoulder pain. I also find some significance in the fact that she had previously reported pain in the shoulder which Dr. Aulakh believed might be related to a rotator cuff issue. In other words, the work at the chicken factory may have aggravated the pre-existing problem in the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Nevertheless, I conclude that she did suffer an injury to her shoulder girdle musculature and that this persisted for a time period similar to that of her neck and back injury. I am of the view that the shoulder pain from the accident was a contributing factor to the pain that she experienced while working at Wingtat Farms. This is the case even though she felt that her injuries had healed prior to commencing work. I find that her return to work likely exacerbated the shoulder injury for a number of months. I also find that the mild myofascial pain syndrome in her shoulder should have resolved by early 2007, at the latest, had she sought treatment and followed the recommendations of her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Right Arm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This is the most contentious of the injuries alleged by Ms. Duley. It is also the most important because on a day to day functional basis it has the most significant impact on her. The physicians, other than Dr. Feldman, were of the view that Ms. Duley's right forearm problems are not related to the accident. They based this opinion on the assumption that she made no complaints of an injury to her forearm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Duley stated that she did suffer pain in the forearm as a result of the accident and says that the statement to ICBC supports her recollection. As noted above, I do not consider Ms. Duley's evidence that she recalls pain in the forearm after the accident as credible. Her comment in the statement to ICBC was that "I have pain in my right forearm before this accident and it has hurt since the accident but I do not know if it is from the accident or not". On its face, this statement does not support the allegation that there was an injury - only that the condition of the forearm was unchanged by the accident. The Insurance Claim Application that she filled out on the same date did not claim an injury to her right arm. More significantly, neither Dr. Sidhu nor Dr. Aulakh has a record of any complaint of such injury in the months following the accident. There is no record of a problem with the forearm until after she started working at Wingtat Farms, where she was performing activities that put repetitive stress on the arm. On November 16, 2004, for the first time, there is a notation of numbness in two fingers of her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Schweigel noted in his report that it is a basic principle in medicine that if a site has been traumatized or aggravated that site becomes symptomatic immediately after the traumatic event. He was of the view that the right forearm symptoms were unrelated to the accident. Dr. Adrian was also of the opinion that the right forearm symptoms were not causally related to the accident "given the temporal relationship with the onset of the symptoms and the accident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Even Dr. Feldman acknowledged that "it is difficult to determine whether the accident caused significant increase in the pathology" in the forearm. His conclusion was also based on a false assumption about the mechanics of the accident. He assumed that the blow to the rear of her vehicle was such that Ms. Duley had to grasp the steering wheel tightly for a "prolonged" period of time, causing the injury to the forearm. However, the accident did not involve a significant blow to the rear of the car that would have required a prolonged grasping of the steering wheel. Based on Ms. Duley's evidence, his assumption about the accident dynamics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these circumstances, I find that the right forearm condition or injury is not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9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Issue 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What damages is Ms. Duley entitled to given the nature, extent and duration of the injuries caused by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will address Ms. Duley's claim for damages under the following headings: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and past loss of housekeeping capacity;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losses;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plaintiff argues that the appropriate award for non-pecuniary damages is in the range of $50,000 to $80,000. She argues that the injuries resulting from the accident have had an "incredible intangible impact" on her life which must be understood in the context of her culture. Her counsel referred to the following cases: </w:t>
      </w:r>
      <w:r>
        <w:rPr>
          <w:rFonts w:ascii="arial" w:eastAsia="arial" w:hAnsi="arial" w:cs="arial"/>
          <w:b/>
          <w:i/>
          <w:color w:val="000000"/>
          <w:sz w:val="20"/>
          <w:lang w:val="en-US" w:eastAsia="en-US" w:bidi="ar-SA"/>
        </w:rPr>
        <w:t>Tardiff v. Toews</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2004 BCSC 1009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Love v. Lowden</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2007 BCSC 1007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Bafaro v. Jiang</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2007 BCSC 686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Krznaric v. Harada</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2006 BCSC 1421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Kerr v. Macklin</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2004 BCSC 318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Zubek v. Clarkson</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2000 BCSC 148</w:t>
        </w:r>
      </w:hyperlink>
      <w:r>
        <w:rPr>
          <w:rFonts w:ascii="arial" w:eastAsia="arial" w:hAnsi="arial" w:cs="arial"/>
          <w:color w:val="000000"/>
          <w:sz w:val="20"/>
          <w:lang w:val="en-US" w:eastAsia="en-US" w:bidi="ar-SA"/>
        </w:rPr>
        <w:t>. I have reviewed these decisions and do not find them to be of assistance, as they involved injuries that were more serious and of longer duration than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put forward two arguments. Both arguments are based on the premise that Ms. Duley suffered a soft tissue injury to the neck and a temporary aggravation of a pre-existing mild soft tissue injury to the lower back. The first argument is based on her suffering from those injuries for a duration of three months. As I have found that the duration of the injuries was much longer than that, I need not consider the cases cited by the defendants in support of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defendants' alternative argument is based on Ms. Duley suffering from the injuries for the duration of three years. In this case, they submit that the appropriate damages range is $22,000 to $25,000 on the basis of the following cases: </w:t>
      </w:r>
      <w:r>
        <w:rPr>
          <w:rFonts w:ascii="arial" w:eastAsia="arial" w:hAnsi="arial" w:cs="arial"/>
          <w:b/>
          <w:i/>
          <w:color w:val="000000"/>
          <w:sz w:val="20"/>
          <w:lang w:val="en-US" w:eastAsia="en-US" w:bidi="ar-SA"/>
        </w:rPr>
        <w:t>Whittington v. Goupil</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[2000] B.C.J. No. 2775</w:t>
        </w:r>
      </w:hyperlink>
      <w:r>
        <w:rPr>
          <w:rFonts w:ascii="arial" w:eastAsia="arial" w:hAnsi="arial" w:cs="arial"/>
          <w:color w:val="000000"/>
          <w:sz w:val="20"/>
          <w:lang w:val="en-US" w:eastAsia="en-US" w:bidi="ar-SA"/>
        </w:rPr>
        <w:t xml:space="preserve"> (S.C.) (QL); </w:t>
      </w:r>
      <w:r>
        <w:rPr>
          <w:rFonts w:ascii="arial" w:eastAsia="arial" w:hAnsi="arial" w:cs="arial"/>
          <w:b/>
          <w:i/>
          <w:color w:val="000000"/>
          <w:sz w:val="20"/>
          <w:lang w:val="en-US" w:eastAsia="en-US" w:bidi="ar-SA"/>
        </w:rPr>
        <w:t>Linekar v. Andreiko</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2004 BCSC 494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Carinci v. Adams</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2000 BCSC 992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Smith v. Towns</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2005 BCSC 79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Golam v. Fortier</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2005 BCSC 598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Deno v. Cooper</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2006 BCSC 1326</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Taylor v. Bury</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2007 BCSC 1130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have also considered the following cases that were not cited by counsel: </w:t>
      </w:r>
      <w:r>
        <w:rPr>
          <w:rFonts w:ascii="arial" w:eastAsia="arial" w:hAnsi="arial" w:cs="arial"/>
          <w:b/>
          <w:i/>
          <w:color w:val="000000"/>
          <w:sz w:val="20"/>
          <w:lang w:val="en-US" w:eastAsia="en-US" w:bidi="ar-SA"/>
        </w:rPr>
        <w:t>Richards v. Parker</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2003 BCSC 758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Laroche v. MacPhail</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2007 BCSC 1451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stated above, I have concluded that Ms. Duley suffered from a mild myofascial pain syndrome in her neck and back that should have resolved by early 2007. I have also found that she suffered some injury to her right shoulder that should have resolved by early 2007. The right shoulder injury was exacerbated by her work at Wingtat Farms and contributed to the pain that she experienced while working there. I find some assistance in the cases cited by the defendants in support of their alternative position. However, I find that the range of damages should be slightly higher, since I have concluded that some of Ms. Duley's shoulder problems were a result of the accident. In the circumstances of the case, I conclude that Ms. Duley is entitled to $28,000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Past Wage Loss and Past Loss of Housekeeping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claims both past income loss and past loss of housekeeping capacity. She argues that the two losses are completely interwoven in her case, due to contingencies such as the death of her husband and changes in the family unit. Her position is that her loss from the time of the accident up to the date of trial is in the range of $40,000 to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the time of the accident, Ms. Duley was an unemployed homemaker. There was no evidence at trial that she was intending to look for work around the time of the accident, or that she delayed in applying for a job because of the accident. As noted above, Dr. Aulakh was of the opinion that she had no periods of total disability after the accident and was not disabled from work, although she did have a partial disability for about 14 weeks. I do not find that she is entitled to any past wage loss or past loss of housekeeping capacity for the period immediately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Duley applied for the job at Wingtat farms on September 20, 2004 and began work one day later. She worked there until November 24, 2004, when she quit because of her increasing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claim for past wage loss is complicated in this case by my conclusion that the injuries to Ms. Duley's right arm were not caused by the accident. The work at the chicken farm was heavy physical labour, and the right forearm injury would likely have prevented her from continuing in the job in any case. Further, it is likely that she would have stopped work for a period of grieving after her husband passed away on December 30, 2004. There was also evidence that after the death of her husband, there was a family decision that she would take on most of the housekeeping responsibilities while Darbar Duley would take on more of the income-earning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the plaintiff is entitled to one month's wages at Wingtat Farms. She earned $8 per hour and worked between 23 and 34 hours per week, and is only entitled to her net income after deducting income tax payable. On this basis, I assess past wage loss at $800.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Similarly, Ms. Duley's functional difficulties with housekeeping were related primarily to the complaints about her right arm or shoulder, which only arose after she started work at Wingtat farms. The right arm injury, which is unrelated to the accident, has caused her the most difficulty with her daily chores. The evidence of Ms. Duley and the family members was that she was able to do most tasks including caring for her mother-in-law, with the family members assisting her with vacuuming, shopping, gardening, and care for the children. I conclude that Ms. Duley suffered a 5% loss of past housekeeping capacity as a result of her shoulder injury, and that the loss occurred over a period of just over two years from after the work at Wingtat Farms until early 2007 when the injury should have resolved. I must also make reductions for negative contingencies, as well as for the time periods that Ms. Duley was employed outside of the home, grieving for the death of her husband and in India. Accordingly, I assess damages for past loss of housekeeping capacity at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Future Losses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concluded that the neck, back and shoulder injuries that were caused by the accident should have resolved by early 2007 had Ms. Duley sought treatment and followed the recommendations of her physicians. Accordingly, the plaintiff is not entitled to damages for loss of earning capacity, future loss of housekeeping capacity, 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Special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Duley claims $1,538.29 for special damages. The defendants do not take issue with any of them. The plaintiff is entitled to the full amount of her special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is entitled to damages in the amount of $31,838.29, consisting of the following: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of $28,000;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past wage loss of $800;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past loss of housekeeping capacity of $1,500;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$1,538.29.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Before trial, the plaintiff discontinued the action against all defendants except Natalija Friesen and Wescott Lauren Friesen. The award of damages will therefore stand against only these two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If either party wishes to make submissions on the issue of costs they can do so in writing through the registry. Otherwise, the order will be that Ms. Duley is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6"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Gurney v. West Kelowna (District), [2016] B.C.J. No. 561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G.P.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106421, 107265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561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480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749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264 A.C.W.S. (3d) 917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M.P.L.R. (5th) 123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Ryan Ian Gurney and Keilen Elise Gurney, Plaintiffs, and West Kelowna (District), Defendant And between Douglas Donald Rickett, Plaintiff, and West Kelowna (District),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7"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3" w:name="Keywords_13"/>
      <w:bookmarkEnd w:id="103"/>
      <w:r>
        <w:rPr>
          <w:rFonts w:ascii="arial" w:eastAsia="arial" w:hAnsi="arial" w:cs="arial"/>
          <w:b/>
          <w:color w:val="000000"/>
          <w:sz w:val="20"/>
          <w:lang w:val="en-US" w:eastAsia="en-US" w:bidi="ar-SA"/>
        </w:rPr>
        <w:t>Civil litigation — Civil procedure — Parties — Third party procedure — Availability — Application by defendant for leave to initiate third party proceedings against Province and Devlin allowed — Plaintiffs sought damages against defendant related to flooding of their properties — Defendant alleged Province and Devlin were responsible for flooding of plaintiffs' properties due to unauthorized alterations by Devlin and lack of maintenance by Province — If defendant was found responsible for water damage to plaintiffs' properties, it could well have claim against Devlin and/or Province for contribution or indemnity.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Nuisance — Liability — Particular nuisance — Flooding — Neighbouring land — Practice and procedure — Parties — Application by defendant for leave to initiate third party proceedings against Province and Devlin allowed — Plaintiffs sought damages against defendant related to flooding of their properties — Defendant alleged Province and Devlin were responsible for flooding of plaintiffs' properties due to unauthorized alterations by Devlin and lack of maintenance by Province — If defendant was found responsible for water damage to plaintiffs' properties, it could well have claim against Devlin and/or Province for contribution or indemnity.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4" w:name="Case Summary_12"/>
            <w:bookmarkEnd w:id="1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leave to initiate third party proceedings against the Province and Devlin. The plaintiffs owned neighbouring properties within the defendant's district. They commenced their actions in 2015 seeking damages against the defendant related to flooding and water ingress issues. Devlin owned a property upslope from the plaintiffs' properties. The defendant alleged the Province and Devlin were responsible for the flooding of the plaintiffs' properties due to the installation of an unauthorized drainage pipe on Devlin's property and the leveling of a drainage ditch by Devlin, which in turn comprised the functionality of the defendant's drainage system. The Province was responsible for maintenance of the drainage ditches. No discoveries had been conducted.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5" w:name="Holdings of Court_8"/>
            <w:bookmarkEnd w:id="10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did not delay in bringing its application. The issue of whether the Province's maintenance of the drainage ditch was a policy decision was an issue for trial. Whether sections 83 and 84 of the Transportation Act were a defence to the defendant's claim could not be determined until further evidence was obtained through the discovery process. If the defendant was found responsible for water damage to the plaintiffs' properties, it could well have a claim against Devlin and/or the Province for contribution or indemnity.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6" w:name="Legislation Cited_10"/>
      <w:bookmarkEnd w:id="1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8"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Highway Act, </w:t>
      </w:r>
      <w:hyperlink r:id="rId331" w:history="1">
        <w:r>
          <w:rPr>
            <w:rFonts w:ascii="arial" w:eastAsia="arial" w:hAnsi="arial" w:cs="arial"/>
            <w:i/>
            <w:color w:val="0077CC"/>
            <w:sz w:val="20"/>
            <w:u w:val="single"/>
            <w:shd w:val="clear" w:color="auto" w:fill="FFFFFF"/>
            <w:lang w:val="en-US" w:eastAsia="en-US" w:bidi="ar-SA"/>
          </w:rPr>
          <w:t>R.S.B.C. 1996, c. 188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332" w:history="1">
        <w:r>
          <w:rPr>
            <w:rFonts w:ascii="arial" w:eastAsia="arial" w:hAnsi="arial" w:cs="arial"/>
            <w:i/>
            <w:color w:val="0077CC"/>
            <w:sz w:val="20"/>
            <w:u w:val="single"/>
            <w:shd w:val="clear" w:color="auto" w:fill="FFFFFF"/>
            <w:lang w:val="en-US" w:eastAsia="en-US" w:bidi="ar-SA"/>
          </w:rPr>
          <w:t>R.S.B.C. 1996, c. 253, s. 10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1-3, Rule 3-5, Rule 3-5(4), Rule 22-5(8)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Transportation Act, </w:t>
      </w:r>
      <w:hyperlink r:id="rId333" w:history="1">
        <w:r>
          <w:rPr>
            <w:rFonts w:ascii="arial" w:eastAsia="arial" w:hAnsi="arial" w:cs="arial"/>
            <w:i/>
            <w:color w:val="0077CC"/>
            <w:sz w:val="20"/>
            <w:u w:val="single"/>
            <w:shd w:val="clear" w:color="auto" w:fill="FFFFFF"/>
            <w:lang w:val="en-US" w:eastAsia="en-US" w:bidi="ar-SA"/>
          </w:rPr>
          <w:t>S.B.C. 2004, c. 44, s. 62</w:t>
        </w:r>
      </w:hyperlink>
      <w:r>
        <w:rPr>
          <w:rFonts w:ascii="arial" w:eastAsia="arial" w:hAnsi="arial" w:cs="arial"/>
          <w:color w:val="000000"/>
          <w:sz w:val="20"/>
          <w:lang w:val="en-US" w:eastAsia="en-US" w:bidi="ar-SA"/>
        </w:rPr>
        <w:t>(1), s. 83, s. 84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7" w:name="Counsel_13"/>
      <w:bookmarkEnd w:id="10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Rickett: G.A. Alfonso.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J.W. Locke.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third party, British Columbia: A. Dalmyn.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8" w:name="Judgment_13"/>
      <w:bookmarkEnd w:id="108"/>
      <w:r>
        <w:pict>
          <v:line id="_x0000_s1100"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9" w:name="G.P. WEATHERILL J."/>
            <w:bookmarkEnd w:id="109"/>
            <w:r>
              <w:rPr>
                <w:rFonts w:ascii="arial" w:eastAsia="arial" w:hAnsi="arial" w:cs="arial"/>
                <w:b/>
                <w:color w:val="000000"/>
                <w:sz w:val="30"/>
                <w:lang w:val="en-US" w:eastAsia="en-US" w:bidi="ar-SA"/>
              </w:rPr>
              <w:t>G.P.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reasons address applications brought in two actions, </w:t>
      </w:r>
      <w:r>
        <w:rPr>
          <w:rFonts w:ascii="arial" w:eastAsia="arial" w:hAnsi="arial" w:cs="arial"/>
          <w:i/>
          <w:color w:val="000000"/>
          <w:sz w:val="20"/>
          <w:lang w:val="en-US" w:eastAsia="en-US" w:bidi="ar-SA"/>
        </w:rPr>
        <w:t>Gurney v. District of West Kelowna</w:t>
      </w:r>
      <w:r>
        <w:rPr>
          <w:rFonts w:ascii="arial" w:eastAsia="arial" w:hAnsi="arial" w:cs="arial"/>
          <w:color w:val="000000"/>
          <w:sz w:val="20"/>
          <w:lang w:val="en-US" w:eastAsia="en-US" w:bidi="ar-SA"/>
        </w:rPr>
        <w:t xml:space="preserve"> ("Gurney Action") and </w:t>
      </w:r>
      <w:r>
        <w:rPr>
          <w:rFonts w:ascii="arial" w:eastAsia="arial" w:hAnsi="arial" w:cs="arial"/>
          <w:i/>
          <w:color w:val="000000"/>
          <w:sz w:val="20"/>
          <w:lang w:val="en-US" w:eastAsia="en-US" w:bidi="ar-SA"/>
        </w:rPr>
        <w:t>Rickett v. District of West Kelowna</w:t>
      </w:r>
      <w:r>
        <w:rPr>
          <w:rFonts w:ascii="arial" w:eastAsia="arial" w:hAnsi="arial" w:cs="arial"/>
          <w:color w:val="000000"/>
          <w:sz w:val="20"/>
          <w:lang w:val="en-US" w:eastAsia="en-US" w:bidi="ar-SA"/>
        </w:rPr>
        <w:t xml:space="preserve"> ("Rickett Action") (collectively,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in the Actions, Ryan Ian Gurney and Keilen Elise Gurney ("the Gurneys") and Douglas Donald Rickett ("Rickett"), own neighbouring properties in the District of West Kelowna ("District"). They seek damages against the District related to flooding and water ingress issues. Their claims are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and the principles as set out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(1868), L.R. 3 H.L. 330. The claims and allegations underlying the Actions are essentially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District brings applications for leave to initiate third party proceedings against Her Majesty the Queen in Right of the Province of British Columbia ("Province") and Corinna Devlin ("Devlin") in the Actions. The District alleges that both the Province and Devlin caused, contributed to and are responsible for the flooding of the Gurney and Rickett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Gurneys and Devlin took no position on the application and did not appear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Rickett and the Province oppose the granting of an order joining Devlin and the Province as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reasons that follow, I grant leave to the District to file third party proceedings against Devlin and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Gurney, Rickett and Devlin properties are residential properties located in the same subdivision ("Subdivision"). The Subdivision was developed in 1975, some 32 years before the District was incorporated.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Subdivision is located on a sloping hillside. The Devlin property is upslope from the Gurney property, which in turn is upslope from the Rickett property. The rear of the Gurney and Rickett properties back on to each other. A subdivision road known as Griffiths Place ("Griffiths Place") separates the Devlin and Gurney properties. When the Subdivision was developed, Griffiths Place vested in the Province as a rural highway, as defined by the then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R.S.B.C. 1996, c. 188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Devlin acquired the Devlin property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Gurneys and Rickett allege that their respective properties were damaged by water, as a result of the District failing to maintain its water drainage system and catch basins in a proper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District argues that the water damage was caused by an unauthorized "Big O" drainage pipe installed on the Devlin property, which discharged water on a continuous and year-round basis onto the Griffiths Place road right-of-way, and in turn into the Gurney and Rickett properties. The District also alleges that Devlin illegally filled-in and levelled a roadside drainage ditch within the Griffiths Place road right-of-way, to create a vehicle parking pad on Griffiths Place ("Devlin's Alterations"). The drainage ditch was designed to collect natural spring, ground and surface water and discharge it to a system of culverts and pipes that were part of the original Subdivision design. As a result of Devlin's Alterations, the functionality of the District's drainage system was compromised. Surface water that had previously flowed into the drainage ditch no longer had a place to go and overflowed into the Gurney and Rickett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District was created by Letters Patent on December 6, 2007. It wasn't until then that the District became the owner of Griffiths Place. However, pursuant to an agreement between the District and the Province, the Province continued to be responsible for the maintenance of Griffiths Place from 2007 until December 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Province's responsibility for the maintenance of Griffiths Place included the maintenance of the drainage ditches on the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Prior to December 2012, when the District assumed responsibility for Griffiths Place and its right-of-way, water had been draining from the Devlin property into the Gurney and Rickett properties. The District alleges that this was a result of Devlin's Alterations.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District became aware of the water drainage issues and water ingress into the plaintiffs' properties in 2013. The District investigated and commissioned a drainage study. In October 2014, the District initiated repairs and modifications to the drainage works and the water problems seem now to have been satisfactorily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Gurney Action was commenced on March 5, 2015. The Rickett Action was commenced on May 20,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District filed a response in the Gurney action on May 13, 2015, and in the Rickett's action on June 17,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District filed this notice of application for leave to add the Province and Devlin as third parties on November 3, 2015. This matter had previously been set down for hearing during the week of January 11, 2016, but was adjourned by consent to the week of February 9,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preliminary document discovery has begun, no examinations for discovery have been scheduled and no trial dates have been set in either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Applicable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Rule 3-5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permits third party claims to be brought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3-5(1) A party against whom relief is sought in an action may, if that party is not a plaintiff in the action, pursue a third party claim against any person if the party alleges that: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person in relation to any relief that is being sought against the party in the action,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relief against the person and that relief relates to or is connected with the subject matter of the action, or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substantially the same as a question or issue that relates to or is connected with</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claimed in the action, or</w:t>
      </w:r>
    </w:p>
    <w:p>
      <w:pPr>
        <w:numPr>
          <w:numId w:val="6"/>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action, 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properly be determined in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party claim may be pursued against a person, whether or not that person is a party to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file a third party notice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with leave of the court, or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leave of the court, within 42 days after being served with the notice of civil claim or counterclaim in which the relief referred to in subrule (1) is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object of third party proceedings is to provide a single proceeding for the resolution of related questions, issues or remedies, in order to avoid multiple actions and inconsistent findings, to provide a mechanism for the third party to defend the plaintiff's claim and to ensure the third party claim is decided before a defendant is called upon to pay the full amount of any judgement: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at p.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Material facts sufficient to support the third party claim must be pleaded. The issue of whether or not a third party pleading discloses a cause of action is similar to the issue raised in a motion to strike a pleading. The only question is whether the pleading discloses a cause of action: </w:t>
      </w:r>
      <w:r>
        <w:rPr>
          <w:rFonts w:ascii="arial" w:eastAsia="arial" w:hAnsi="arial" w:cs="arial"/>
          <w:i/>
          <w:color w:val="000000"/>
          <w:sz w:val="20"/>
          <w:lang w:val="en-US" w:eastAsia="en-US" w:bidi="ar-SA"/>
        </w:rPr>
        <w:t>Minnes v. Minnes and Rees-Davies</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(1962), 34 D.L.R. (2d) 497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order to succeed in resisting an application to file third party proceedings, the proposed third party must establish that the pleading discloses no cause of action. The court is permitted to reject proposed claims only if the proposed third party action is "bound to lose" or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w:t>
      </w:r>
      <w:r>
        <w:rPr>
          <w:rFonts w:ascii="arial" w:eastAsia="arial" w:hAnsi="arial" w:cs="arial"/>
          <w:i/>
          <w:color w:val="000000"/>
          <w:sz w:val="20"/>
          <w:lang w:val="en-US" w:eastAsia="en-US" w:bidi="ar-SA"/>
        </w:rPr>
        <w:t>Steveston Seafood Auction Inc. v. Bahi</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2013 BCSC 1072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Steveston</w:t>
      </w:r>
      <w:r>
        <w:rPr>
          <w:rFonts w:ascii="arial" w:eastAsia="arial" w:hAnsi="arial" w:cs="arial"/>
          <w:color w:val="000000"/>
          <w:sz w:val="20"/>
          <w:lang w:val="en-US" w:eastAsia="en-US" w:bidi="ar-SA"/>
        </w:rPr>
        <w:t xml:space="preserve">] at para. 19. The courts take a liberal approach to pleadings. Before a pleading will be struck out on the basis that it discloses no reasonable cause of action, the court must be certain that the standard has been met: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xml:space="preserve"> at p.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Although material facts sufficient to support the third party claim must be set out, an applicant seeking leave to file a third party notice is not obliged to adduce evidence. The court must assume that the facts plead in a proposed third party notice are true: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xml:space="preserve">, p. 9; </w:t>
      </w:r>
      <w:r>
        <w:rPr>
          <w:rFonts w:ascii="arial" w:eastAsia="arial" w:hAnsi="arial" w:cs="arial"/>
          <w:i/>
          <w:color w:val="000000"/>
          <w:sz w:val="20"/>
          <w:lang w:val="en-US" w:eastAsia="en-US" w:bidi="ar-SA"/>
        </w:rPr>
        <w:t>Steveston</w:t>
      </w:r>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 xml:space="preserve"> at para. 25. The only question is whether the alleged facts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Because the notice of application was not brought within 42 days after the District was served with the notice of civil claim, leave of this Court is required under </w:t>
      </w:r>
      <w:r>
        <w:rPr>
          <w:rFonts w:ascii="arial" w:eastAsia="arial" w:hAnsi="arial" w:cs="arial"/>
          <w:i/>
          <w:color w:val="000000"/>
          <w:sz w:val="20"/>
          <w:lang w:val="en-US" w:eastAsia="en-US" w:bidi="ar-SA"/>
        </w:rPr>
        <w:t>Rule</w:t>
      </w:r>
      <w:r>
        <w:rPr>
          <w:rFonts w:ascii="arial" w:eastAsia="arial" w:hAnsi="arial" w:cs="arial"/>
          <w:color w:val="000000"/>
          <w:sz w:val="20"/>
          <w:lang w:val="en-US" w:eastAsia="en-US" w:bidi="ar-SA"/>
        </w:rPr>
        <w:t xml:space="preserve"> 3-5(4).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granting of an order authorizing third party proceedings is discretionary. In exercising its discretion, the court should consider these factors: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desire to avoid a multiplicity of proceedings;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Prejudice to any of the parties;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limitation period has intervened;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merits of the proposed claim;</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delay in the proceedings;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just and convenient to the parties: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Clayton Systems 2001 Ltd. v. Quizno's Canada Corp.</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2003 BCSC 1573</w:t>
        </w:r>
      </w:hyperlink>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The Owners, Strata Plan 4249 v. Travelers Insurance Company of Canada</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2015 BCSC 172</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Tyson Creek Hydro Corporation v. Kerr Wood Leidal Associates Limited</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2013 BCSC 1741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Tyson Creek</w:t>
      </w:r>
      <w:r>
        <w:rPr>
          <w:rFonts w:ascii="arial" w:eastAsia="arial" w:hAnsi="arial" w:cs="arial"/>
          <w:color w:val="000000"/>
          <w:sz w:val="20"/>
          <w:lang w:val="en-US" w:eastAsia="en-US" w:bidi="ar-SA"/>
        </w:rPr>
        <w:t>]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exercise of court's discretion is one of weighing competing injustices and inconveniences between the parties: </w:t>
      </w:r>
      <w:r>
        <w:rPr>
          <w:rFonts w:ascii="arial" w:eastAsia="arial" w:hAnsi="arial" w:cs="arial"/>
          <w:i/>
          <w:color w:val="000000"/>
          <w:sz w:val="20"/>
          <w:lang w:val="en-US" w:eastAsia="en-US" w:bidi="ar-SA"/>
        </w:rPr>
        <w:t>Tyson Creek</w:t>
      </w:r>
      <w:r>
        <w:rPr>
          <w:rFonts w:ascii="arial" w:eastAsia="arial" w:hAnsi="arial" w:cs="arial"/>
          <w:color w:val="000000"/>
          <w:sz w:val="20"/>
          <w:lang w:val="en-US" w:eastAsia="en-US" w:bidi="ar-SA"/>
        </w:rPr>
        <w:t xml:space="preserve"> at para. 54. The court must be satisfied that, in all the circumstances, it is just and convenient that the proposed third party be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District's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District's position is that it had no obligation or responsibility to maintain Griffiths Place, its right-of-way or water drainage ditches, until it took over responsibility from the Province in December 2012. The District maintains that when it assumed responsibility for Griffiths Place in 2012, it inherited the water problems created by Devlin and allowed to continue by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Once the District became aware of the issue, it investigated within a reasonable timeframe and took effective corrective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District's proposed claim against Devlin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and trespass by:</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causing or permitting a continuous flow of water to be discharged from her property into the Griffiths Place road allowance by way of the drainage pipe, and thereby causing water to enter and damage the plaintiffs' properties; and/or</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causing or directing a portion of a drainage ditch located within the portion of Griffiths Place adjacent to a property to be filled and compacted at level grade, thereby eliminating the functionality of the drainage ditch and ultimately causing water to enter and damage the plaintiffs'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District's proposed claim against the Province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acts or omissions in relation to its obligations to maintain the Griffiths Place road allowance and drainage ditches by:</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the drainage ditch was properly maintained;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inspect the condition and functionality of the drainage ditch;</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detect the alteration of the drainage ditch;</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detect the presence of the drainage pipe and the associated discharge of water; and/or</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otherwise ensure that Griffiths Place roadway, including the drainage infrastructure thereupon and therein, functioned so as to ensure that harmful quantities of water did not enter the plaintiffs' properties located directly downhill from Griffiths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District argues that the problems the plaintiffs complain about were caused by Devlin and the Province. Accordingly, the District seeks contribution and/or indemnity from Devlin and the Province, should it be found to be liable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Province's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Province argues that the District's proposed third party proceedings make "sweeping allegations" without a factual basis. Further, the Province says it is immune from claims of the nature proposed by the District, because they are founded on matters of government policy that cannot ground an action in tort. Further, the Province says it never granted any permit for the Devlin Alterations that would trigger a corresponding duty to inspect of the type contemplated by such cases as </w:t>
      </w:r>
      <w:r>
        <w:rPr>
          <w:rFonts w:ascii="arial" w:eastAsia="arial" w:hAnsi="arial" w:cs="arial"/>
          <w:i/>
          <w:color w:val="000000"/>
          <w:sz w:val="20"/>
          <w:lang w:val="en-US" w:eastAsia="en-US" w:bidi="ar-SA"/>
        </w:rPr>
        <w:t>Nielsen v. Kamloops (City)</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(1981), 129 D.L.R. (3d) 111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Province also relies on sections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 that provide for statutory immunity. Section 62(1) of that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62(1) A person must not use or occupy, including do anything to or cause anything to be constructed or deposited on, a provincial public highway or any land or improvement related to a provincial public highway, unless the person is authorized to do so under this Part, under another enactment, by a lease entered into under section 13(2)(a) or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Sections 83 and 84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Nothing in this Act requires the minister to take any action to stop, prevent or remedy any act or omission that is or may constitute a contravention of this Act or the regulations or to remedy any situation that the minister has the right to remedy under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Nothing in this Act of obliges the Minister to plan, design, acquire, hold, construct, use, operate, upgrade, alter, expand, extend, maintain, repair, rehabilitate, protect, remove, discontinue, close or dispose of any highway or any part of 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Province relies on comments made by the Supreme Court of Canada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In that case, the issue was whether third-party proceedings issued by Imperial Tobacco against the Government of Canada ought to stand. The Government of British Columbia sought compensation for the cost of medical treatment of individuals suffering from tobacco-related illnesses from a group of 14 tobacco companies. The tobacco companies attempted to add the Government of Canada as a third party, alleging that it had made negligent misrepresentations about low tar cigarettes and negligently failed to warn the public of the hazards of smoking. At paragraph 94,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The third-party notices implicitly accept that in making the alleged representations, Health Canada was acting out of concern for the health of Canadians, pursuant to its policy of encouraging smokers to switch to low-tar cigarettes. They assert, in effect, that Health Canada had a policy to warn the public about the hazardous effects of smoking, and to encourage healthier smoking habits among Canadians. The third-party claims rest on the allegation that Health Canada accepted that some smokers would continue to smoke despite the adverse health effects, and decided that these smokers should be encouraged to smoke lower-tar cigarettes.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held that Health Canada's decision was a matter of government policy and accordingly it was "plain and obvious" that Imperial Tobacco's third party claim would fail. The third party notices were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Similarly, the Province argues that the unauthorized Devlin Alterations were the source of the water that flooded the Gurney and Rickett properties. The unauthorized Devlin Alterations and their effect on the properties occurred between 1998 (when Devlin bought the property) and 2012. Although the Province was responsible for the maintenance of Griffiths Place during this time, the Province argues that it had no positive duty to inspect for unauthorized works such as the Devlin Alterations. Indeed, sections 83 and 84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specifically provide that the Province is not required to take action, even when it has the power to do so. Therefore, there was no proximity between the plaintiffs and the Province to create a duty of care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Accordingly, the Province asserts that the District's applications should be dismissed. The proposed third party notices disclose no reasonable cause of action and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Rickett's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Rickett opposes the District 's application essentially on two grounds: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a third party to the proceedings will complicate his otherwise straightforward nuisance claim against the District and will make the proceedings much more complex; and</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District has failed to adequately explain the approximate five-month delay in filing its application to add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Rickett points to an engineering report the District commissioned in the fall of 2013 to assess the storm water issues. Rickett argues that this report should have alerted the District to the likely causes of and potential remedies for the flooding issues. The District should have been aware then that the Devlin Alterations were the likely culprit. Indeed, in the District's response to the notices of civil claim, it identified the source of damages was connected to the Devlin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Rickett further argues that the engineering report strongly suggests that there was some level of government responsibility for the flooding issues. When the District filed its responses to the Rickett and Gurney claims, it knew or ought to have known that the Province was a possible party and should have filed its third party proceedings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support, Rickett refers to </w:t>
      </w:r>
      <w:r>
        <w:rPr>
          <w:rFonts w:ascii="arial" w:eastAsia="arial" w:hAnsi="arial" w:cs="arial"/>
          <w:i/>
          <w:color w:val="000000"/>
          <w:sz w:val="20"/>
          <w:lang w:val="en-US" w:eastAsia="en-US" w:bidi="ar-SA"/>
        </w:rPr>
        <w:t>Lopez v. The Owners, Strata Plan LMS3851</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2015 BCSC 1157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Lopez</w:t>
      </w:r>
      <w:r>
        <w:rPr>
          <w:rFonts w:ascii="arial" w:eastAsia="arial" w:hAnsi="arial" w:cs="arial"/>
          <w:color w:val="000000"/>
          <w:sz w:val="20"/>
          <w:lang w:val="en-US" w:eastAsia="en-US" w:bidi="ar-SA"/>
        </w:rPr>
        <w:t>], where Master Muir stated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my view,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set time limits on the ability to bring a third party claim for the very reason these applications are resisted by the plaintiff and proposed third parties. There have been documents lost or destroyed, the late application will result in a longer trial than has been set, counsel for the third parties are not available on the scheduled dates, it is likely an adjournment of the trial will be necessary, pre-trial procedures have been conducted without the participation of the proposed third parties, and duplication or delay may result from that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Where, as here, the issues are clear from the pleading, parties should turn their minds early to potential 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Rickett argues, the District is too late in bringing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Whether to allow third party proceedings to be filed is discretionary and will depend on the circumstances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conclude that the District's applications should be allowed and that leave should be granted to the District to issue third party proceedings against Devlin and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have weighed the competing injustices and inconveniences between the parties, which is the primary consideration: </w:t>
      </w:r>
      <w:r>
        <w:rPr>
          <w:rFonts w:ascii="arial" w:eastAsia="arial" w:hAnsi="arial" w:cs="arial"/>
          <w:i/>
          <w:color w:val="000000"/>
          <w:sz w:val="20"/>
          <w:lang w:val="en-US" w:eastAsia="en-US" w:bidi="ar-SA"/>
        </w:rPr>
        <w:t>Tyson Creek</w:t>
      </w:r>
      <w:r>
        <w:rPr>
          <w:rFonts w:ascii="arial" w:eastAsia="arial" w:hAnsi="arial" w:cs="arial"/>
          <w:color w:val="000000"/>
          <w:sz w:val="20"/>
          <w:lang w:val="en-US" w:eastAsia="en-US" w:bidi="ar-SA"/>
        </w:rPr>
        <w:t xml:space="preserve"> at para. 54. Other factors I have considered include:</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timing of bringing the application in relation to other steps taken in the litigation;</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prejudice to Rickett, the Gurneys and the Province; and</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District's claim against the Province discloses no reasonable cause of action and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have also considered the objects of the rules of court summarized in </w:t>
      </w:r>
      <w:r>
        <w:rPr>
          <w:rFonts w:ascii="arial" w:eastAsia="arial" w:hAnsi="arial" w:cs="arial"/>
          <w:i/>
          <w:color w:val="000000"/>
          <w:sz w:val="20"/>
          <w:lang w:val="en-US" w:eastAsia="en-US" w:bidi="ar-SA"/>
        </w:rPr>
        <w:t>Rule</w:t>
      </w:r>
      <w:r>
        <w:rPr>
          <w:rFonts w:ascii="arial" w:eastAsia="arial" w:hAnsi="arial" w:cs="arial"/>
          <w:color w:val="000000"/>
          <w:sz w:val="20"/>
          <w:lang w:val="en-US" w:eastAsia="en-US" w:bidi="ar-SA"/>
        </w:rPr>
        <w:t xml:space="preserve"> 1-3:</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Supreme Court Civil Rules is to secure the just, speedy and inexpensive determination of every proceeding on its merits.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Securing the just, speedy and inexpensive determination of a proceeding on its merits includes, so far as is practicable, conducting the proceeding in ways that are proportionate to</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issues in dispute,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Rickett's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Rickett's objection is essentially that by allowing the third party proceedings to be filed, his action against the District will become more time consuming and expensive. He views his action against the District as a simple case of nuisance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the District allowed his property to be flooded.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I understand Rickett would prefer to keep his action as uncomplicated as possible, it is also important that all parties whose participation in the proceeding is necessary to ensure that his claim is effectively adjudicated are able to participate.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material before me, I am not satisfied that Rickett's claim is as straightforward as he suggests. Further, I do not agree with Rickett that the District has been tardy in bringing this application. The Gurney claim was filed on March 6, 2015. The Rickett claim was filed on May 20, 2015. The District filed a response in the Gurney Action on May 13, 2015, and in the Rickett Action on June 17, 2015. The District's initial application to file third party proceedings in both actions was filed on November 3,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District took steps to investigate the plaintiffs' claims, drainage issues and flooding problems. Counsel was retained, site visits were conducted and potential witnesses interviewed.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am satisfied the District acted reasonably and diligently and did not delay in bringing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facts in this case are vastly different than in </w:t>
      </w:r>
      <w:r>
        <w:rPr>
          <w:rFonts w:ascii="arial" w:eastAsia="arial" w:hAnsi="arial" w:cs="arial"/>
          <w:i/>
          <w:color w:val="000000"/>
          <w:sz w:val="20"/>
          <w:lang w:val="en-US" w:eastAsia="en-US" w:bidi="ar-SA"/>
        </w:rPr>
        <w:t>Lopez,</w:t>
      </w:r>
      <w:r>
        <w:rPr>
          <w:rFonts w:ascii="arial" w:eastAsia="arial" w:hAnsi="arial" w:cs="arial"/>
          <w:color w:val="000000"/>
          <w:sz w:val="20"/>
          <w:lang w:val="en-US" w:eastAsia="en-US" w:bidi="ar-SA"/>
        </w:rPr>
        <w:t xml:space="preserve"> where the defendant's application to initiate third party proceedings was brought after the matter had been set for trial and after document disclosure, discoveries and other pre-trial proceedings had been completed.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The Province's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Respecting the Province's objection, I am satisfied that it should be added as a third party for the reasons articulated by the District. The Province had an agreement with the District to maintain Griffiths Place and the adjacent drainage ditches. The Province argues that it cannot be liable for policy decisions. While that is true, it has yet to be determined whether this case involves policy decisions or the Province's failure to properly implement policy decisions. There is nothing before me that determines this issue one way or the other. This issue will be the subject of argument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Likewise, whether ss. 83 and 84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are a defence to the District's claim against the Province cannot be determined on the material before me and will likely not be able to be determined until further evidence is obtained through the discovery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Further, if the District's application is not allowed, the District has made it clear that it will commence separate proceedings against Devlin and the Province. In these circumstances, it is likely that an application would be brought to have the actions heard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avoidance of a multiplicity of proceedings is a fundamental tenet of our civil procedure. Indeed, s. 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provides that multiplicity of proceedings should be avoided: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the exercise of its jurisdiction in a cause or matter before it, the court must grant, either absolutely or on reasonable conditions that to it seem just, all remedies that any of the parties may appear to be entitled to in respect of any legal or equitable claim properly brought forward by them in the cause or matter so that, as far as possible, all matters in controversy between the parties may be completely and finally determined and all multiplicity of legal proceedings concerning any of those matters may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Should it be determined that the District is partially or completely responsible for the water damage to the Gurney and Rickett properties, the District may well have a claim against Devlin and/or the Province for contribution or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all the circumstances, I am satisfied that it is just and convenient that Devlin and the Province should be joined as third parties to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District's applications in the Actions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There is no order as yet that the Actions be heard at the same time pursuant to </w:t>
      </w:r>
      <w:r>
        <w:rPr>
          <w:rFonts w:ascii="arial" w:eastAsia="arial" w:hAnsi="arial" w:cs="arial"/>
          <w:i/>
          <w:color w:val="000000"/>
          <w:sz w:val="20"/>
          <w:lang w:val="en-US" w:eastAsia="en-US" w:bidi="ar-SA"/>
        </w:rPr>
        <w:t>Rule</w:t>
      </w:r>
      <w:r>
        <w:rPr>
          <w:rFonts w:ascii="arial" w:eastAsia="arial" w:hAnsi="arial" w:cs="arial"/>
          <w:color w:val="000000"/>
          <w:sz w:val="20"/>
          <w:lang w:val="en-US" w:eastAsia="en-US" w:bidi="ar-SA"/>
        </w:rPr>
        <w:t xml:space="preserve"> 22-5(8). I encourage the parties to give that some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Iser v. Canada (Attorney General), [2016] B.C.J. No. 2625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4 and 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S140297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2625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2325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Christopher Henry Iser, By His Committee Jessica Nicole Iser, Plaintiff, and The Attorney General of Canada, Vince LeBlanc, Scott Verwold, and John Does #1-8,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0" w:name="Keywords_14"/>
      <w:bookmarkEnd w:id="110"/>
      <w:r>
        <w:rPr>
          <w:rFonts w:ascii="arial" w:eastAsia="arial" w:hAnsi="arial" w:cs="arial"/>
          <w:b/>
          <w:color w:val="000000"/>
          <w:sz w:val="20"/>
          <w:lang w:val="en-US" w:eastAsia="en-US" w:bidi="ar-SA"/>
        </w:rPr>
        <w:t>Civil litigation — Civil procedure — Judgments and orders — Setting aside judgments or orders — Fresh evidence — Application by plaintiff to re-open and reconsider defendant's appeal from Master's decision dismissed — Plaintiff brought action after he was injured in attack by fellow inmates — Identity of attackers and defendants' knowledge of gang affiliations was crucial to claim — Master ordered disclosure with confidentiality order, defendants appealed, and court ordered information covered by public interest immunity and confidential informant privilege redacted — Master reviewed second affidavit, however, while defendants adduced first affidavit before court — Fairness dictated court review affidavits, but there were no differences between them that would change result, and misunderstanding did not create miscarriage of justice.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evidence — Privilege — Crown privilege or public interest — Application by plaintiff to re-open and reconsider defendant's appeal from Master's decision dismissed — Plaintiff brought action after he was injured in attack by fellow inmates — Identity of attackers and defendants' knowledge of gang affiliations was crucial to claim — Master ordered disclosure with confidentiality order, defendants appealed, and court ordered information covered by public interest immunity and confidential informant privilege redacted — Master reviewed second affidavit, however, while defendants adduced first affidavit before court — Fairness dictated court review affidavits, but there were no differences between them that would change result, and misunderstanding did not create miscarriage of justice.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Crown — Actions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Practice and procedure — Evidence — Application by plaintiff to re-open and reconsider defendant's appeal from Master's decision dismissed — Plaintiff brought action after he was injured in attack by fellow inmates — Identity of attackers and defendants' knowledge of gang affiliations was crucial to claim — Master ordered disclosure with confidentiality order, defendants appealed, and court ordered information covered by public interest immunity and confidential informant privilege redacted — Master reviewed second affidavit, however, while defendants adduced first affidavit before court — Fairness dictated court review affidavits, but there were no differences between them that would change result, and misunderstanding did not create miscarriage of justice.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1" w:name="Case Summary_13"/>
            <w:bookmarkEnd w:id="1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re-open and reconsider the appeal from the Master's decision and to be able to tender further evidence, unseal portions of the second affidavit and have the defendants provide the plaintiff's counsel with an unredacted copy of the first affidavit and be able to cross-examine the affiant. The plaintiff brought this civil action against the Attorney General and other defendants after he suffered serious injuries in an attack by fellow inmates in a federal institution. The plaintiff claimed the defendants failed to protect him and knew or ought to have known the facility housed gang members and affiliates known to be a threat to the plaintiff's safety. The identity of the attackers, the defendants' knowledge of their identity and gang affiliations were crucial to the plaintiff's claim, so the plaintiff wanted relevant disclosure. The Master ordered disclosure with restricted access through a confidentiality order. The defendants appealed and the court found the defendants' claims of public interest immunity and confidential informant privilege were valid, and any information covered by either form of privilege was to be redacted. After the conclusion of the appeal but before the order was entered, the parties appeared to address the issue of the first affidavit, which was adduced before the court but not the Master. The defendants had not been untoward in presenting two different affidavits and believed the difference was clear, but the plaintiff had never seen either affidavit so it was not clear to him that the affidavits were different. The issue was whether the fact that the affidavit accepted by the court was not the same as the one proffered before the Master justified reopening and reconsidering the appeal.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2" w:name="Holdings of Court_9"/>
            <w:bookmarkEnd w:id="11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order had not yet been entered so it was within the court's discretion to reopen the matter. This was not a mere case of fresh evidence as there was a genuine misunderstanding by the court and plaintiff about the affidavits the defendants proffered before the Master and on appeal. Since the plaintiff's counsel would not get to see the sealed affidavits, the interests of fairness and justice justified examining the first affidavit. The possibility of error on how the second affidavit was considered on appeal was more likely in assessing the claim of public interest immunity, which required a document by document review. Both affidavits were sworn by the same individual. The second affidavit added a paragraph confirming the affiant was a peace officer, but this was not significant. The main difference between the affidavits was that the second was more detailed and specific with regards to explaining specific redactions. There was no inconsistency between the two affidavits and the words used to describe the harms were identical. Nine new paragraphs in the second affidavit gave more detail about the information in the first, with respect to the affiant's duties and some publicly available directives. The basis for public interest immunity was the same in both affidavits. There was a risk of harm in revealing the identity of the persons who provided information, or information that would reveal investigative techniques, or information that could jeopardize institutional safety. There was a risk of harm in disclosure of the affidavits and redactions inherent in the type of information and unique circumstances of the institution. Nothing in the context of the first affidavit could or did change the reasoning or result, and the misunderstanding between the parties and court did not create a miscarriage of justice.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3" w:name="Legislation Cited_11"/>
      <w:bookmarkEnd w:id="1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4" w:name="Counsel_14"/>
      <w:bookmarkEnd w:id="1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B.E. Webster-Evans, Y.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B. Sokhansanj, M. McEachern.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5" w:name="Judgment_14"/>
      <w:bookmarkEnd w:id="115"/>
      <w:r>
        <w:pict>
          <v:line id="_x0000_s1105"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6" w:name="N. SHARMA J."/>
            <w:bookmarkEnd w:id="116"/>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ruling concerns an application filed by Christopher Henry Iser, the plaintiff in a civil action against the Attorney General of Canada. Mr. Iser submits that the defendants' appeal from a Master's decision, heard before me, should be reopened for rehearing and reconsideration. Additionally, the plaintiff seeks the following orders:</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tender further evidence and make further submissions regarding the nature of the claims of privilege over redacted documents before the court;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unseal those portions of Ms. Janeen England's sealed affidavit that was before me (the 2nd affidavit) that do not address the issue of Confidential Informant Privilege;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order the defendants produce for the court an unredacted copy of Ms. Janeen England's affidavit of March 15, 2016 (the 1st affidavit) and that they provide to only Mr. Iser's counsel an affidavit unredacted except for areas engaged by Confidential Informant Privilege;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cross-examine Ms. England about her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have provided this Court with an unredacted copy of the 1st affidavit so that portion of the third order listed above is no longer necessary. Otherwise, the defendants oppose all applications made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Iser, the plaintiff, has brought a civil action against the defendants for damages for personal injuries he suffered while he was a federal inmate at Matsqui Institution. Upon arriving at Matsqui, Mr. Iser was attacked by fellow inmates, suffering serious injuries which have left him with a brain injury. He claims that the defendants failed to protect him from this attack. As Voith J. summarized in a hearing on an application for discovery for this matter, the plaintiff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at the time the plaintiff was placed in Matsqui, it was known to the defendants, or it ought to have been known to them, that Matsqui already housed a significant number of inmates who were known to be, or suspected of being, associates or affiliates or members of gangs who posed a threat to the safety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Iser v. Canada (Attorney General</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2016 BCSC 1627</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claim, regarding the identity of the attackers and the defendants' knowledge of their identity and gang affiliation, is central to the plaintiff's case. As such, they have sought disclosure from the defendants regarding who was involved in the alleged attack, in addition to information and documents about what officials at Matsqui knew about the gang affiliation of inmates. I did not understand the defendants to disagree that the information sought by the plaintiff is relevant to his claim. The Master ordered disclosure of those documents, upon which the defendants claimed privilege, although he did restrict access through a confidentiality order. The defendants' position before the Master was that those documents could not be disclosed even under terms of strict confidentiality.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appealed the Master's order. During that appeal, I found that the defendants' claims for privilege - both Public Interest Immunity and Confidential Informant Privilege - were valid and therefore I ruled that any information covered under either privilege be redacted.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the conclusion of the appeal heard before me in May 2016 and delivery of my reasons, but before the Order was entered, the parties sought leave to appear before me again to address what the plaintiff says is a new issue: the defendants presented a different affidavit at that appeal than had been proffered before the Master at the original Chambers hearing. The Master did not admit the 1st affidavit into evidence and it was never filed. The defendants said this was one of the errors the Master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submit the issue is not new because it was, or ought to have been, clear that the 2nd affidavit was different from the 1st for three reasons. First, the affidavit admitted by me was sworn after the hearing before the Master and that date was mentioned in the defendants' original notice of appeal. The defendants also say that during submissions on the appeal their counsel explained that the 1st affidavit had been "vetted" in order to ensure the claims for privilege were robust and there were a small number of inadvertent errors that were identified and rectified. Finally, the defendants submit that part of the plaintiff's submissions implicitly acknowledged the affidavit was different. Primarily, the defendants emphasize they did not mislead and did not intend to mislead the court. I agree that neither the defendants nor their counsel's conduct was blameworthy.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However, I also find the plaintiff's position that it was unclear that the affidavit before me was not the same one proffered to the Master to be reasonable. It is important to remember that plaintiff's counsel has never seen either the affidavit, or the redactions of the documents attached to both. I add that it was not clear to me in issuing my reasons that the affidavits were different. This was a genuine misunderstanding. I place no fault on either party or their counsel for the misunderstanding.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Thus, there is one issue on this application: does the undisputed fact that Ms. England's affidavit accepted by me was not the same one proffered to, but not admitted by, the Master justify reopening or reconsidering the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Principles Applicable to Reopening a Trial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both parties note, my order has not yet been entered and as such it is within my discretion to reopen this judgment. I have been referred to the case of </w:t>
      </w:r>
      <w:r>
        <w:rPr>
          <w:rFonts w:ascii="arial" w:eastAsia="arial" w:hAnsi="arial" w:cs="arial"/>
          <w:i/>
          <w:color w:val="000000"/>
          <w:sz w:val="20"/>
          <w:lang w:val="en-US" w:eastAsia="en-US" w:bidi="ar-SA"/>
        </w:rPr>
        <w:t>Hodgkinson v. Hodgkinson</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2006 BCCA 158</w:t>
        </w:r>
      </w:hyperlink>
      <w:r>
        <w:rPr>
          <w:rFonts w:ascii="arial" w:eastAsia="arial" w:hAnsi="arial" w:cs="arial"/>
          <w:color w:val="000000"/>
          <w:sz w:val="20"/>
          <w:lang w:val="en-US" w:eastAsia="en-US" w:bidi="ar-SA"/>
        </w:rPr>
        <w:t>, an appeal of a decision by Dillon J. where the law regarding when a trial should be opened to review fresh evidence was reviewed (</w:t>
      </w:r>
      <w:r>
        <w:rPr>
          <w:rFonts w:ascii="arial" w:eastAsia="arial" w:hAnsi="arial" w:cs="arial"/>
          <w:i/>
          <w:color w:val="000000"/>
          <w:sz w:val="20"/>
          <w:lang w:val="en-US" w:eastAsia="en-US" w:bidi="ar-SA"/>
        </w:rPr>
        <w:t>S.R.P.H. v. R.L.H.</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2004 BCSC 1630</w:t>
        </w:r>
      </w:hyperlink>
      <w:r>
        <w:rPr>
          <w:rFonts w:ascii="arial" w:eastAsia="arial" w:hAnsi="arial" w:cs="arial"/>
          <w:color w:val="000000"/>
          <w:sz w:val="20"/>
          <w:lang w:val="en-US" w:eastAsia="en-US" w:bidi="ar-SA"/>
        </w:rPr>
        <w:t xml:space="preserve"> at para. 2). This review was discussed and helpfully summarized in a latter case, </w:t>
      </w:r>
      <w:r>
        <w:rPr>
          <w:rFonts w:ascii="arial" w:eastAsia="arial" w:hAnsi="arial" w:cs="arial"/>
          <w:i/>
          <w:color w:val="000000"/>
          <w:sz w:val="20"/>
          <w:lang w:val="en-US" w:eastAsia="en-US" w:bidi="ar-SA"/>
        </w:rPr>
        <w:t>Zhu v. Li</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2007 BCSC 1467</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Zhu</w:t>
      </w:r>
      <w:r>
        <w:rPr>
          <w:rFonts w:ascii="arial" w:eastAsia="arial" w:hAnsi="arial" w:cs="arial"/>
          <w:color w:val="000000"/>
          <w:sz w:val="20"/>
          <w:lang w:val="en-US" w:eastAsia="en-US" w:bidi="ar-SA"/>
        </w:rPr>
        <w:t>, Justice Ehrcke set out the principles which apply in an application to reopen a trial to adduce new evidence at para. 20:</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entry of the formal order, a trial judge has a wide discretion to re-open the trial to hear new evidence.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discretion should be exercised sparingly and with the greatest care so as to prevent fraud and abuse of the court's process.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applicant to show first that a miscarriage of justice would probably occur if the trial is not re-opened and second that the new evidence would probably change the result.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the proposed fresh evidence is a relevant consideration in deciding whether its admission would probably change the result.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question of whether the evidence could have been presented at trial by the exercise of due diligence is not necessarily determinative, it may be an important consideration in deciding whether a miscarriage of justice would probably occur if the trial is not re-opened.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emphasize that the standard identified in steps 3, 4 and 5 requires "that a miscarriage of justice would probably occur if the trial is not re-opened".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existence of fresh or new evidence is merely one reason to reopen a trial, but is not a necessary condition. This proposition is discussed in </w:t>
      </w:r>
      <w:r>
        <w:rPr>
          <w:rFonts w:ascii="arial" w:eastAsia="arial" w:hAnsi="arial" w:cs="arial"/>
          <w:i/>
          <w:color w:val="000000"/>
          <w:sz w:val="20"/>
          <w:lang w:val="en-US" w:eastAsia="en-US" w:bidi="ar-SA"/>
        </w:rPr>
        <w:t>Cheema v. Cheema</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2001 BCSC 298</w:t>
        </w:r>
      </w:hyperlink>
      <w:r>
        <w:rPr>
          <w:rFonts w:ascii="arial" w:eastAsia="arial" w:hAnsi="arial" w:cs="arial"/>
          <w:color w:val="000000"/>
          <w:sz w:val="20"/>
          <w:lang w:val="en-US" w:eastAsia="en-US" w:bidi="ar-SA"/>
        </w:rPr>
        <w:t xml:space="preserve"> where Bennett J. references the case of </w:t>
      </w:r>
      <w:r>
        <w:rPr>
          <w:rFonts w:ascii="arial" w:eastAsia="arial" w:hAnsi="arial" w:cs="arial"/>
          <w:i/>
          <w:color w:val="000000"/>
          <w:sz w:val="20"/>
          <w:lang w:val="en-US" w:eastAsia="en-US" w:bidi="ar-SA"/>
        </w:rPr>
        <w:t>Sykes v. Sykes</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[1995] B.C.J. No. 821</w:t>
        </w:r>
      </w:hyperlink>
      <w:r>
        <w:rPr>
          <w:rFonts w:ascii="arial" w:eastAsia="arial" w:hAnsi="arial" w:cs="arial"/>
          <w:color w:val="000000"/>
          <w:sz w:val="20"/>
          <w:lang w:val="en-US" w:eastAsia="en-US" w:bidi="ar-SA"/>
        </w:rPr>
        <w:t xml:space="preserve">, [1995] B.C.W.L.D. 1275 (BCCA). In </w:t>
      </w:r>
      <w:r>
        <w:rPr>
          <w:rFonts w:ascii="arial" w:eastAsia="arial" w:hAnsi="arial" w:cs="arial"/>
          <w:i/>
          <w:color w:val="000000"/>
          <w:sz w:val="20"/>
          <w:lang w:val="en-US" w:eastAsia="en-US" w:bidi="ar-SA"/>
        </w:rPr>
        <w:t>Sykes</w:t>
      </w:r>
      <w:r>
        <w:rPr>
          <w:rFonts w:ascii="arial" w:eastAsia="arial" w:hAnsi="arial" w:cs="arial"/>
          <w:color w:val="000000"/>
          <w:sz w:val="20"/>
          <w:lang w:val="en-US" w:eastAsia="en-US" w:bidi="ar-SA"/>
        </w:rPr>
        <w:t>, Wood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In my view, new evidence is not an essential prerequisite to a trial judge's exercise of the discretion to re-open. In some cases, it may be the only circumstance which would justify a re-opening. ... But, a discretion to re-open may also properly be exercised where the trial judge is satisfied, either because of the argument of one of the parties, or on the basis of his own reconsideration of the record, that the original judgment was in error because it overlooked or misconstrued material evidence, or misapplied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other words, the Court of Appeal identifies that even where no fresh evidence exists, the court has discretion to re-open a hearing before entry of the order if satisfied, upon review of the record, that it fell into error. In my view that represents a higher standard to meet (result is changed because of error) that must be shown on a fresh evidence application (would probably have changed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application before me is not only about the introduction of new evidence, but, according to the plaintiff, also the consideration of evidence that was misconstrued at trial, namely the changed affidavit of Ms.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my view, the fresh evidence analysis does not neatly fit the situation before me. I have found there was a genuine misunderstanding by the court and plaintiff's counsel about the affidavits the defendants proffered before the Master and in the appeal. But the Master did not examine, consider or accept into evidence the 1st affidavit and it was never filed; it formed no part of the appeal record. In that way, the defendants' position is because the 1st affidavit was not filed, it is as if it does not exist. They say there is no "fresh"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also submit there was nothing untoward in their bringing a different affidavit to the appeal (and their primary position is that it was clear it was not the same affidavit). They alleged the Master erred in not admitting the 1st affidavit, erred in permitting disclosure under a confidentiality order and erred in the application of principles about Confidential Informant Privilege and Public Interest Immunity. The defendants sought to uphold their claims of privilege on appeal, which meant they were obliged to present evidence about the basis upon which privilege was claimed. It was the failure to consider evidence explaining the basis of the privilege claims which they say led the Master into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light of that, the defendants' position was that I cannot consider the content of the 1st affidavit not only because it is not "evidence" of any kind, but also because it is irrelevant because it was never considered by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find the defendants' position sound; but the existence of fresh evidence is not a necessary condition to re-open a hearing to correct an error. There remains a possibility that the genuine misunderstanding I describe above may have led to my misconstruing the 2nd affidavit in some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Re-opening a hearing is a discretionary exercise designed ultimately to prevent a miscarriage of justice. I lay no blame on any counsel for the misunderstanding, but in this type of case where plaintiff's counsel has not and will not see the sealed affidavits, I think the interest of fairness and justice justify my examining the 1st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understood the defendants to agree to my review of the 1st affidavit solely for the purpose of this application and on a narrow issue to determine if any differences between the two affidavits are significant. They maintain the primary position that it is not evidence and ought not to be admitted or reviewed. They preserve their right to argue I ought not to have looked at the 1st affidavit in any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Central to the test for introducing new evidence and the test for reconsidering original evidence is the requirement that failing to do so would result in an error in judgment, whether it be a definite error (as is necessary in the test for reconsidering original evidence), or a probable error (as is the case in the test for introducing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possibility of error in how the 2nd affidavit was considered in the appeal is more likely in assessing the claim of Public Interest Immunity. I will not repeat here the legal principles that underlie the privileges except to reiterate that Public Interest Immunity is not absolute. It is not a blanket privilege. Instead, unlike Confidential Informant Privilege, Public Interest Immunity requires a document by document review of any information claimed to be protected from disclosure balanced against the public interest in disclosure. Quoting from a source that was referenced in my earlier reasons of </w:t>
      </w:r>
      <w:r>
        <w:rPr>
          <w:rFonts w:ascii="arial" w:eastAsia="arial" w:hAnsi="arial" w:cs="arial"/>
          <w:i/>
          <w:color w:val="000000"/>
          <w:sz w:val="20"/>
          <w:lang w:val="en-US" w:eastAsia="en-US" w:bidi="ar-SA"/>
        </w:rPr>
        <w:t>Iser v. Canada (Attorney General)</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2016 BCSC 985</w:t>
        </w:r>
      </w:hyperlink>
      <w:r>
        <w:rPr>
          <w:rFonts w:ascii="arial" w:eastAsia="arial" w:hAnsi="arial" w:cs="arial"/>
          <w:color w:val="000000"/>
          <w:sz w:val="20"/>
          <w:lang w:val="en-US" w:eastAsia="en-US" w:bidi="ar-SA"/>
        </w:rPr>
        <w:t xml:space="preserve">, in order to invoke Public Interest Immunity the question must be answered as to "whether the public interest in secrecy outweighs the public interest in ensuring that courts have access to all relevant information: see Robert W. Hubbard, Susan Magotiaux &amp; Suzanne M. Duncan, </w:t>
      </w:r>
      <w:r>
        <w:rPr>
          <w:rFonts w:ascii="arial" w:eastAsia="arial" w:hAnsi="arial" w:cs="arial"/>
          <w:i/>
          <w:color w:val="000000"/>
          <w:sz w:val="20"/>
          <w:lang w:val="en-US" w:eastAsia="en-US" w:bidi="ar-SA"/>
        </w:rPr>
        <w:t>The Law of Privilege in Canada</w:t>
      </w:r>
      <w:r>
        <w:rPr>
          <w:rFonts w:ascii="arial" w:eastAsia="arial" w:hAnsi="arial" w:cs="arial"/>
          <w:color w:val="000000"/>
          <w:sz w:val="20"/>
          <w:lang w:val="en-US" w:eastAsia="en-US" w:bidi="ar-SA"/>
        </w:rPr>
        <w:t>, vol. 1 loose-leaf (Toronto: Thomson Reuters Canada Limited, 2013) at 3-4 - 3-4.1. There must be a balancing of those two interests, and supporting affidavit material is important to properly conduct that exercise.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Differences between the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reviewed the 1st affidavit of Ms. England and compared it to the 2nd affidavit entered at the appeal. The differences are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One new paragraph in the 2nd affidavit confirms Ms. England has been designed as a peace officer pursuant to the Commissioner Directive #3 (which is attached) and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I did not understand that fact to have been controversial and plaintiff's counsel addressed the significance of that fact in the appeal hearing. Clearly, that paragraph would not and could not have changed the result or resulted in a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main difference between the two affidavits is that the 2nd affidavit is more detailed and specific with regard to explaining the specific redactions. In the 1st affidavit, Ms. England refers to documents by tab number and groups documents together. For each group she describes what harms she says would flow from the disclosure. Some tabbed numbers appear in more than one group because some documents have more than one basis upon which privilege is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body of the 2nd affidavit, there are paragraphs which describe the status of a person or persons identified (whether directly or not) in the redactions, and what harm Ms. England believes would result in disclosure of that information. There is also a chart that lists every document over which Confidential Informant Privilege or Public Interest Immunity is claimed, accompanied by Ms. England's reasoning of the harm that would result from each document: 111 documents are so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found no inconsistency between the two affidavits with regard to the categories and/or specific harms that Ms. England identified may result from disclosure of any of the redacted information. The wording she used to describe the harms is virtually identical. No new harms are identified in the 2nd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are nine other paragraphs in the 2nd affidavit that do not appear in the 1st affidavit. They similarly give more detail about some of the information contained in the 1st affidavit. Six of those paragraphs contain information that helps understand the nature of some of Ms. England's duties and some of the documents, including references to Commissioner's Directive 596-9, "Management of Human Sources" and Directive 586-2, "Recording and Sharing of Security Information. I understand those directives to be publically available. The paragraphs in Ms. England's 2nd affidavit put portions of those directives into the context of how she performs some of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regard to documents on which only Public Interest Immunity is claimed (that is, to which Confidential Informant Privilege does not attach to any of the redactions on the document), the basis of that privilege claim in both affidavits includes one or more of the following: (i) information in redacted portions that reveal the identity of an individual who provided information, but who is not specifically a confidential informant but, in Ms. England's view, if it was known that person provided information that person's safety would be at risk; (ii) information that would reveal investigative techniques, and; (iii) information that would jeopardize institutional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was suggested that the plaintiff ought to be given more information about the redacted information for the Public Interest Immunity claims, or that those portions of the affidavit could be unsealed but restricted to being viewed only by plaintiff's counsel.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balancing exercise required to assess claims of Public Interest Immunity is very delicate and necessarily specific to each document examined. Given the type of harm identified in the sealed evidence before me, I am satisfied there is a risk of harm in the disclosure of information contained in the affidavits and the redactions, even though the information may seem innocuous. This is not a frailty in the defendants' case, or a deficiency in how they prepared the affidavit. It is inherent in the type of information contained in documents and the unique circumstances of an institution like Matsqui. The apparent anomaly of "innocent" information causing harm is well recognized in the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satisfied that there is nothing in the content of the 1st affidavit that could or did change the reasoning or result of my consideration and application of the legal principles governing privilege to the redactions. I also find no miscarriage of justice occurred because of the misunderstanding about the 1st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Hartman v. Dias, [2006] B.C.J. No. 651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Wong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March 10, 2006.</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March 28, 2006.</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M025510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651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478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149 A.C.W.S. (3d) 806</w:t>
      </w:r>
    </w:p>
    <w:p>
      <w:pPr>
        <w:spacing w:before="120" w:line="260" w:lineRule="atLeast"/>
        <w:rPr>
          <w:lang w:val="en-US" w:eastAsia="en-US" w:bidi="ar-SA"/>
        </w:rPr>
      </w:pPr>
      <w:r>
        <w:rPr>
          <w:rFonts w:ascii="arial" w:eastAsia="arial" w:hAnsi="arial" w:cs="arial"/>
          <w:color w:val="000000"/>
          <w:sz w:val="20"/>
          <w:lang w:val="en-US" w:eastAsia="en-US" w:bidi="ar-SA"/>
        </w:rPr>
        <w:t>Between Danielle Hartman, plaintiff, and Kishani Samantha Dias,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7" style="position:absolute;z-index:25167462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7" w:name="Keywords_15"/>
      <w:bookmarkEnd w:id="117"/>
      <w:r>
        <w:rPr>
          <w:rFonts w:ascii="arial" w:eastAsia="arial" w:hAnsi="arial" w:cs="arial"/>
          <w:b/>
          <w:color w:val="000000"/>
          <w:sz w:val="20"/>
          <w:lang w:val="en-US" w:eastAsia="en-US" w:bidi="ar-SA"/>
        </w:rPr>
        <w:t>Damages — General damages — For personal injuries — Plaintiff injured when car hit her knee awarded total damages of $65,400 to compensate for pain, past and future loss of income, and out-of-pocket expenses.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Physical injuries — Leg injuries — Knee — Plaintiff injured when car hit her knee awarded total damages of $65,400 to compensate for pain, past and future loss of income, and out-of-pocket expenses — Pain persisted five years after accident, did not significantly affect activities of plaintiff.</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Driver of car completely liable where car struck plaintiff when backing into parking stall — Driver failed to ensure plaintiff was safely away from car before backing up.</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8" w:name="Case Summary_14"/>
            <w:bookmarkEnd w:id="11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Hartman to recover damages for injuries sustained when Dias' car hit her knee -- Hartman was passenger in Dias' car -- Hartman existed car, was struck when Dias backed up car into parking stall -- Car's bumper struck Hartman's left knee -- Hartman fell, had acute pain, was unable to bear weight on left leg -- Hartman taken to clinic, evaluated and sent to hospital -- No fractures identified -- Hartman given crutches and told to ice knee -- Hartman used crutches for two weeks -- Returned to hospital, was diagnosed with bruise and strained tendons -- Prior to accident, Hartman had no knee problems -- Since accident, Hartman had ongoing knee pain, exacerbated with prolonged sitting or kneeling -- Hartman did not modify any activities because of knee pain -- Orthopedic specialists who examined Hartman concluded she suffered soft-tissue injury to knee resulting in chronic bursitis and some incomplete nerve injury that was improving -- Specialist's report stated injuries normally would have resolved within 12 to 18 months of accident, but persisted for five years -- Specialist stated non-operative measures should make symptoms tolerable and manageable -- Hartman would have worked as bartender rather than server but for injuries, would have made significantly more tips -- HELD: Dias completely liable for accident, as Dias failed to satisfy herself Hartman was safely away from car before backing up -- Non-pecuniary loss assessed at $30,000 -- Past wage loss assessed at $20,000 -- Slightly diminished future income capacity warranted damage award of $15,000 -- No compensation awarded for loss of housekeeping capacity, as housekeeper not necessary -- Hartman awarded $400 for out-of-pocket expenses for pain medication, knee braces and other necessary medical items. </w:t>
            </w:r>
            <w:r>
              <w:rPr>
                <w:lang w:val="en-US" w:eastAsia="en-US" w:bidi="ar-SA"/>
              </w:rPr>
              <w:cr/>
            </w:r>
          </w:p>
          <w:p>
            <w:pPr>
              <w:rPr>
                <w:lang w:val="en-US" w:eastAsia="en-US" w:bidi="ar-SA"/>
              </w:rPr>
            </w:pPr>
          </w:p>
        </w:tc>
      </w:tr>
    </w:tbl>
    <w:p>
      <w:pPr>
        <w:jc w:val="both"/>
        <w:rPr>
          <w:lang w:val="en-US" w:eastAsia="en-US" w:bidi="ar-SA"/>
        </w:rPr>
      </w:pPr>
      <w:bookmarkStart w:id="119" w:name="Counsel_15"/>
      <w:bookmarkEnd w:id="11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8" style="position:absolute;z-index:2517258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J.M. Cameron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K.D. Duncan</w:t>
      </w:r>
      <w:r>
        <w:rPr>
          <w:lang w:val="en-US" w:eastAsia="en-US" w:bidi="ar-SA"/>
        </w:rPr>
        <w:cr/>
      </w:r>
    </w:p>
    <w:p>
      <w:pPr>
        <w:spacing w:after="240"/>
        <w:rPr>
          <w:lang w:val="en-US" w:eastAsia="en-US" w:bidi="ar-SA"/>
        </w:rPr>
      </w:pPr>
      <w:bookmarkStart w:id="120" w:name="Judgment_15"/>
      <w:bookmarkEnd w:id="120"/>
      <w:r>
        <w:pict>
          <v:line id="_x0000_s1109" style="position:absolute;z-index:25177702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1" w:name="WONG J. (orally)"/>
            <w:bookmarkEnd w:id="121"/>
            <w:r>
              <w:rPr>
                <w:rFonts w:ascii="arial" w:eastAsia="arial" w:hAnsi="arial" w:cs="arial"/>
                <w:b/>
                <w:color w:val="000000"/>
                <w:sz w:val="30"/>
                <w:lang w:val="en-US" w:eastAsia="en-US" w:bidi="ar-SA"/>
              </w:rPr>
              <w:t>WONG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personal injuries arising from the impact of the defendant's right front bumper to the plaintiff pedestrian's left inner knee. At issue is the extent of the defendant's liability for the accident and an assessment of the plaintiff's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the 11, 2001 the plaintiff, Danielle Hartman was then twenty years of age and the passenger in the vehicle being driven by her friend, the defendant, Kishani Dias. Ms. Hartman exited the vehicle just before her friend was attempting to back the car up into an angle parking stall. Ms. Hartman then walked towards the front of the vehicle and while Ms. Dias manoeuvred the car in reverse, she struck Ms. Hartman along her left knee. Ms. Hartman fell to the ground, had acute pain along the anteromedial aspect of her knee and was unable to weight-bear on her left leg. She was taken to a walk-in clinic where she was evaluated and then sent to hospital. She was assessed at Mount St. Joseph's Hospital where x-rays were obtained. No fractures were identified. She was given crutches, ice, and other conservative treatment measures and was discharged. She was unable to weight-bear without crutches for approximately two weeks. She then returned to the clinic for reassessment and was diagnosed as having a bruise and strained tendons.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Prior to this injury, Ms. Hartman had no problems in her knees or any musculoskeletal discomfort. Ever since the accident, she has been bothered by ongoing pain in the anteromedial aspect of the left knee. Apparently the pain is a sharp discomfort which is exacerbated with local pressure or prolonged kneeling or sitting. Associated with the discomfort has been apparent swelling in the anteromedial aspect of the leg, which was improved somewhat with a cortisone injection. The cortisone injection only improved the discomfort. It did not improve the pain. The pain tends to be sharp in nature. It also has an associated area of numbness or feeling like it is frozen. Ms. Hartman did not modify any of her activities specifically because of her discomfort. The doctors say her knee does not lock and it does not give away. She has no sensation of a loose body in her knee. She has no other specific joint complaints. She has tried a regiment of anti-inflammatory medication for the discomfort without improvement. Ms. Hartman subsequently went on to have an MRI, which documented no significant injury to soft-tissue structures above the knee or the meniscus. There was some suggestion of possible attenuation of AC-L fibres, but this did not correlate with her clinical 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All of the orthopaedic specialists who examined Ms. Hartman have come to the same general conclusion. The plaintiff suffered soft-tissue injury to her left inner knee area which resulted in chronic pes bursitis and some incomplete nerve injury that appears to be improving. Dr. Simon Horlick probably expressed it best in his report of February the 25, 2005. At p. 3 he states under "Physical Examination":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She stood erect with normal valgus alignment of her lower extremity. She can walk on her toes and heels without discomfort. She had a normal lumbar sacral increment and her Trendelenburg's test was negative. True and apparent leg lengths equal. She had full and symmetric range of motion in the left knee compared to the right. She had slight fullness in the region of the pes anserinus compared to the left. She had localised tenderness in the region of the pes anserinus as well as in the infrapatellar branch of the saphenous nerve. She did not have an overt Tinel's sign, but she did have hyperesthesia in the infrapatellar branch of distribution on the left side compared to the right. Assessment of her cruciate and collateral ligaments was normal. McMurray's test did not cause her discomfort along either joint line. Tests for posterolateral corner insufficiency and patella instability were all negative. Assessment of her ellipsolateral joint and her neurologic and vascular exam were otherwise normal.</w:t>
      </w:r>
    </w:p>
    <w:p>
      <w:pPr>
        <w:spacing w:before="120" w:line="260" w:lineRule="atLeast"/>
        <w:ind w:left="720"/>
        <w:rPr>
          <w:lang w:val="en-US" w:eastAsia="en-US" w:bidi="ar-SA"/>
        </w:rPr>
      </w:pPr>
      <w:r>
        <w:rPr>
          <w:rFonts w:ascii="arial" w:eastAsia="arial" w:hAnsi="arial" w:cs="arial"/>
          <w:color w:val="000000"/>
          <w:sz w:val="20"/>
          <w:lang w:val="en-US" w:eastAsia="en-US" w:bidi="ar-SA"/>
        </w:rPr>
        <w:t>Investigations: Review of x-rays taken in my office today, including weight-bearing films of the left knee and proxima tibia showed no obvious osseous abnormalities.</w:t>
      </w:r>
    </w:p>
    <w:p>
      <w:pPr>
        <w:spacing w:before="120" w:line="260" w:lineRule="atLeast"/>
        <w:ind w:left="720"/>
        <w:rPr>
          <w:lang w:val="en-US" w:eastAsia="en-US" w:bidi="ar-SA"/>
        </w:rPr>
      </w:pPr>
      <w:r>
        <w:rPr>
          <w:rFonts w:ascii="arial" w:eastAsia="arial" w:hAnsi="arial" w:cs="arial"/>
          <w:color w:val="000000"/>
          <w:sz w:val="20"/>
          <w:lang w:val="en-US" w:eastAsia="en-US" w:bidi="ar-SA"/>
        </w:rPr>
        <w:t>Assessment: This individual has sustained a crush injury to the anteromedial aspect of her left upper leg in the region of her knee joint. There is no obvious damage to structures within the knee. The damage is confined to extraparticular structures and includes the tendons that form the pes anserinus, specifically sartorius, semitendinosus and gracilis tendons. She is locally tender over this region and has associated swelling in the region of the bursa in this area. Unfortunately, she did not respond well to a cortisone injection other than noticing some improvement in swelling. She also has evidence in the clinical exam of a neuropraxia to the infrapatellar branch of the saphenous nerve, an incomplete nerve injury that appears to be improving. This is a sensory nerve only and has no motor fibres.</w:t>
      </w:r>
    </w:p>
    <w:p>
      <w:pPr>
        <w:spacing w:before="120" w:line="260" w:lineRule="atLeast"/>
        <w:ind w:left="720"/>
        <w:rPr>
          <w:lang w:val="en-US" w:eastAsia="en-US" w:bidi="ar-SA"/>
        </w:rPr>
      </w:pPr>
      <w:r>
        <w:rPr>
          <w:rFonts w:ascii="arial" w:eastAsia="arial" w:hAnsi="arial" w:cs="arial"/>
          <w:color w:val="000000"/>
          <w:sz w:val="20"/>
          <w:lang w:val="en-US" w:eastAsia="en-US" w:bidi="ar-SA"/>
        </w:rPr>
        <w:t>The bumper crushing her leg caused these injuries. It appears to be slowly improving. It has not resulted in having to modify her activities significantly and she continues to work as a server where she stands or walks for prolonged periods on a daily basis. The long-term sequela of either of these injuries is minimal. There is no overt risk to progressive arthritic change within the knee or loss of function of the knee or surrounding muscular structures, however, it would be a benefit for her outcome and her ongoing functional capacity that she seeks physiotherapy and help in strengthening the tendons of the pes anserinus to control some of her local symptoms. Specific strengthening exercises directed towards the pes anserinus can help to reduce her ongoing symptoms of pain in this region. There is little that can be done regarding the injury to the infrapatellar branch of the saphenous nerve.</w:t>
      </w:r>
    </w:p>
    <w:p>
      <w:pPr>
        <w:spacing w:before="120" w:line="260" w:lineRule="atLeast"/>
        <w:ind w:left="720"/>
        <w:rPr>
          <w:lang w:val="en-US" w:eastAsia="en-US" w:bidi="ar-SA"/>
        </w:rPr>
      </w:pPr>
      <w:r>
        <w:rPr>
          <w:rFonts w:ascii="arial" w:eastAsia="arial" w:hAnsi="arial" w:cs="arial"/>
          <w:color w:val="000000"/>
          <w:sz w:val="20"/>
          <w:lang w:val="en-US" w:eastAsia="en-US" w:bidi="ar-SA"/>
        </w:rPr>
        <w:t>In some patients who develop a significant neuralgic pain as a result of neuroma due to neuropraxia, surgical ablation of the neuroma is sometimes required. This is unlikely to be the case in Danielle's situation as she does not have an overt Tinel's sign or evidence of a focal neuroma. In a worst-case scenario with Danielle's current injuries, she will experience intermittent discomfort in the anteromedial aspect of the leg on a daily basis, but the nature and extent of the pain would be such that it would unlikely require medical management and certainly no surgical treatment would be indicated. It is likely that through non-operative measures, as previously listed, her symptoms will be tolerable and manageable. Hence, what would normally be a time-limiting event of 12 to 18 month post-accident inflammation, the symptoms have continued for five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defence submitted that there should be apportionment of liability as the plaintiff was contributorily negligent in failing to keep a proper lookout to avoid being struck. I disagree. After she alighted from the vehicle, the defendant failed to see where the plaintiff was situated before she commenced her reverse parking manoeuvre. Had she satisfied herself that the plaintiff was safely away from her car before she put the car in motion, the accident would not have occurred. Once the car was in motion, there was no opportunity or ability for the plaintiff to take evasive action. Culpability rests wholly on the defendant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Taking the functional loss approach with respect to this item of claim, Ms. Hartman basically resumed her normal activities after a few weeks, but she was plagued with chronic, annoying discomfort of variable pain after prolonged standing and movement at work, sensitivity to touch at the injured area, self-consciousness of prolonged, unsightly bruising, and anxiety of her condition not seemingly being successfully resolved. Of late, however, she seems to be better and the prognosis is favourable.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defence submits that the plaintiff failed to mitigate her damages since June, 2002 when her treating specialist, Dr. K.F. Hughes prescribed a session of physiotherapy to strengthen her strained tendons. Ms. Hartman chose not to undertake physiotherapy at that time because her knee was very sensitive to touch and the doctor's other prescriptions of pain medication and cortisone injections were not effective. Understandably, she did not wish to aggravate these tendons, but chose to moderate those activities which would likely cause her pain. On that basis, I do not think it was unreasonable for the plaintiff to not adhere to Dr. Hughes' suggestion at that time. However, she may wish to consider whether physiotherapy, as more recently recommended by Dr. Horlick, should now be undertaken. For her pain and suffering and limited loss of amenities thus far and projected into the future, I would assess and fix non-pecuniary loss at $30,000.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Past Wage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is based on the difference in gratuities which Ms. Hartman would have received as a bartender rather than as a server for two-and-a-half years that she worked at the Ash Cactus Restaurant. I would assess that difference at $20,000.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lingering effects of the plaintiff's mild impairment may foreclose certain future employment opportunities to her. Ms. Hartman, at age 25, is still a very young person and if her mild but persisting disability continues, which is an imponderable as the medical prognosis for continued improvement is also hopeful, then there is some potential impairment of her general earning capacity as a capital asset. After a balance of competing positive against the negative contingencies, I would fix that slight diminished loss at $15,000.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Loss of Home-keeping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a claim for payments paid to a housecleaning service currently utilized by Ms. Hartman and her partner, Andrew Latchford. I am not satisfied that this service is a necessity stemming from the plaintiff's injury rather than a luxury which she currently enjoys. In addition, Mr. Latchford, before cohabiting with her, was in the habit of employing this type of benefit and merely continues to do so. I would deny compensation for this item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no receipts were tendered to substantiate expenses for pain medication, knee braces, et cetera, I am satisfied that Ms. Hartman was out of pocket for those needs over the last five years. Accordingly, I would fix this expense at $400.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Liability is found wholly against the defendant for this unfortunate motor vehicle accident. Damages are assessed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71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99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Non-pecuniary damages</w:t>
            </w:r>
          </w:p>
        </w:tc>
        <w:tc>
          <w:tcPr>
            <w:tcW w:w="266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$30,000.00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3137"/>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58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wage Loss:</w:t>
            </w:r>
          </w:p>
        </w:tc>
        <w:tc>
          <w:tcPr>
            <w:tcW w:w="307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1359"/>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32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Loss of General Future Earning Capacity:</w:t>
            </w:r>
          </w:p>
        </w:tc>
        <w:tc>
          <w:tcPr>
            <w:tcW w:w="133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$15,000.00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3450"/>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78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w:t>
            </w:r>
          </w:p>
        </w:tc>
        <w:tc>
          <w:tcPr>
            <w:tcW w:w="3379"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u w:val="single"/>
                <w:lang w:val="en-US" w:eastAsia="en-US" w:bidi="ar-SA"/>
              </w:rPr>
              <w:t>$400.00</w:t>
            </w:r>
          </w:p>
        </w:tc>
        <w:tc>
          <w:tcPr>
            <w:tcW w:w="245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3660"/>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07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$65,400.00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Court-ordered interest on items other than non-pecuniary damages is allowed. I will hear from counsel on the matter of costs.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[SUBMISSIONS 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will be double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WONG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Henry v. British Columbia (Attorney General), [2015] B.C.J. No. 2189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S114405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2189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1848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259 A.C.W.S. (3d) 490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82 B.C.L.R. (5th) 131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2913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Ivan William Mervin Henry, Plaintiff, and Her Majesty the Queen in Right of the Province of British Columbia as represented by the Attorney General of British Columbia, City of Vancouver, William Harkema, Marilyn Sims and the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2" w:name="Keywords_16"/>
      <w:bookmarkEnd w:id="122"/>
      <w:r>
        <w:rPr>
          <w:rFonts w:ascii="arial" w:eastAsia="arial" w:hAnsi="arial" w:cs="arial"/>
          <w:b/>
          <w:color w:val="000000"/>
          <w:sz w:val="20"/>
          <w:lang w:val="en-US" w:eastAsia="en-US" w:bidi="ar-SA"/>
        </w:rPr>
        <w:t>Civil litigation — Civil evidence — Admissibility — Exclusionary rules — Opinion evidence — Expert evidence — Criteria for admissibility — Inadmissible opinions — Regarding findings of law — Ultimate issue rule — Application by plaintiff to admit expert evidence from two lawyers dismissed — Plaintiff was convicted of and imprisoned for sexual offences, but convictions were later quashed and acquittals entered — Plaintiff sued Attorney General on basis Crown's failed to meet disclosure obligations — Lawyers offered views about what reasonable prosecuting Crown should have done in 1983 with respect to disclosure, as well as opinions on materiality of specific statements and forensic evidence — Materiality of evidence was matter of law, and duty of prosecutor was very question it was court's function to decide — Opinions unnecessary and offended exclusionary rule.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Breach of statutory duty — Abuse of legal procedure — Practice and procedure — Evidence — Application by plaintiff to admit expert evidence from two lawyers dismissed — Plaintiff was convicted of and imprisoned for sexual offences, but convictions were later quashed and acquittals entered — Plaintiff sued Attorney General on basis Crown's failed to meet disclosure obligations — Lawyers offered views about what reasonable prosecuting Crown should have done in 1983 with respect to disclosure, as well as opinions on materiality of specific statements and forensic evidence — Materiality of evidence was matter of law, and duty of prosecutor was very question it was court's function to decide — Opinions unnecessary and offended exclusionary rule.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3" w:name="Case Summary_15"/>
            <w:bookmarkEnd w:id="1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admit expert evidence from two lawyers. In 1983, the plaintiff was convicted of 10 sexual offences, declared a dangerous offender and sentenced to an indeterminate period of imprisonment. The plaintiff served 27 years until the Court of Appeal quashed all his convictions and entered acquittals. The plaintiff commenced an action against the Attorney General and others for damages on the basis of the Crown's failure to meet disclosure obligations before, during and after trial. The lawyers were undoubtedly qualified as senior counsel with considerable experience as prosecutors. Each offered views about what a reasonable prosecuting Crown should have done in 1983 with respect to disclosure, as well as opinions on the materiality of specific statements and forensic evidence. The defence objected to the admission of the evidence on the basis it was of minimal relevance, unnecessary and offended the exclusionary rule respecting the receipt of evidence from a lawyer on matters of law.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4" w:name="Holdings of Court_10"/>
            <w:bookmarkEnd w:id="12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materiality of evidence not disclosed was a matter of law, and the duty of a prosecutor was the very question it was the court's function to decide. The opinions were unnecessary and offended the exclusionary rule.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5" w:name="Legislation Cited_12"/>
      <w:bookmarkEnd w:id="1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2"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6" w:name="Counsel_16"/>
      <w:bookmarkEnd w:id="1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J.N. Laxton, Q.C., M.E. Sandford, A. Tolliday, M. Longay, and P.J. Poyner.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HMTQ in Right of the Province of British Columbia: J.J.L. Hunter, Q.C., E.W. Hughes and K.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City of Vancouver, William Harkema and Marilyn Sims: B. Quayle and K.F.W. Liang.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Attorney General of Canada: M.R. Taylor, Q.C., K.L. Cochrane and S.G. Pereira.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16"/>
      <w:bookmarkEnd w:id="127"/>
      <w:r>
        <w:pict>
          <v:line id="_x0000_s1114"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C.E. HINKSON C.J.S.C. (orally)"/>
            <w:bookmarkEnd w:id="128"/>
            <w:r>
              <w:rPr>
                <w:rFonts w:ascii="arial" w:eastAsia="arial" w:hAnsi="arial" w:cs="arial"/>
                <w:b/>
                <w:color w:val="000000"/>
                <w:sz w:val="30"/>
                <w:lang w:val="en-US" w:eastAsia="en-US" w:bidi="ar-SA"/>
              </w:rPr>
              <w:t>C.E. HINKSON C.J.S.C.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March 1983 the plaintiff, Mr. Henry, was convicted of 10 sexual offences involving 8 different complainants. He was declared a dangerous offender and sentenced to an indefinite period of incarceration. He remained in prison for almost 27 years. In October of 2010, the British Columbia Court of Appeal quashed all 10 convictions and substituted acquittals for each: </w:t>
      </w:r>
      <w:r>
        <w:rPr>
          <w:rFonts w:ascii="arial" w:eastAsia="arial" w:hAnsi="arial" w:cs="arial"/>
          <w:i/>
          <w:color w:val="000000"/>
          <w:sz w:val="20"/>
          <w:lang w:val="en-US" w:eastAsia="en-US" w:bidi="ar-SA"/>
        </w:rPr>
        <w:t>R. v. Henry</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2010 BCCA 462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Henry No. 1</w:t>
      </w:r>
      <w:r>
        <w:rPr>
          <w:rFonts w:ascii="arial" w:eastAsia="arial" w:hAnsi="arial" w:cs="arial"/>
          <w:color w:val="000000"/>
          <w:sz w:val="20"/>
          <w:lang w:val="en-US" w:eastAsia="en-US" w:bidi="ar-SA"/>
        </w:rPr>
        <w:t>] at para. 154.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Henry in these proceedings against the Attorney General of British Columbia and others seeks damages for his convictions and imprisonment. Mr. Henry alleges that the Attorney General should be held liable for the Crown's failure before, during and after his criminal trial to meet its disclosure obligations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Henry seeks to introduce into evidence, at the trial of these proceedings, the written opinions of two lawyers, Mr. Marvin Storrow, Q.C. and Mr. Dennis Murray, Q.C., and to call each of them to give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with respect to their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Attorney General objects to the admissibility of these opinions on the bases that they are of minimal relevance, are unnecessary to assist me in determining the issues before me, and offend the exclusionary rule respecting the receipt of evidence from a lawyer on matters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role of expert evidence was articulated by Mr. Justice Dickson, as he then was, for a unanimous Court in </w:t>
      </w:r>
      <w:r>
        <w:rPr>
          <w:rFonts w:ascii="arial" w:eastAsia="arial" w:hAnsi="arial" w:cs="arial"/>
          <w:i/>
          <w:color w:val="000000"/>
          <w:sz w:val="20"/>
          <w:lang w:val="en-US" w:eastAsia="en-US" w:bidi="ar-SA"/>
        </w:rPr>
        <w:t>R. v. Abbey</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[1982] 2 S.C.R. 24</w:t>
        </w:r>
      </w:hyperlink>
      <w:r>
        <w:rPr>
          <w:rFonts w:ascii="arial" w:eastAsia="arial" w:hAnsi="arial" w:cs="arial"/>
          <w:color w:val="000000"/>
          <w:sz w:val="20"/>
          <w:lang w:val="en-US" w:eastAsia="en-US" w:bidi="ar-SA"/>
        </w:rPr>
        <w:t xml:space="preserve"> at page 42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matters calling for special knowledge, an expert in the field may draw inferences and state his opinion. An expert's function is precisely this: to provide the judge and jury with a ready-made inference which the judge and jury, due to the technical nature of the facts, are unable to formulate. An expert's opinion is admissible to furnish the Court with scientific information which is likely to be outside the experience and knowledge of a judge or jury. If on the proven facts a judge or jury can form their own conclusions without help, then the opinion of the expert is unnecessary. Reference to </w:t>
      </w:r>
      <w:r>
        <w:rPr>
          <w:rFonts w:ascii="arial" w:eastAsia="arial" w:hAnsi="arial" w:cs="arial"/>
          <w:i/>
          <w:color w:val="000000"/>
          <w:sz w:val="20"/>
          <w:lang w:val="en-US" w:eastAsia="en-US" w:bidi="ar-SA"/>
        </w:rPr>
        <w:t>Turner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Later,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at paragraph 17, Mr. Justice Sopinka, for a unanimous Court, set out the four criteria to be met for the admissibility of expert evidence:</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necessity in assisting the trier of fact;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any exclusionary rule;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properly qualified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no issue with respect to the qualifications of either Mr. Storrow or Mr. Murray. Both are senior and respected counsel in this and other courts. Both have considerable experience as prosecutors, and Mr. Murray served as Assistant Deputy Attorney General for the Province of British Columbia. In that capacity Mr. Murray was responsible for the administration of all Provincial Crown operations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At paras. 17 - 25 of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Mr. Justice Sopinka discussed the criteria of necessity, and after referring to the passage I have set out above from </w:t>
      </w:r>
      <w:r>
        <w:rPr>
          <w:rFonts w:ascii="arial" w:eastAsia="arial" w:hAnsi="arial" w:cs="arial"/>
          <w:i/>
          <w:color w:val="000000"/>
          <w:sz w:val="20"/>
          <w:lang w:val="en-US" w:eastAsia="en-US" w:bidi="ar-SA"/>
        </w:rPr>
        <w:t>R. v. Abbey</w:t>
      </w:r>
      <w:r>
        <w:rPr>
          <w:rFonts w:ascii="arial" w:eastAsia="arial" w:hAnsi="arial" w:cs="arial"/>
          <w:color w:val="000000"/>
          <w:sz w:val="20"/>
          <w:lang w:val="en-US" w:eastAsia="en-US" w:bidi="ar-SA"/>
        </w:rPr>
        <w:t>, commented at para. 22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pre-condition is often expressed in terms as to whether the evidence would be helpful to the trier of fact. The word "helpful" is not quite appropriate as it sets too low a standard. However, I would not judge necessity by too strict a standard. What is required is that the opinion be necessary in the sense that it provides information "which is likely to be outside the experience and knowledge of the judge or jury": as quoted by Justice Dickson in </w:t>
      </w:r>
      <w:r>
        <w:rPr>
          <w:rFonts w:ascii="arial" w:eastAsia="arial" w:hAnsi="arial" w:cs="arial"/>
          <w:i/>
          <w:color w:val="000000"/>
          <w:sz w:val="20"/>
          <w:lang w:val="en-US" w:eastAsia="en-US" w:bidi="ar-SA"/>
        </w:rPr>
        <w:t>Abbey</w:t>
      </w:r>
      <w:r>
        <w:rPr>
          <w:rFonts w:ascii="arial" w:eastAsia="arial" w:hAnsi="arial" w:cs="arial"/>
          <w:color w:val="000000"/>
          <w:sz w:val="20"/>
          <w:lang w:val="en-US" w:eastAsia="en-US" w:bidi="ar-SA"/>
        </w:rPr>
        <w:t xml:space="preserve">. As stated by Justice Dickson, the evidence must be necessary to enable the trier of fact to appreciate the matters in issue due to their technical nature. In </w:t>
      </w:r>
      <w:r>
        <w:rPr>
          <w:rFonts w:ascii="arial" w:eastAsia="arial" w:hAnsi="arial" w:cs="arial"/>
          <w:i/>
          <w:color w:val="000000"/>
          <w:sz w:val="20"/>
          <w:lang w:val="en-US" w:eastAsia="en-US" w:bidi="ar-SA"/>
        </w:rPr>
        <w:t>Kelliher v. Smith</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[1931] S.C.R. 672</w:t>
        </w:r>
      </w:hyperlink>
      <w:r>
        <w:rPr>
          <w:rFonts w:ascii="arial" w:eastAsia="arial" w:hAnsi="arial" w:cs="arial"/>
          <w:color w:val="000000"/>
          <w:sz w:val="20"/>
          <w:lang w:val="en-US" w:eastAsia="en-US" w:bidi="ar-SA"/>
        </w:rPr>
        <w:t xml:space="preserve">, at p.684, this Court, quoting from </w:t>
      </w:r>
      <w:r>
        <w:rPr>
          <w:rFonts w:ascii="arial" w:eastAsia="arial" w:hAnsi="arial" w:cs="arial"/>
          <w:i/>
          <w:color w:val="000000"/>
          <w:sz w:val="20"/>
          <w:lang w:val="en-US" w:eastAsia="en-US" w:bidi="ar-SA"/>
        </w:rPr>
        <w:t xml:space="preserve">Beven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page 141 stated in order for expert evidence to be admissible, "the subject matter of the inquiry must be such that ordinary people are unlikely to form a correct judgment about it if unassisted by persons with special knowledge." More recently, in </w:t>
      </w:r>
      <w:r>
        <w:rPr>
          <w:rFonts w:ascii="arial" w:eastAsia="arial" w:hAnsi="arial" w:cs="arial"/>
          <w:i/>
          <w:color w:val="000000"/>
          <w:sz w:val="20"/>
          <w:lang w:val="en-US" w:eastAsia="en-US" w:bidi="ar-SA"/>
        </w:rPr>
        <w:t>R. v. Lavallee</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[1990] 1 S.C.R. 852</w:t>
        </w:r>
      </w:hyperlink>
      <w:r>
        <w:rPr>
          <w:rFonts w:ascii="arial" w:eastAsia="arial" w:hAnsi="arial" w:cs="arial"/>
          <w:color w:val="000000"/>
          <w:sz w:val="20"/>
          <w:lang w:val="en-US" w:eastAsia="en-US" w:bidi="ar-SA"/>
        </w:rPr>
        <w:t xml:space="preserve"> the above passages from </w:t>
      </w:r>
      <w:r>
        <w:rPr>
          <w:rFonts w:ascii="arial" w:eastAsia="arial" w:hAnsi="arial" w:cs="arial"/>
          <w:i/>
          <w:color w:val="000000"/>
          <w:sz w:val="20"/>
          <w:lang w:val="en-US" w:eastAsia="en-US" w:bidi="ar-SA"/>
        </w:rPr>
        <w:t>Kelliher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Abbey</w:t>
      </w:r>
      <w:r>
        <w:rPr>
          <w:rFonts w:ascii="arial" w:eastAsia="arial" w:hAnsi="arial" w:cs="arial"/>
          <w:color w:val="000000"/>
          <w:sz w:val="20"/>
          <w:lang w:val="en-US" w:eastAsia="en-US" w:bidi="ar-SA"/>
        </w:rPr>
        <w:t xml:space="preserve"> were applied to admit expert evidence as to the state of mind of a "battered" woman. The judgment stressed that this was an area that is not understood by the average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have reviewed the reports of both Mr. Storrow and Mr. Murray. Each responded to questions posed to them by counsel for Mr. Henry. Each has offered their views of what a reasonable prosecuting Crown counsel should have done in 1983 with respect to the disclosure of evidence available to them or in the control of their office, as well as their opinions with respect to the materiality of specific statements and forensic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an appeal with respect to pleadings in this case indexed as </w:t>
      </w:r>
      <w:r>
        <w:rPr>
          <w:rFonts w:ascii="arial" w:eastAsia="arial" w:hAnsi="arial" w:cs="arial"/>
          <w:i/>
          <w:color w:val="000000"/>
          <w:sz w:val="20"/>
          <w:lang w:val="en-US" w:eastAsia="en-US" w:bidi="ar-SA"/>
        </w:rPr>
        <w:t>Henry v. British Columbia,</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2015 SCC 24</w:t>
        </w:r>
      </w:hyperlink>
      <w:r>
        <w:rPr>
          <w:rFonts w:ascii="arial" w:eastAsia="arial" w:hAnsi="arial" w:cs="arial"/>
          <w:color w:val="000000"/>
          <w:sz w:val="20"/>
          <w:lang w:val="en-US" w:eastAsia="en-US" w:bidi="ar-SA"/>
        </w:rPr>
        <w:t>, at paras. 82 and 85, the Supreme Court of Canada clarified what a claimant must show to meet the liability threshold in cases where wrongful nondisclosure is alleged against the Crown: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As discussed, a cause of action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will lie where the Crown, in breach of its constitutional obligations, causes harm to the accused by intentionally withholding information when it knows or would reasonably be expected to know that the information is material to the defence and that the failure to disclose would likely impinge on the accused's ability to make full answer and defence. I now turn to how this standard will operate in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paragraph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Whether considered at the pleadings stage or at trial, the same formulation of the test applies. At trial, a claimant will have to convince the fact finder on a balance of probabilities that (1) the prosecutor intentionally withheld information; (2) the prosecutor knew or ought reasonably to have known that the information was material to the defence and that the failure to disclose would likely impinge on his or her ability to make full answer and defence;(3) withholding the information violated his or her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(4) he or she suffered harm as a result. To withstand a motion to strike, a claimant would only need to plead facts which, taken as true, would be sufficient to support a finding on each of these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R.L. Contracting v. A and B</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[1980] B.C.J. No. 196</w:t>
        </w:r>
      </w:hyperlink>
      <w:r>
        <w:rPr>
          <w:rFonts w:ascii="arial" w:eastAsia="arial" w:hAnsi="arial" w:cs="arial"/>
          <w:color w:val="000000"/>
          <w:sz w:val="20"/>
          <w:lang w:val="en-US" w:eastAsia="en-US" w:bidi="ar-SA"/>
        </w:rPr>
        <w:t xml:space="preserve">, Chief Justice McEachern dealt with a claim for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he described at para.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Plaintiff sues its former solicitor for advising it to terminate a construction subcontract when, the Plaintiff says, there were no grounds for termination, or alternatively, for failing to advise the Plaintiff fully on alternative remedies or on the consequences of a course of action taken by the Plaintiff further to its lawyer's advice. The Plaintiff says such failures amount to a breach or breaches of the contract arising out of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paras. 64 and 65, Chief Justice McEachern determined: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The Plaintiff and the Defendants each called expert witnesses to assist me in determining what a lawyer in the position of A should do in the circumstances disclosed to them on July 21st, 1976. I admitted this evidence with some hesitation because each witness admitted that he could not say with confidence how a reasonable solicitor would prepare himself to advise on such a question. The experts mentioned that lawyers, unlike surgeons and some other disciplines, do not actually observe the interaction between a contractor and his lawyer. They added, however, that they are able, from acting against other lawyers in these matters, to determine generally what advice is given from the positions which are subsequently 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Another infirmity which weakens the value of this kind of evidence is the fact that no two construction cases are ever the same, and in every construction contract dispute there are facts and circumstances, or combinations of facts and circumstances, which are not present in other cases. Because of this, I have reached the conclusion that the standard of care the law requires of a solicitor in a complicated case is really a matter to be determined by the Court in each particular case. I say this because advising upon a difficult construction contract in a variable factual context is quite different from advising on a routine matter such as </w:t>
      </w:r>
      <w:r>
        <w:rPr>
          <w:rFonts w:ascii="arial" w:eastAsia="arial" w:hAnsi="arial" w:cs="arial"/>
          <w:i/>
          <w:color w:val="000000"/>
          <w:sz w:val="20"/>
          <w:lang w:val="en-US" w:eastAsia="en-US" w:bidi="ar-SA"/>
        </w:rPr>
        <w:t xml:space="preserve">Hauck v. Dixon </w:t>
      </w:r>
      <w:hyperlink r:id="rId378" w:history="1">
        <w:r>
          <w:rPr>
            <w:rFonts w:ascii="arial" w:eastAsia="arial" w:hAnsi="arial" w:cs="arial"/>
            <w:i/>
            <w:color w:val="0077CC"/>
            <w:sz w:val="20"/>
            <w:u w:val="single"/>
            <w:shd w:val="clear" w:color="auto" w:fill="FFFFFF"/>
            <w:lang w:val="en-US" w:eastAsia="en-US" w:bidi="ar-SA"/>
          </w:rPr>
          <w:t>[1975] O.J. No. 2520</w:t>
        </w:r>
      </w:hyperlink>
      <w:r>
        <w:rPr>
          <w:rFonts w:ascii="arial" w:eastAsia="arial" w:hAnsi="arial" w:cs="arial"/>
          <w:i/>
          <w:color w:val="000000"/>
          <w:sz w:val="20"/>
          <w:lang w:val="en-US" w:eastAsia="en-US" w:bidi="ar-SA"/>
        </w:rPr>
        <w:t xml:space="preserve">; Enns v. Panjau </w:t>
      </w:r>
      <w:hyperlink r:id="rId379" w:history="1">
        <w:r>
          <w:rPr>
            <w:rFonts w:ascii="arial" w:eastAsia="arial" w:hAnsi="arial" w:cs="arial"/>
            <w:i/>
            <w:color w:val="0077CC"/>
            <w:sz w:val="20"/>
            <w:u w:val="single"/>
            <w:shd w:val="clear" w:color="auto" w:fill="FFFFFF"/>
            <w:lang w:val="en-US" w:eastAsia="en-US" w:bidi="ar-SA"/>
          </w:rPr>
          <w:t>[1978] B.C.J. No. 1178</w:t>
        </w:r>
      </w:hyperlink>
      <w:r>
        <w:rPr>
          <w:rFonts w:ascii="arial" w:eastAsia="arial" w:hAnsi="arial" w:cs="arial"/>
          <w:i/>
          <w:color w:val="000000"/>
          <w:sz w:val="20"/>
          <w:lang w:val="en-US" w:eastAsia="en-US" w:bidi="ar-SA"/>
        </w:rPr>
        <w:t xml:space="preserve">; Winrob </w:t>
      </w:r>
      <w:hyperlink r:id="rId380" w:history="1">
        <w:r>
          <w:rPr>
            <w:rFonts w:ascii="arial" w:eastAsia="arial" w:hAnsi="arial" w:cs="arial"/>
            <w:i/>
            <w:color w:val="0077CC"/>
            <w:sz w:val="20"/>
            <w:u w:val="single"/>
            <w:shd w:val="clear" w:color="auto" w:fill="FFFFFF"/>
            <w:lang w:val="en-US" w:eastAsia="en-US" w:bidi="ar-SA"/>
          </w:rPr>
          <w:t>[1959] B.C.J. No. 112</w:t>
        </w:r>
      </w:hyperlink>
      <w:r>
        <w:rPr>
          <w:rFonts w:ascii="arial" w:eastAsia="arial" w:hAnsi="arial" w:cs="arial"/>
          <w:i/>
          <w:color w:val="000000"/>
          <w:sz w:val="20"/>
          <w:lang w:val="en-US" w:eastAsia="en-US" w:bidi="ar-SA"/>
        </w:rPr>
        <w:t xml:space="preserve"> and Winrob v. Street and Woollen,</w:t>
      </w:r>
      <w:r>
        <w:rPr>
          <w:rFonts w:ascii="arial" w:eastAsia="arial" w:hAnsi="arial" w:cs="arial"/>
          <w:color w:val="000000"/>
          <w:sz w:val="20"/>
          <w:lang w:val="en-US" w:eastAsia="en-US" w:bidi="ar-SA"/>
        </w:rPr>
        <w:t xml:space="preserve"> or on any number of other legal or professional problems which, by their nature, permit witnesses to identify a minimum standard of care within a professional community. In this case the experts attempted to relate their evidence to a professional standard, but they were really telling me that A's advice was either good or bad advice. I have concluded, with great respect, that I must make that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appeal, in the reasons indexed at </w:t>
      </w:r>
      <w:hyperlink r:id="rId381" w:history="1">
        <w:r>
          <w:rPr>
            <w:rFonts w:ascii="arial" w:eastAsia="arial" w:hAnsi="arial" w:cs="arial"/>
            <w:i/>
            <w:color w:val="0077CC"/>
            <w:sz w:val="20"/>
            <w:u w:val="single"/>
            <w:shd w:val="clear" w:color="auto" w:fill="FFFFFF"/>
            <w:lang w:val="en-US" w:eastAsia="en-US" w:bidi="ar-SA"/>
          </w:rPr>
          <w:t>[1981] B.C.J. 663</w:t>
        </w:r>
      </w:hyperlink>
      <w:r>
        <w:rPr>
          <w:rFonts w:ascii="arial" w:eastAsia="arial" w:hAnsi="arial" w:cs="arial"/>
          <w:color w:val="000000"/>
          <w:sz w:val="20"/>
          <w:lang w:val="en-US" w:eastAsia="en-US" w:bidi="ar-SA"/>
        </w:rPr>
        <w:t>, Mr. Justice Bull, for the Court, referred to Chief Justice McEachern's reasoning on this point, adding at paras. 35 and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A similar conclusion was reached in </w:t>
      </w:r>
      <w:r>
        <w:rPr>
          <w:rFonts w:ascii="arial" w:eastAsia="arial" w:hAnsi="arial" w:cs="arial"/>
          <w:i/>
          <w:color w:val="000000"/>
          <w:sz w:val="20"/>
          <w:lang w:val="en-US" w:eastAsia="en-US" w:bidi="ar-SA"/>
        </w:rPr>
        <w:t>Midland Bank Trust Co. Ltd. et al v. Hett Stubbs and Kemp (a Firm)</w:t>
      </w:r>
      <w:r>
        <w:rPr>
          <w:rFonts w:ascii="arial" w:eastAsia="arial" w:hAnsi="arial" w:cs="arial"/>
          <w:color w:val="000000"/>
          <w:sz w:val="20"/>
          <w:lang w:val="en-US" w:eastAsia="en-US" w:bidi="ar-SA"/>
        </w:rPr>
        <w:t xml:space="preserve"> where Justice Oliver said at 582: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 heard the evidence of a number of practising solicitors. Counsel for the plaintiffs modestly contented himself with calling one, the counsel for the defendant called no less than three. I must say that I doubt the value, or even the admissibility, of this sort of evidence, which seems to be becoming customary in this type of case. The extent of the legal duty in any given situation must, I think, be a question of law for the court. Clearly, if there is some practice in a particular profession, some accepted standard of conduct which is laid down by a profession institute or sanction by common usage, evidence of that can and ought to be received. But the evidence which really amounts to no more than an expression of opinion by a particular practitioner of what he thinks he would have done had he been placed, hypothetically and without the benefit of hindsight, in the position of the defendants is of little assistance to the court, while evidence of the witness's views of what, as a matter of law, the solicitor's duty was in the particular circumstances of the case is, I should have thought, inadmissible, for that is the very question which it is the court's function to decide.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 agree with what both judges said as above, and I think there was no error in the judge ascertaining what Bray's duty was in the circumstances; and it was not improper for him to arrive at his own conclusion independently of opinion evidence in a case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Henry's counsel relies on the passage, "Clearly, if there is some practice in a particular profession, some accepted standard of conduct which is laid down by a profession institute or sanction by common usage, evidence of that can and ought to be received" in the </w:t>
      </w:r>
      <w:r>
        <w:rPr>
          <w:rFonts w:ascii="arial" w:eastAsia="arial" w:hAnsi="arial" w:cs="arial"/>
          <w:i/>
          <w:color w:val="000000"/>
          <w:sz w:val="20"/>
          <w:lang w:val="en-US" w:eastAsia="en-US" w:bidi="ar-SA"/>
        </w:rPr>
        <w:t>Midland Bank</w:t>
      </w:r>
      <w:r>
        <w:rPr>
          <w:rFonts w:ascii="arial" w:eastAsia="arial" w:hAnsi="arial" w:cs="arial"/>
          <w:color w:val="000000"/>
          <w:sz w:val="20"/>
          <w:lang w:val="en-US" w:eastAsia="en-US" w:bidi="ar-SA"/>
        </w:rPr>
        <w:t xml:space="preserve"> case as authority for the admissibility of the reports of Mr. Storrow and Mr. Murray, but I questioned whether that passage referred to a practice of a profession other than that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Whether it is or not the passage refers only to professions other than law seems of little moment, as it is followed by the comment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expert witness] thinks he would have done had he been placed, hypothetically and without the benefit of hindsight, in the position of the defendants is of little assistance to the court, while evidence of the witness's views of what, as a matter of law, the solicitor's duty was in the particular circumstances of the case is, I should have thought, inadmissible, for that is the very question which it is the court's function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Mr. Henry's counsel directed my attention to the concurring decision of Madam Justice Southin in </w:t>
      </w:r>
      <w:r>
        <w:rPr>
          <w:rFonts w:ascii="arial" w:eastAsia="arial" w:hAnsi="arial" w:cs="arial"/>
          <w:i/>
          <w:color w:val="000000"/>
          <w:sz w:val="20"/>
          <w:lang w:val="en-US" w:eastAsia="en-US" w:bidi="ar-SA"/>
        </w:rPr>
        <w:t>Zink v. Adrian</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2005 BCCA 93</w:t>
        </w:r>
      </w:hyperlink>
      <w:r>
        <w:rPr>
          <w:rFonts w:ascii="arial" w:eastAsia="arial" w:hAnsi="arial" w:cs="arial"/>
          <w:color w:val="000000"/>
          <w:sz w:val="20"/>
          <w:lang w:val="en-US" w:eastAsia="en-US" w:bidi="ar-SA"/>
        </w:rPr>
        <w:t>, where at paras. 42 - 44 she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In the case at bar, the respondent did not call any expert evidence. The judge was his own expert. Before us, the appellant made nothing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But it does seem to me that in cases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 solicitor, judges can only rarely make such a finding in the absence of expert evidence as to the standard of a competent solicitor conducting the business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 judge can only properly do so, in my opinion, if the matter is one of "non-technical matters or those of which an ordinary person may be expected to have knowledge." See </w:t>
      </w:r>
      <w:r>
        <w:rPr>
          <w:rFonts w:ascii="arial" w:eastAsia="arial" w:hAnsi="arial" w:cs="arial"/>
          <w:i/>
          <w:color w:val="000000"/>
          <w:sz w:val="20"/>
          <w:lang w:val="en-US" w:eastAsia="en-US" w:bidi="ar-SA"/>
        </w:rPr>
        <w:t>Anderson v. Chasney</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[1949] M.J. No. 54</w:t>
        </w:r>
      </w:hyperlink>
      <w:r>
        <w:rPr>
          <w:rFonts w:ascii="arial" w:eastAsia="arial" w:hAnsi="arial" w:cs="arial"/>
          <w:color w:val="000000"/>
          <w:sz w:val="20"/>
          <w:lang w:val="en-US" w:eastAsia="en-US" w:bidi="ar-SA"/>
        </w:rPr>
        <w:t>. There is an underlying reason - the expert witness can be cross-examined with a view to showing he knows not whereof he speaks. But the parties have no means of discrediting a judge's implicit assertion that he knows the proper way to conduct a certain kind of legal business. One must not overlook the reason some judges are judges is that whilst they were practising the profession they were of a standard far above that of the ordinary reasonably competent member of the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Regrettably, it does not appear that the decision of the Court of Appeal in </w:t>
      </w:r>
      <w:r>
        <w:rPr>
          <w:rFonts w:ascii="arial" w:eastAsia="arial" w:hAnsi="arial" w:cs="arial"/>
          <w:i/>
          <w:color w:val="000000"/>
          <w:sz w:val="20"/>
          <w:lang w:val="en-US" w:eastAsia="en-US" w:bidi="ar-SA"/>
        </w:rPr>
        <w:t>R.L. Contracting</w:t>
      </w:r>
      <w:r>
        <w:rPr>
          <w:rFonts w:ascii="arial" w:eastAsia="arial" w:hAnsi="arial" w:cs="arial"/>
          <w:color w:val="000000"/>
          <w:sz w:val="20"/>
          <w:lang w:val="en-US" w:eastAsia="en-US" w:bidi="ar-SA"/>
        </w:rPr>
        <w:t xml:space="preserve"> was brought to Madam Justice Southin's attention, and as her views were not concurred in by the majority in </w:t>
      </w:r>
      <w:r>
        <w:rPr>
          <w:rFonts w:ascii="arial" w:eastAsia="arial" w:hAnsi="arial" w:cs="arial"/>
          <w:i/>
          <w:color w:val="000000"/>
          <w:sz w:val="20"/>
          <w:lang w:val="en-US" w:eastAsia="en-US" w:bidi="ar-SA"/>
        </w:rPr>
        <w:t>Zink</w:t>
      </w:r>
      <w:r>
        <w:rPr>
          <w:rFonts w:ascii="arial" w:eastAsia="arial" w:hAnsi="arial" w:cs="arial"/>
          <w:color w:val="000000"/>
          <w:sz w:val="20"/>
          <w:lang w:val="en-US" w:eastAsia="en-US" w:bidi="ar-SA"/>
        </w:rPr>
        <w:t xml:space="preserve">, I consider myself bound by the decision of the full Court in </w:t>
      </w:r>
      <w:r>
        <w:rPr>
          <w:rFonts w:ascii="arial" w:eastAsia="arial" w:hAnsi="arial" w:cs="arial"/>
          <w:i/>
          <w:color w:val="000000"/>
          <w:sz w:val="20"/>
          <w:lang w:val="en-US" w:eastAsia="en-US" w:bidi="ar-SA"/>
        </w:rPr>
        <w:t>R.L. Contracting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An authority of perhaps greater relevance than </w:t>
      </w:r>
      <w:r>
        <w:rPr>
          <w:rFonts w:ascii="arial" w:eastAsia="arial" w:hAnsi="arial" w:cs="arial"/>
          <w:i/>
          <w:color w:val="000000"/>
          <w:sz w:val="20"/>
          <w:lang w:val="en-US" w:eastAsia="en-US" w:bidi="ar-SA"/>
        </w:rPr>
        <w:t>R.L. Contracting</w:t>
      </w:r>
      <w:r>
        <w:rPr>
          <w:rFonts w:ascii="arial" w:eastAsia="arial" w:hAnsi="arial" w:cs="arial"/>
          <w:color w:val="000000"/>
          <w:sz w:val="20"/>
          <w:lang w:val="en-US" w:eastAsia="en-US" w:bidi="ar-SA"/>
        </w:rPr>
        <w:t xml:space="preserve"> is the decision of Madam Justice Gerow in </w:t>
      </w:r>
      <w:r>
        <w:rPr>
          <w:rFonts w:ascii="arial" w:eastAsia="arial" w:hAnsi="arial" w:cs="arial"/>
          <w:i/>
          <w:color w:val="000000"/>
          <w:sz w:val="20"/>
          <w:lang w:val="en-US" w:eastAsia="en-US" w:bidi="ar-SA"/>
        </w:rPr>
        <w:t>Murray v. Galuska</w:t>
      </w:r>
      <w:r>
        <w:rPr>
          <w:rFonts w:ascii="arial" w:eastAsia="arial" w:hAnsi="arial" w:cs="arial"/>
          <w:color w:val="000000"/>
          <w:sz w:val="20"/>
          <w:lang w:val="en-US" w:eastAsia="en-US" w:bidi="ar-SA"/>
        </w:rPr>
        <w:t xml:space="preserve">,2002 BCSC 1532. In that case, the plaintiffs sought damages and relief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malicious prosecution, abuse of process, defamation and infringement of s. 7 and 15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trial of the action was set for two weeks commencing December of 2002. The plaintiff obtained the opinion of a leading criminal barrister as to whether Crown counsel of ordinary competence would have approved the charges laid against the plaintiff, Mr. Murray. The defendants opposed the admissibility of the opinion. The matter came on before Madam Justice Gerow in chambers prior to the commencement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Madam Justice Gerow referred to the four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criteria, and to the passage which I have referred to from </w:t>
      </w:r>
      <w:r>
        <w:rPr>
          <w:rFonts w:ascii="arial" w:eastAsia="arial" w:hAnsi="arial" w:cs="arial"/>
          <w:i/>
          <w:color w:val="000000"/>
          <w:sz w:val="20"/>
          <w:lang w:val="en-US" w:eastAsia="en-US" w:bidi="ar-SA"/>
        </w:rPr>
        <w:t>R. v. Abbey,</w:t>
      </w:r>
      <w:r>
        <w:rPr>
          <w:rFonts w:ascii="arial" w:eastAsia="arial" w:hAnsi="arial" w:cs="arial"/>
          <w:color w:val="000000"/>
          <w:sz w:val="20"/>
          <w:lang w:val="en-US" w:eastAsia="en-US" w:bidi="ar-SA"/>
        </w:rPr>
        <w:t xml:space="preserve"> and then referred to certain exclusionary rules at para. 15 of her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exclusionary rules which have been found to apply to an expert's report are as follows: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expert is not permitted to make findings of fact or rulings of law, rather that is the role of the trial judge.</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cannot make findings of law as that is also within the role of the judge.</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Experts should not make arguments in the guise of opinions. Reference to </w:t>
      </w:r>
      <w:r>
        <w:rPr>
          <w:rFonts w:ascii="arial" w:eastAsia="arial" w:hAnsi="arial" w:cs="arial"/>
          <w:i/>
          <w:color w:val="000000"/>
          <w:sz w:val="20"/>
          <w:lang w:val="en-US" w:eastAsia="en-US" w:bidi="ar-SA"/>
        </w:rPr>
        <w:t>Sengbuschv. Priest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Quintette Coal Ltd. v. Bow Valley Resources</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[1988] B.C.J. No. 1365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paras. 17 and 18, Madam Justice Gerow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If viewed as a whole, the Peck opinion is more properly argument than opinion evidence and assesses the value of the plaintiff's claim. This is not surprising given the nature and scope of the task Mr. Peck was asked to address, namely:</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an opinion as to whether counsel of ordinary competence, in British Columbia in 1997, would have approved charges against Ian Murray in the circumstances; and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an opinion as to whether a Crown counsel of ordinary competence, in British Columbia in 1998, would have continued the prosecution of Mr. Murray to verdict, given the evidence heard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In my view those are the very questions the trial judge hearing this matter will have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Mr. Henry contended that para. 85 of the decision of the Supreme Court of Canada on the pleadings in this case, which I have set out above, mandates that evidence must be led by the plaintiff in order to establish the materiality of the evidence that was not disclosed to Mr. Henry.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unable to discern such a mandate. The language in para. 85 of the decision refers to an obligation on the part of a plaintiff such as Mr. Henry to "convince the trier of fact on a balance of probabilities." The balance of the reasons of the Supreme Court do not appear to me to contemplate that evidence should or could be led by Mr. Henry on either materiality, which I find to be a matter of law, or on the duty of a prosecutor, which is the very question which it is my function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the proffered opinions are unnecessary to assist me in determining the issues before me, and offend the exclusionary rule respecting the receipt of evidence from a lawyer on matters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result, I rule that the written opinions of Mr. Storrow and Mr. Murray, and any oral evidence based on those opinions, are inadmissible in the trial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Kranz v. Shidfar, [2011] B.C.J. No. 970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J.R. Groves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8-11, September 13-15, 2010; January 17,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S065416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970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686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1286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 A.C.W.S. (3d) 714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Frederick Kranz and Katarina Kranz, Plaintiffs, and Mohammad Shidfar, John Doe #1 and John Doe #2,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6"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9" w:name="Keywords_17"/>
      <w:bookmarkEnd w:id="129"/>
      <w:r>
        <w:rPr>
          <w:rFonts w:ascii="arial" w:eastAsia="arial" w:hAnsi="arial" w:cs="arial"/>
          <w:b/>
          <w:color w:val="000000"/>
          <w:sz w:val="20"/>
          <w:lang w:val="en-US" w:eastAsia="en-US" w:bidi="ar-SA"/>
        </w:rPr>
        <w:t>Damages — For torts — Affecting property — Personal property — Trespass or conversion — Real property — Trespass — Action by plaintiff for damages following trespass allowed — The defendant instructed a third party agent to cut down trees on his property — The defendant had not made any reasonable effort to ascertain the borders of his property prior to instructing the agent to cut trees — The agent consequently cut down trees on the plaintiff's property — Plaintiff awarded $42,000 for the cost of restoration of the trees, $20,000 for loss of enjoyment of the land, and $35,000 in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General principles — Joint trespass — Action by plaintiff for damages following trespass allowed — The defendant instructed a third party agent to cut down trees on his property — The defendant had not made any reasonable effort to ascertain the borders of his property prior to instructing the agent to cut trees — The agent consequently cut down trees on the plaintiff's property — Through the agent, the defendant had committed trespass, in that all persons who aid or join in a trespass were deemed in law to be joint trespassers — Damages were awarded to the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0" w:name="Case Summary_16"/>
            <w:bookmarkEnd w:id="1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following trespass. The defendant had instructed a third party agent to cut down trees on his property. The agent had consequently cut down trees on the neighbouring property, belonging to the plaintiff. The plaintiff claimed that the agent and defendant had trespassed on to their property. The plaintiff claimed damages for the destruction of the trees claiming a loss of enjoyment of their land and that their property had now diminished in value. The plaintiff also sought an award for punitive damages, based on the defendant's conduct and recklessness. The defendant argued that he honestly believed the trees were on his property.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1" w:name="Holdings of Court_11"/>
            <w:bookmarkEnd w:id="13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$42,000 for the cost of restoration of the trees, $20,000 for loss of enjoyment of the land, and $35,000 in punitive damages. Through the agent, the defendant had committed trespass, in that all persons who aid or join in a trespass were deemed in law to be joint trespassers. The trial judge agreed that the plaintiff had suffered a loss of privacy and the sense of invasion. The trial judge further recognized that there would be a reasonable cost of remediation for the trees. The defendant's argument that he honestly believed the trees were on his property failed as he had not made any reasonable effort to ascertain the borders of his property prior to instructing the agent to cut the trees. The defendant had been reckless in failing to ascertain the true property line. Additionally, despite requests from the plaintiff during the tree removal, the agent of the defendant continued to cut down the final tree. This recklessness warranted the award of punitive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2" w:name="Counsel_17"/>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7"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(June 8-11, 2010): S. Donley.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(September 13-15, 2010 and January 17, 2011): D. Hunter.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Shidfar: R. Barreto.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3" w:name="Judgment_17"/>
      <w:bookmarkEnd w:id="133"/>
      <w:r>
        <w:pict>
          <v:line id="_x0000_s1118" style="position:absolute;z-index:2517790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4" w:name="J.R. GROVES J."/>
            <w:bookmarkEnd w:id="134"/>
            <w:r>
              <w:rPr>
                <w:rFonts w:ascii="arial" w:eastAsia="arial" w:hAnsi="arial" w:cs="arial"/>
                <w:b/>
                <w:color w:val="000000"/>
                <w:sz w:val="30"/>
                <w:lang w:val="en-US" w:eastAsia="en-US" w:bidi="ar-SA"/>
              </w:rPr>
              <w:t>J.R. GROVES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Frederick Kranz and Katarina Kranz (hereinafter referred to as the "Kranzs" or the "plaintiffs"), and the defendant, Mohammed Shidfar (hereinafter referred to as "Shidfar" or the "defendant"), were neighbours on Fairmile Road in the British Properties neighbourhood of West Vancouver,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Kranzs owned 875 Fairmile Road and Shidfar owned 883 Fairmile Road. These properties are next door to each other. The property line between the two residences was not clearly defined by way of marker or by way of fence. From the Shidfar property towards the Kranzs' property, the property slopes towards a creek. The Kranzs' home was on the west or far side of the creek from Shidfar's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March 2006, as part of renovations and redevelopment of the Shidfar property, Shidfar instructed Enayat Tavakoli, an acquaintance who was doing work on his Shidfar's yard, to cut down a number of trees on his property. Shidfar instructed Mr. Tavakoli to cut down all the trees on Shidfar's side of the creek. On the 28th of March 2006, with the possible exception of one tree, Mr. Tavakoli followed Shidfar's instructions. Unfortunately for all concerned, a number of the trees cut, approximately ten in total, were actually trees on the Kranzs' property. There is a dispute in the evidence as to whether or not one tree was cut down on the 28th of March 2006 or was in fact cut on the 29th of March 2006. The significance of this relates to the plaintiffs' 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Issues: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a number of issues which need to be determined in this litigation:</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trespass when Shidfar directed Mr. Tavakoli to cut down the trees situated on the Kranzs' property?</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amount of damages, if any, to be awarded in this case?</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an award for punitive damages appropriate and if so, how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Issue - Trespass: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argue that the defendant committed trespass, in that all persons who aid or join in a trespass are deemed in law to be joint trespassers. The plaintiffs argue additionally that Shidfar is vicariously liable for the trespass in that he admits that Mr. Tavakoli was his agent, acting within the scope of that agency. They argue that a principal is vicariously liable for the actions of his agent. The plaintiffs also point out that trespassing is actionable without proof of damages and that it is no defence for Shidfar to say that he thought that all the lands on the west side of the creek were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Shidfar admits that Mr. Tavakoli and his workers were under his direction when, as Shidfar says, they accidentally trespassed on the Kranzs' property and cut down nine of the ten trees that were actually on the Kranzs' property. Shidfar admits that under these circumstances he is a joint trespasser and he is vicariously liable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Issue - Measure of Damages: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seek damages valued between $150,000-$175,000. Their claim is based on what they believe to be is the diminished value of their property on the one hand, and the corresponding enhancement of Shidfar's property on the other, as a result of the removal of their trees. They rely, to a great degree, on the evidence of Darlene Dunnett. Ms. Dunnett was the realtor who sold 875 Fairmile Road to the Kranzs, who subsequently sold the property for the Kranzs after the trespass to David Christopher, and who sold it for a third time, this time for Mr. Christopher, just a few months after he had purchased it from the Kranzs.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are a number of aspects of the evidence in regards to the value of the property and the allegation of diminishment which are of concern. First off, there is no comparative appraisal evidence to indicate any diminishment in value as a result of the loss of the ten trees. Secondly, although there is evidence before the Court as to the unsightliness of the area from which all the trees were cut, one must keep in mind that Shidfar had every apparent right to remove his own trees and the effect of the general unsightliness of the removal of Shidfar's trees is not something that the Kranzs can claim damages for. The fact that a neighbour makes a mess in his yard and it is viewable by you is not actionable, or at least not pled in this case to be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Additionally, the evidence of Ms. Dunnett, the realtor, and Mr. Christopher, the purchaser of the Kranzs' property, are substantially at odds on some crucial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Dunnett testified that in the absence of the trees being cut down, she would have listed the Kranzs' property when they wanted to sell it for $1.88M. She testified that because of the unsightliness and loss of privacy resulting from the removal of the trees, she listed the property for $1.788M and that was probably a "stretch". She testified that if the trees had not been cut down, the Kranzs' property would have sold for between $1.85M and $1.875M, but instead the Kranzs' property sold for $1.7M.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Dunnett testified in-chief as to the number of efforts she made to sell the property, and about receiving about what she characterized as "lowball" offers. She stated that numerous individuals were turned off by the unsightliness of the area where the trees were removed. The tenor of her evidence was that she did the best she could for her client in selling the property for $1.7M.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Christopher testified that he was surprised that the house was listed at only $1.788M, that he was looking for a house in that neighbourhood for a client that week and had looked at a couple of houses listed in the area for $2.4M to $2.5M. He said that he expected the price, considering the location of the property, to be higher, in excess of $2M. Additionally, Mr. Christopher said that it was the comments of Ms. Dunnett that caused him to make an offer at lower than the list price. He said that as he was looking at the pool area, the realtor mentioned to him what had happened in regards to the trees, and that because of what had happened, the vendor would be prepared to take a reduced price. Essentially, it was an invitation by Ms. Dunnett for Mr. Christopher to make an offer lower than the list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Additionally, in regards to the actual value of this property, again in the absence of appraisal evidence, there is evidence before the Court that a few months after Mr. Christopher purchased the property, he resold it, without doing anything to it, for $2.1M. The suggestion of the plaintiffs is that the ultimate purchasers, Michael Lui and Pam Mason, paid an inflated price because of their desire to have that piece of property. The suggestion is that one or both of them were obsessed with the property. Michael Lui testified in these proceedings. Nothing in his evidence confirmed to me any obsession with the property; rather, he felt that the property was worth the money he paid because of its unique character. He did concede that his wife likes the property very much, but he denied any obsession.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Unfortunately, one is left with inconsistent evidence as to what the value of this property was when it was sold by the Kranzs. Additionally, there is no real evidence about what effect the loss of trees on the Kranzs' property had on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One cannot ignore the fact that shortly after purchasing the property for $1.7M, Mr. Christopher was able to sell it for $2.1M. However, one also cannot ignore the fact that much of the apparent "devastation" that, according to Ms. Dunnett, caused the diminished value and interest in the property is not subject to this action - namely the removal of trees on his own property by Shidfar. If the Kranzs' ten trees had not been removed, there would have been a more modest screening from the pool area of the Kranzs' property looking west towards the higher elevated Shidfar home. This screening would have been from the tops of these trees. That being said, the "devastation" caused by the removal of a large number of trees on Shidfar's own property would still have been viewable from the Kranzs' pool area. This is because there was little, if any, screening created by the lower portion of the Kranzs'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forester, Glen Murray, testified that with the removal of Shidfar's trees, the balance of the Kranzs' trees would eventually, within two years perhaps, have filled in and again created a screen for the Kranzs' property, particularly around the pool area. Even based on that evidence, no such screen would have been apparent or available at the time when the Kranzs sold their property. In other words, even if the Kranzs' trees were not cut down by Shidfar, the evidence suggests that there would have been some visible affront on the Kranzs' property as a result of Shidfar's removal of his own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any litigation, the plaintiff bears the obligation of the proof of the claim and proof of his or her damages. Having considered all of the evidence, the plaintiffs have not proven that they suffered a loss of value when they sold their property as a result of the unlawful removal of their trees by Shidfar. What the plaintiffs have proven is that the reasonable cost of remediation for trees, relying on the report of Glen Murray, is $42,000. They have proven an entitlement to that claim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the evidence also suggests that when the Kranzs sold 875 Fairmile to Mr. Christopher, they sold it for less than market value. Though I accept that the removal of trees was unsightly, clearly there was substantial value to this property not realized when it was sold to Mr. Christopher, as evidenced by the fact that Mr. Christopher sold it just three months later for a price he had requested. His evidence suggests that the going price for homes in that neighbourhood was over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That being said, the plaintiffs have proven a loss of enjoyment of land. The evidence before me suggests that the plaintiffs purchased 875 Fairmile with the intent to use it for their retirement. It was particularly appealing to Mrs. Kranz who liked the pool area and the privacy the home offered. After the cutting of the trees by way of trespass, Mrs. Kranz could no longer enjoy the privacy around the pool. This loss inflicted by the cutting of trees on the Kranzs' property by Shidfar does warrant compensation. Our Court of Appeal in </w:t>
      </w:r>
      <w:r>
        <w:rPr>
          <w:rFonts w:ascii="arial" w:eastAsia="arial" w:hAnsi="arial" w:cs="arial"/>
          <w:i/>
          <w:color w:val="000000"/>
          <w:sz w:val="20"/>
          <w:lang w:val="en-US" w:eastAsia="en-US" w:bidi="ar-SA"/>
        </w:rPr>
        <w:t>Dykhuizen v. Saanich</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(1989), 63 D.L.R. (4th) 211</w:t>
        </w:r>
      </w:hyperlink>
      <w:r>
        <w:rPr>
          <w:rFonts w:ascii="arial" w:eastAsia="arial" w:hAnsi="arial" w:cs="arial"/>
          <w:color w:val="000000"/>
          <w:sz w:val="20"/>
          <w:lang w:val="en-US" w:eastAsia="en-US" w:bidi="ar-SA"/>
        </w:rPr>
        <w:t xml:space="preserve">, confirmed that damages for destruction of trees can extend to compensation for loss of amenities. In </w:t>
      </w:r>
      <w:r>
        <w:rPr>
          <w:rFonts w:ascii="arial" w:eastAsia="arial" w:hAnsi="arial" w:cs="arial"/>
          <w:i/>
          <w:color w:val="000000"/>
          <w:sz w:val="20"/>
          <w:lang w:val="en-US" w:eastAsia="en-US" w:bidi="ar-SA"/>
        </w:rPr>
        <w:t>Hutton v. Morehouse</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[1998] B.C.J. No. 668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Hutton</w:t>
      </w:r>
      <w:r>
        <w:rPr>
          <w:rFonts w:ascii="arial" w:eastAsia="arial" w:hAnsi="arial" w:cs="arial"/>
          <w:color w:val="000000"/>
          <w:sz w:val="20"/>
          <w:lang w:val="en-US" w:eastAsia="en-US" w:bidi="ar-SA"/>
        </w:rPr>
        <w:t>], McEwan J. of this Court awarded $25,000 for loss of amenities because of the sense of invasion and violation that the plaintiff suffered as a result of the defendant's actions in trespassing and logging on the plaintiff's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agree with counsel for the plaintiffs that the reasoning of Mr. Justice McEwan in </w:t>
      </w:r>
      <w:r>
        <w:rPr>
          <w:rFonts w:ascii="arial" w:eastAsia="arial" w:hAnsi="arial" w:cs="arial"/>
          <w:i/>
          <w:color w:val="000000"/>
          <w:sz w:val="20"/>
          <w:lang w:val="en-US" w:eastAsia="en-US" w:bidi="ar-SA"/>
        </w:rPr>
        <w:t>Hutton</w:t>
      </w:r>
      <w:r>
        <w:rPr>
          <w:rFonts w:ascii="arial" w:eastAsia="arial" w:hAnsi="arial" w:cs="arial"/>
          <w:color w:val="000000"/>
          <w:sz w:val="20"/>
          <w:lang w:val="en-US" w:eastAsia="en-US" w:bidi="ar-SA"/>
        </w:rPr>
        <w:t xml:space="preserve"> is persuasive. Here, as in </w:t>
      </w:r>
      <w:r>
        <w:rPr>
          <w:rFonts w:ascii="arial" w:eastAsia="arial" w:hAnsi="arial" w:cs="arial"/>
          <w:i/>
          <w:color w:val="000000"/>
          <w:sz w:val="20"/>
          <w:lang w:val="en-US" w:eastAsia="en-US" w:bidi="ar-SA"/>
        </w:rPr>
        <w:t>Hutton</w:t>
      </w:r>
      <w:r>
        <w:rPr>
          <w:rFonts w:ascii="arial" w:eastAsia="arial" w:hAnsi="arial" w:cs="arial"/>
          <w:color w:val="000000"/>
          <w:sz w:val="20"/>
          <w:lang w:val="en-US" w:eastAsia="en-US" w:bidi="ar-SA"/>
        </w:rPr>
        <w:t>, a significant component of the plaintiffs' loss as detailed in the evidence is the loss of privacy and the sense of invasion that the Kranzs have suffered. Keeping in mind, however, that some of this loss or invasion was no doubt facilitated by the removal of trees from Shidfar's own property, I would fix an appropriate award in this area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such, I award damages payable by Shidfar to the Kranzs at $42,000 for remediation costs and $20,000 for loss of enjoyment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Issue -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An analysis of the concept of punitive damages starts with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the Supreme Court of Canada considered ten principles from its comprehensive review of the law of punitive damages. The B.C. Court of Appeal summarized these principles in </w:t>
      </w:r>
      <w:r>
        <w:rPr>
          <w:rFonts w:ascii="arial" w:eastAsia="arial" w:hAnsi="arial" w:cs="arial"/>
          <w:i/>
          <w:color w:val="000000"/>
          <w:sz w:val="20"/>
          <w:lang w:val="en-US" w:eastAsia="en-US" w:bidi="ar-SA"/>
        </w:rPr>
        <w:t>Bowen Contracting Ltd. v. B.C. Log Spill Recovery Co-operative Assn.</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2009 BCCA 457</w:t>
        </w:r>
      </w:hyperlink>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not limited to particular "categories" of wrongs, although by their nature they will "largely be restricted to intentional torts";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objectives of punitive damages are punishment, deterrence of the wrongdoer and others, and denunciation;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primary vehicle of punishment is criminal law, punitive damages should be resorted to only in "exceptional cases and with restraint";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pejoratives such as "high-handed" or "oppressive" does not provide useful guidance (or discipline) to judges or juries and a more principled approach is desirable. (Notwithstanding this, the Court said at para. 94 that punitive damages are to be imposed only if there has been "high-handed, malicious, arbitrary or highly reprehensible misconduct that departs to a marked degree from ordinary standards of decent behaviour.");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setting punitive damages, the court should ask itself "in particular" how an award would further one or other of the objectives of the law and what is the lowest award that would serve the purpose;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"rational" to use punitive damages to relieve a wrongdoer of its profits where compensatory damages would amount to "nothing more than a licence fee to earn greater profits through outrageous disregard of the legal or equitable rights of others."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"formulaic" approach should be avoided. The court should focus not on the plaintiff's loss but on the defendant's misconduct;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overall award should be rationally related to the objectives for which punitive damages are awarded;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Juries should receive more help from judges concerning the function of punitive damages and factors governing such awards and the assessment of a proper amount;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not "at large" and an appellate court may intervene if an award exceeds the outer boundaries of a rational and measured response to the facts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are really two areas in which the plaintiffs argue the conduct of Shidfar justifies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first relates to the reckless way, it is argued, that Shidfar went about removing the trees from his property and more particularly the reckless way in which he failed to make any effort to identify the actual property line between his property and the Kranzs' property before instructing Mr. Tavakoli to remove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Kachanoski v. Grace</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2002 BCCA 615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Kachanoski</w:t>
      </w:r>
      <w:r>
        <w:rPr>
          <w:rFonts w:ascii="arial" w:eastAsia="arial" w:hAnsi="arial" w:cs="arial"/>
          <w:color w:val="000000"/>
          <w:sz w:val="20"/>
          <w:lang w:val="en-US" w:eastAsia="en-US" w:bidi="ar-SA"/>
        </w:rPr>
        <w:t xml:space="preserve">], it is argued by the plaintiffs, is very similar to the facts here. In </w:t>
      </w:r>
      <w:r>
        <w:rPr>
          <w:rFonts w:ascii="arial" w:eastAsia="arial" w:hAnsi="arial" w:cs="arial"/>
          <w:i/>
          <w:color w:val="000000"/>
          <w:sz w:val="20"/>
          <w:lang w:val="en-US" w:eastAsia="en-US" w:bidi="ar-SA"/>
        </w:rPr>
        <w:t>Kachanoski,</w:t>
      </w:r>
      <w:r>
        <w:rPr>
          <w:rFonts w:ascii="arial" w:eastAsia="arial" w:hAnsi="arial" w:cs="arial"/>
          <w:color w:val="000000"/>
          <w:sz w:val="20"/>
          <w:lang w:val="en-US" w:eastAsia="en-US" w:bidi="ar-SA"/>
        </w:rPr>
        <w:t xml:space="preserve"> the defendant trespassed onto the plaintiffs' land and cut down 21 trees. The defendant defended his actions on the basis that he did not know where the property line was, and that he thought he was cutting trees on his own property, as Shidfar states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of Appeal agreed with the trial judge's finding that the defendant's conduct justified an award of punitive damages. The chambers judge stated (reproduced at para. 7 of the Court of Appeal's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Mr. Grace made nothing but the most casual inquiry to establish the property line before he began the cutting. The best that can be said for his evidence is that he formed the general view from some conversations that he had had with the previous owners that the property line must be further over than it actually was. There is no support in any of the evidence for a contention on his part that anyone told him where the property line was excerpt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in the very vaguest of ways. He did not attempt to find the iron posts that mark the corner of the property and, therefore, the property line. He did not make any inquiries of his neighbours. He did not consult any plan; although I am satisfied that he would have had access to plans if he wished which showed the property line between the two properties.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 Mr. Grace acted almost completely irresponsibly. ... I am satisfied that his actions can be characterized as reckless. He simply did not inquire. He wanted to cut the trees down. He thought they may be on his property and so he cut them down.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 am satisfied that there is no basis upon which he could have said, "I honestly thought they were on my property." In order to say that he would have had to make some logical inquiry, some inquiry that was based in reason, and he did not do so. I am satisfied Mr. Grace is liable in trespass to the plaintiffs. I am satisfied that the basis of his actions was not simply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recklessness.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of Appeal upheld the chambers judge's finding that this recklessness fell into the category of malicious or highhanded conduct so as to justify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plaintiffs argue that the following facts from the evidence suggest that Shidfar's actions are comparable to the situation before the Court in </w:t>
      </w:r>
      <w:r>
        <w:rPr>
          <w:rFonts w:ascii="arial" w:eastAsia="arial" w:hAnsi="arial" w:cs="arial"/>
          <w:i/>
          <w:color w:val="000000"/>
          <w:sz w:val="20"/>
          <w:lang w:val="en-US" w:eastAsia="en-US" w:bidi="ar-SA"/>
        </w:rPr>
        <w:t>Kachanoski</w:t>
      </w:r>
      <w:r>
        <w:rPr>
          <w:rFonts w:ascii="arial" w:eastAsia="arial" w:hAnsi="arial" w:cs="arial"/>
          <w:color w:val="000000"/>
          <w:sz w:val="20"/>
          <w:lang w:val="en-US" w:eastAsia="en-US" w:bidi="ar-SA"/>
        </w:rPr>
        <w:t>. They say:</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best that can be said is that Shidfar formed the general view from a conversation with his broker in 1988, as well as from relying on Iranian property law, that the property line was the creek;</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that he made any attempt to physically inspect the property boundary before the cutting;</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evidence that he made any inquiries of the neighbours;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Shidfar did not consult the registered subdivision plan in his possession, despite the fact that this plan would have revealed that the creek was not the boundary;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seek to obtain any other plan or survey of the property to ascertain the property boundary.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order for Shidfar to say that he honestly believed the trees were on his property, he would have had to have made some inquiry to establish the property line. Reliance on principles of Iranian property law and a 20-year-old comment from a broker is not reasonable. Such reliance clearly does not negate Shidfar's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ascertain the true property line before cutting numerous trees. I have concluded this recklessness warrants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second aspect of the plaintiffs' argument for punitive damages relates to the removal of the final tree. In that regard, there are two versions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version of events is that on the 28th of March 2006, Mr. Kranz received a frantic call from Mrs. Kranz indicating that trees on their property were being cut down. When Mr. Kranz arrived, he saw individuals with chainsaws on the western edge of his property in the creek area; he told those individuals to stop cutting and to get off his property. Mr. Kranz further testified that Shidfar attended and apologized, indicating that he did not want to cut down Mr. Kranz's trees. Mr. Kranz took numerous photos of the creek area on the 28th of March, and those photos are in evidence. These photos show that one tree remained standing. Mr. Kranz's evidence was that he told Mr. Tavakoli and Shidfar not to cut down the one tree that remained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Kranz further testified that when he returned to the property on the 29th of March at about 10:00 a.m., the final tree had been cut down and that he did not observe any contractors on the Shidfar property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Kranz's evidence is confirmed by Mrs. Kranz. Specifically, she said that she witnessed Mr. Kranz have a conversation with Mr. Shidfar on the 28th of March, and when she returned with Mr. Kranz on the 29th of March, the final tree had been cut down. The Kranzs' evidence in this regard was clear and unequivocal and was not seriously challenged in cross-examination or by contradictory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regards to the issue of the final tree, Shidfar's evidence is different from that of Mr. Kranz. He states that he received a call from his employee, Mr. Tavakoli, to the effect that the neighbours were complaining about the cutting down of the trees and that Shidfar should attend at the home to deal with it. Shidfar was at his office at the time. Shidfar says that he returned to his home on the 28th of March between 1:00-1:30 p.m., but his neighbours were not there. Shidfar says he waited for about 1 1/2 hours and told Mr. Tavakoli that if his neighbours did come back, Mr. Tavakoli should call him and he would return. Shidfar then stated that Mr. Tavakoli told him that the Kranzs appeared on the property later on that day and had told Mr. Tavakoli that Mr. Kranz had been at the dentist.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evidence of Shidfar, in this regard, is inconsistent with that of Mr. Tavakoli. Mr. Tavakoli was clear in his evidence that he had one conversation with Mr. Kranz and that was when Mr. Kranz told him to stop cutting the trees. Additionally, Shidfar's evidence as to his instructions to his contractors, as pointed out by the plaintiffs in their argument, is inconsistent at best, specifically as it relates to when he provided instructions to his contractors to stop cutting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addition, the evidence of Mr. Tavakoli is not only inconsistent with the evidence of Shidfar, but is, with respect, not believable. Mr. Tavakoli suggests that either the Kranzs or someone on their property gave him permission to cross their property and cut the trees. This is inconsistent with the believable evidence of Mrs. Kranz as to her surprise and horror when she saw the trees being cut down and Mr. Kranz's believable evidence that he arrived on the scene after all but one of the trees were 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Additionally, Mr. Tavakoli in his evidence suggests that it is Mr. Kranz who directed him to cut the final tree. Mr. Tavakoli's evidence, in summary, is that while Mr. Kranz watched the trees being cut, he asked the contractor to cut one more tree on his side of the creek and immediately became upset and told them to stop cutting. There was, of course, at that point nothing left to cut. This evidence is simply not believable. Mr. Tavakoli's evidence further was that the final tree was on the east side of the creek when in fact there are no trees on the east side of the creek or anywhere close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Additionally, it is the suggestion of Mr. Tavakoli in his evidence that these events happened over the course of 2 1/2 days despite the fact that all the evidence, including that of Shidfar, suggests that the entirety of the circumstances occurred within less than 24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despite the Kranzs' request, an agent of Shidfar cut down the final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Having found that Shidfar's conduct in not making any reasonable effort to ascertain the borders of his property prior to instructing an agent to cut trees, and having found as I have that it was Shidfar or his agents who cut the last tree despite the specific request from Mr. Kranz, I now turn to the issue of the amount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support of a claim for substantial punitive damages, the plaintiffs argue that the trees were cut by Shidfar to improve his view and as such improve the value of his property, which he subsequently sold. It is pointed out that Shidfar, at his examination for discovery, when asked the question, "what was the purpose of having the trees cut", answered, "to have a better view". This was disputed in his cross-examination at trial. At trial he was adamant that the view did not get better with the cutting of the trees on the Kranzs'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 clear evidence as to an increase in value in Shidfar's property as a result of an alleged better view. It is logical that this evidence could have been obtained by permission from the current owner of 883 Fairmile Road or by way of court application to obtain access for the purpose of assessing the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Also, in terms of the view, logic suggests that any enhanced view that would have been obtained, would have been an enhanced view based on the cutting of trees on the higher slope. In other words, an improvement in the view would have been obtained by the falling of trees on the Shidfar property at the top of the slope, as opposed to the trees which were on the Kranzs' property at the bottom of the slope or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Based on the evidence before me, I cannot conclude that the cutting of trees on the Kranzs' property enhanced Shidfar's view. Logic suggests that the cutting of his own trees may have enhanced his view but there is no solid evidence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in their argument, submit that the key consideration in an award for punitive damages should be the disgorging of profits that flowed to Shidfar as a result of the tree cutting. They suggest that the evidence of Ms. Dunnett, that Shidfar's property would have only sold in June 2007 within the range of $1.6M-$1.65M but instead sold for $1.8M, indicates that Shidfar made between $150,000-$200,000 in profit because of the felling of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Little weight can be placed on this argument. First off, Ms. Dunnett is not an appraiser. I commented earlier on the somewhat improvident way in which she sold the Kranzs' property. Her estimate of property values appears to have been wrong in that regard. Secondly, there is the evidence of Shidfar of doing over $100,000 of renovations to his property prior to its sale in June 2007, renovations which Ms. Dunnett does not have the details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Finally, as already discussed, there is really no evidence, although it could have likely been ascertained, as to whether it was the cutting of the Kranzs' trees or the cutting of Shidfar's own trees that enhanced the view, if there was in fact an enhanced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That being said, a significant award is necessary in these circumstances to denounce the conduct of Shidfar and certainly to deter persons such as Shidfar from similar types of action. I would award $35,000 in punitive damages. The amount awarded in general must be the lowest award that would serve the purpose of deterring the impugned conduct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There is little evidence of Shidfar's net worth or financial means. Deterrence must have some negative impact on the party required to pay. I have assumed, based only on the neighbourhood he lived in, that Shidfar has some financial means and as such the amount of the award must be significant to have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Conclusions: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Damages are awarded against the defendant Mohammed Shidfar in favour of the plaintiffs, Frederick Kranz and Katarina Kranz, in the amount of $42,000 for the cost of restoration of the trees cut as a result of the trespass of Shidfar, $20,000 for loss of enjoyment of the land, and $35,000 in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have been successful and are entitled to costs. If there are any issues in regards to costs the parties can arrange through trial scheduling to appear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J.R. GROVES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Leonard v. Manufacturers Life Insurance Co., [2016] B.C.J. No. 615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19-23,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S131263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615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534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BROUGHT UNDER the Class Proceedings Act, R.S.B.C. 1996, c. 50 Between Francoise Leonard and Leanne Ranniger, Plaintiffs, and The Manufacturers Life Insurance Company, Manulife Financial Corporation, Benesure Canada Inc., Broker Support Centre Inc., Credit Security Insurance Agency, Tacamor Holdings Inc., Davis + Henderson Limited Partnership and John F. Lorriman,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0"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5" w:name="Keywords_18"/>
      <w:bookmarkEnd w:id="135"/>
      <w:r>
        <w:rPr>
          <w:rFonts w:ascii="arial" w:eastAsia="arial" w:hAnsi="arial" w:cs="arial"/>
          <w:b/>
          <w:color w:val="000000"/>
          <w:sz w:val="20"/>
          <w:lang w:val="en-US" w:eastAsia="en-US" w:bidi="ar-SA"/>
        </w:rPr>
        <w:t>Civil litigation — Civil procedure — Parties — Class or representative actions — Certification — Procedure — Representative plaintiff — Application by plaintiffs to certify action as class proceeding and appoint them as representative plaintiffs dismissed — Plaintiffs alleged that defendants assessed insurance applications in way that was designed to result in excessive charges and disclosed unauthorized private information — Neither plaintiff was current policyholder and both had signed consents to disclosure of personal information — Plaintiffs would not fairly and adequately represent interests of class — Preferable procedure was to leave it to authorities under Financial Institutions Act and Insurance Companies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Practice and procedure — Parties — Application by plaintiffs to certify action as class proceeding and appoint them as representative plaintiffs dismissed — Plaintiffs alleged that defendants assessed insurance applications in way that was designed to result in excessive charges and disclosed unauthorized private information — Neither plaintiff was current policyholder and both had signed consents to disclosure of personal information — Plaintiffs would not fairly and adequately represent interests of class — Preferable procedure was to leave it to authorities under Financial Institutions Act and Insurance Companies 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6" w:name="Case Summary_17"/>
            <w:bookmarkEnd w:id="1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certify the action as a class proceeding and to appoint them as representative plaintiffs. The plaintiffs alleged that the defendants assessed applications for insurance in a way that was designed to result in excessive charges, used a deceptive form and disclosed unauthorized private information, breaching the Financial Institutions Act, the Insurance Companies Act and the Privacy Act. The notice of civil claim stated that the action was brought on behalf of all British Columbia residents who purchased the products or had their personal information transmitted. Neither of the plaintiffs was a current policyholder and both had signed consents to the disclosure of their personal information.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7" w:name="Holdings of Court_12"/>
            <w:bookmarkEnd w:id="13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Whether there were excessive charges would involve the individual evidence of the class members as to their characteristics. It was necessary to examine individual class members as to whether they were deceived by the form. Violation of privacy had to be decided on the facts of each case. "All British Columbia residents", without more, was far too uncertain a proposed class, as it did not indicate a defined period. The plaintiffs would not fairly and adequately represent the interests of the class by vigorously prosecuting the action. The preferable procedure for the resolution of any common issues was to leave it to the authorities under the Financial Institutions Act and the Insurance Companies Act. The Acts did not give an individual a right to bring a private claim for a breach of their provisions.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8" w:name="Legislation Cited_13"/>
      <w:bookmarkEnd w:id="1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1"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Practices and Consumer Protection Act,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404" w:history="1">
        <w:r>
          <w:rPr>
            <w:rFonts w:ascii="arial" w:eastAsia="arial" w:hAnsi="arial" w:cs="arial"/>
            <w:i/>
            <w:color w:val="0077CC"/>
            <w:sz w:val="20"/>
            <w:u w:val="single"/>
            <w:shd w:val="clear" w:color="auto" w:fill="FFFFFF"/>
            <w:lang w:val="en-US" w:eastAsia="en-US" w:bidi="ar-SA"/>
          </w:rPr>
          <w:t>R.S.B.C. 1996, c. 50, s. 2</w:t>
        </w:r>
      </w:hyperlink>
      <w:r>
        <w:rPr>
          <w:rFonts w:ascii="arial" w:eastAsia="arial" w:hAnsi="arial" w:cs="arial"/>
          <w:color w:val="000000"/>
          <w:sz w:val="20"/>
          <w:lang w:val="en-US" w:eastAsia="en-US" w:bidi="ar-SA"/>
        </w:rPr>
        <w:t>(4), s. 4(1), s. 4(1)(d), s. 4(1)(e), s. 4(1)(e)(i)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Competition Act, R.S.C., 1985, c. C-34, s. 36, s.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Financial Institutions Act, </w:t>
      </w:r>
      <w:hyperlink r:id="rId405" w:history="1">
        <w:r>
          <w:rPr>
            <w:rFonts w:ascii="arial" w:eastAsia="arial" w:hAnsi="arial" w:cs="arial"/>
            <w:i/>
            <w:color w:val="0077CC"/>
            <w:sz w:val="20"/>
            <w:u w:val="single"/>
            <w:shd w:val="clear" w:color="auto" w:fill="FFFFFF"/>
            <w:lang w:val="en-US" w:eastAsia="en-US" w:bidi="ar-SA"/>
          </w:rPr>
          <w:t>R.S.B.C. 1996, c. 141, s. 59</w:t>
        </w:r>
      </w:hyperlink>
      <w:r>
        <w:rPr>
          <w:rFonts w:ascii="arial" w:eastAsia="arial" w:hAnsi="arial" w:cs="arial"/>
          <w:color w:val="000000"/>
          <w:sz w:val="20"/>
          <w:lang w:val="en-US" w:eastAsia="en-US" w:bidi="ar-SA"/>
        </w:rPr>
        <w:t>, s. 59(2), s. 75, s. 91, s. 93, s. 94, s. 101, s. 159, s. 171, s. 171(2), s. 176, s. 177, s. 178, s. 180, s. 208, s. 241.1, s. 252(2)(a), s. 252(2)(b), s. 252(5), s. 253.1, s. 254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Companies Act, </w:t>
      </w:r>
      <w:hyperlink r:id="rId406" w:history="1">
        <w:r>
          <w:rPr>
            <w:rFonts w:ascii="arial" w:eastAsia="arial" w:hAnsi="arial" w:cs="arial"/>
            <w:i/>
            <w:color w:val="0077CC"/>
            <w:sz w:val="20"/>
            <w:u w:val="single"/>
            <w:shd w:val="clear" w:color="auto" w:fill="FFFFFF"/>
            <w:lang w:val="en-US" w:eastAsia="en-US" w:bidi="ar-SA"/>
          </w:rPr>
          <w:t>S.C. 1991, c. 47, s. 13</w:t>
        </w:r>
      </w:hyperlink>
      <w:r>
        <w:rPr>
          <w:rFonts w:ascii="arial" w:eastAsia="arial" w:hAnsi="arial" w:cs="arial"/>
          <w:color w:val="000000"/>
          <w:sz w:val="20"/>
          <w:lang w:val="en-US" w:eastAsia="en-US" w:bidi="ar-SA"/>
        </w:rPr>
        <w:t>(1), s. 166, s. 166(1), s. 1028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Ontario Class Proceedings Act, 1992, </w:t>
      </w:r>
      <w:hyperlink r:id="rId407" w:history="1">
        <w:r>
          <w:rPr>
            <w:rFonts w:ascii="arial" w:eastAsia="arial" w:hAnsi="arial" w:cs="arial"/>
            <w:i/>
            <w:color w:val="0077CC"/>
            <w:sz w:val="20"/>
            <w:u w:val="single"/>
            <w:shd w:val="clear" w:color="auto" w:fill="FFFFFF"/>
            <w:lang w:val="en-US" w:eastAsia="en-US" w:bidi="ar-SA"/>
          </w:rPr>
          <w:t>S.O. 1992, c. 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Ontario Insurance Act, R.S.O., 1990, c. I.8, Statutory condition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408" w:history="1">
        <w:r>
          <w:rPr>
            <w:rFonts w:ascii="arial" w:eastAsia="arial" w:hAnsi="arial" w:cs="arial"/>
            <w:i/>
            <w:color w:val="0077CC"/>
            <w:sz w:val="20"/>
            <w:u w:val="single"/>
            <w:shd w:val="clear" w:color="auto" w:fill="FFFFFF"/>
            <w:lang w:val="en-US" w:eastAsia="en-US" w:bidi="ar-SA"/>
          </w:rPr>
          <w:t>R.S.B.C. 1996, c. 373, s. 1</w:t>
        </w:r>
      </w:hyperlink>
      <w:r>
        <w:rPr>
          <w:rFonts w:ascii="arial" w:eastAsia="arial" w:hAnsi="arial" w:cs="arial"/>
          <w:color w:val="000000"/>
          <w:sz w:val="20"/>
          <w:lang w:val="en-US" w:eastAsia="en-US" w:bidi="ar-SA"/>
        </w:rPr>
        <w:t>, s. 1(2), s. 1(3), s. 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9" w:name="Counsel_18"/>
      <w:bookmarkEnd w:id="1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2"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B.W. Lemer, R. Cooper, F.J. Schweitzer.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Manufacturers Life Insurance Company, Manulife Financial Corporation, Benesure Canada Inc., Broker Support Centre Inc. and Credit Security Insurance Agency: D.G. Cowper, Q.C., S. Irving, E. Morgan.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Davis + Henderson Limited Partnership: D.R. Byers, M. Walli, A. Crimeni.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John F. Lorriman S. Brearley.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18"/>
      <w:bookmarkEnd w:id="140"/>
      <w:r>
        <w:pict>
          <v:line id="_x0000_s1123"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J.D. TRUSCOTT J."/>
            <w:bookmarkEnd w:id="141"/>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apply for an order appointing both as representative plaintiffs and an order certifying this action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Section 4(1)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sets out five requirements before the court must certify the proceeding as a class proceeding. They are as follows:</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make the following claims in this action against the defendants.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allege that when the Defendant Benesure received a signed Mortgage Protection Plan (MPP) insurance application form from an applicant, and the medical evidence on the form seeking full life and disability insurance was not acceptable, Benesure would charge a higher premium or instead issue an accidental death and disability policy that was priced significantly higher than priced in the marketplace by other insurers for the same 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alleged this insurance assessment by Benesure was conducted by unlicensed employees of Benesure and was designed to result in what is referred to as Excessive Charges Practices, contrary to the alleged duty of the Defendant Manulife and Benesure to provide reasonably price products as required by the Code of Ethics of the Canadian Life and Health Insurance Association, and contrary to the MPP advertising that the insurance was reasonably priced. It is alleged to also be a breach of fiduciary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alleged Benesure required licensing under s. 59(2), 159 and 171 of the </w:t>
      </w:r>
      <w:r>
        <w:rPr>
          <w:rFonts w:ascii="arial" w:eastAsia="arial" w:hAnsi="arial" w:cs="arial"/>
          <w:i/>
          <w:color w:val="000000"/>
          <w:sz w:val="20"/>
          <w:lang w:val="en-US" w:eastAsia="en-US" w:bidi="ar-SA"/>
        </w:rPr>
        <w:t>Financial Institutions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c.141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to the knowledge of Benesure and Manulife, and its operations infringed s. 75 and 171(2)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alleged that Manulife and Benesure employed a deceptive form of mortgage insurance application which stated that the applicant could waive purchase of insurance when the form actually required the applicant to apply for other insurance products.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alleged to constitute the Deceptive Waiver Practice.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insurance applicant did not sign the insurance application at all or purported to waive coverage, they would subsequently receive a letter falsely stating that it was written by the applicant's insurance broker strongly recommending purchase of the insurance product, when the letter was actually drafted and sent by Benesure.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alleged to be the Safety Catch Letter.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alleged the Safety Catch letter also included statements misleading the applicant into thinking their personal information that had been provided for the benefit of their mortgage was being protected by their mortgage broker, when it had already been given to Benesure, and this constituted a breach by Benesure and Manulife of s. 177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which prohibits the making of any false or misleading statements or representations in the solicitation or negotiation of insurance, and also breached ss. 91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that requires a financial institution to clearly identify itself. It also was a breach of s. 1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alleged Benesure entered into a contract with the Defendant D+H for computer access to D+H's computer, for a flat monthly fee, so D+H's computer could send the applicant information to the Defendant Broker Support Centre (BSC) when an applicant made a mortgage application through D+H, and BSC or Benesure could then send the applicant mortgage information to the applicant's insurance broker as part of the MPP insurance application form, or have it sent to the broker through the D+H computer along with the mortgage commitment letter from the mortgage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alleged this was a disclosure of unauthorized private information of the applicant and was a breach of s. 1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by Benesure and Manulife, actionable without proof of damage.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alleged in conducting the Excessive Charges Practices, the Deceptive Waiver Practices and the Safety Catch Scheme, Manulife and Benesure were in breach of s. 52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R.S.C. 1995, c. C-34, in making false representations, and are liable to pay damages under s. 36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including the full costs of investigation, the costs of administration of the class plan, and the costs of determining damages for each member and distributing those damages.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against Mr. Lorriman as president and controlling mind of Benesure, it is alleged he breached s. 101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as well as s. 166 of the </w:t>
      </w:r>
      <w:r>
        <w:rPr>
          <w:rFonts w:ascii="arial" w:eastAsia="arial" w:hAnsi="arial" w:cs="arial"/>
          <w:i/>
          <w:color w:val="000000"/>
          <w:sz w:val="20"/>
          <w:lang w:val="en-US" w:eastAsia="en-US" w:bidi="ar-SA"/>
        </w:rPr>
        <w:t>Insurance Companies Act</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S.C. 1991, c. 47</w:t>
        </w:r>
      </w:hyperlink>
      <w:r>
        <w:rPr>
          <w:rFonts w:ascii="arial" w:eastAsia="arial" w:hAnsi="arial" w:cs="arial"/>
          <w:color w:val="000000"/>
          <w:sz w:val="20"/>
          <w:lang w:val="en-US" w:eastAsia="en-US" w:bidi="ar-SA"/>
        </w:rPr>
        <w:t xml:space="preserve">, which requires directors and officers to act honestly and in good faith, and is liable under s. 252(5)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submitted the defendants' conduct as set out herein of deceptive drafting and dissemination of the MPP waiver, knowingly setting up an insurance business designed to circumvent government regulation and supervision by a licensed insurer of their agents, obtaining private information they knew they were not entitled to possess, and impersonating mortgage brokers was high-handed, outrageous, reckless, deliberate, callous, and an intentional disregard of the rights and interests of the plaintiffs and the class members, rendering the defendants liable to pay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propose the class be made up of all BC residents who:</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Purchased the products, (being the life and disability products under the brand names of MPP and CSP).</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their personal information transmitted by D+H to Manulife and/or the Benesure Group; 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Received the Safety Catch Letter; or</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class as may be certified, excluding employees, officers and directors of the defendants or any entity affiliated with the defendants and their legal representatives, heirs, successors or assigns.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 evidence has been put before the court during this application that would indicate any insured of Manulife or Benesure, if it is an insurer, has been denied insurance for any insured loss claimed by that insured, even if any of the plaintiffs' allegations are found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"loss, damage and expense" the plaintiffs claim in their Amended Notice of Civil Claim are: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Excessive premiums and other charges paid to the defendants for the products to the extent they exceeded reasonable premiums and charges.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loss of bargain: the value of having insurance issued by a properly managed, properly licensed and regulated, and adequately reserved insurance company acting in good faith to its insureds.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 damages for breach of the </w:t>
      </w:r>
      <w:r>
        <w:rPr>
          <w:rFonts w:ascii="arial" w:eastAsia="arial" w:hAnsi="arial" w:cs="arial"/>
          <w:i/>
          <w:color w:val="000000"/>
          <w:sz w:val="20"/>
          <w:lang w:val="en-US" w:eastAsia="en-US" w:bidi="ar-SA"/>
        </w:rPr>
        <w:t>Privacy Act.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for high-handed outrageous conduct.</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 disgorgement of benefits and return of purchase price.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 and special damages or other remedies under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R.S.C., 1985, c. C-34 for breach s. 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restitutionary awards under the doctrine of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orders the plaintiffs seek are:</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certifying the proceeding as a class proceeding and appointing the plaintiffs as representative plaintiffs for the class and any appropriate subclass.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benefits which accrue to the defendants as a result of their wrongful conduct unjustly enriched the defendants.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the defendants hold in trust for the class the benefits which accrued to them as a result of their wrongful conduct.</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of the benefits which have accrued to the defendants as a result of their wrongful conduct.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Disgorgement of the benefits which accrued to the defendants as a result of their wrongful conduct.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and special damages.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 and special damages or other remedies under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administering and distributing a damage award.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Costs and interest under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Submissions of the Manulife and Benesure Group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These defendants submit that the claims for breaches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and ICA constitute no causes of action known to law because there is no tort of statutory breach under Canadian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addition, it is submitted there is no private cause of action for licensing contraventions as these are covered completely by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is submitted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contains almost 300 provisions that establish statutory duties, provides for their administration and governs their enforcement, gives significant powers to the regulators to ensure compliance with the obligations the statute creates and regulates the conduct of financial institutions such as Manulife in comprehensive and exhaustive detail, including provisions for enforcement and certain statutory rights of recovery where restitution may be ordered, but only following a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It is submitted that no regulator has sought to charge any of the defendants here with any offence under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for which any defendant has been convicted.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the Superintendent of Financial Institutions observed in the Settlement Agreement and Consent Order entered into between the Superintendent and Manulife and Benesure, the Superintendent "after investigation, is not aware of any harm to policyholders..."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It is submitted that any licensing compliance contraventions by Manulife has not affected its ability to maintain adequate reserves and its ability to provide insurance coverage where required, and therefore does not contravene the purpose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or cause any harm, loss or damages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It is submitted that while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does authorize private claims for damages under s.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 connection between the conduct that allegedly breached s. 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supporting a cause of action for damages under s. 36 is missing. It is submitted the plaintiffs have failed to plead any causal connection between the two which is fatal to their claim under s.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addition, it is submitted equitable damages are not authorized under s. 36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Wakelam v. Johnson &amp; Johnson,</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2014 BCCA 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The Court of Appeal said that recovery under s. 36 is limited to resulting damages with anti-harm or restitutionary remedies not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is submitted the claims for restitution, unjust enrichment, and waiver of tort, based on these statutory breaches, are not authorized on the authority of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Koubi v. Mazda Canada Inc</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2012 BCCA 310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which dealt specifically with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and found there was a clear intent of the legislature to provide an exhaustive code regulating consumer transactions and not augment the statutory remedy by permitting consumers to mount restitutionary actions.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extended that reasoning to the </w:t>
      </w:r>
      <w:r>
        <w:rPr>
          <w:rFonts w:ascii="arial" w:eastAsia="arial" w:hAnsi="arial" w:cs="arial"/>
          <w:i/>
          <w:color w:val="000000"/>
          <w:sz w:val="20"/>
          <w:lang w:val="en-US" w:eastAsia="en-US" w:bidi="ar-SA"/>
        </w:rPr>
        <w:t>Competition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to the plaintiffs' claim for breach of a duty of utmost good faith, while it is conceded a duty to act in good faith is owed by both insureds and insurers, it is submitted a duty of good faith on the part of an insurer is only owed with respect to the handling and settlement of insurance claims as opposed to an insurer's conduct prior to entering into an insurance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is submitted that it is the formation of the contract which creates the insurer's duty of utmost good faith as stated in the case of </w:t>
      </w:r>
      <w:r>
        <w:rPr>
          <w:rFonts w:ascii="arial" w:eastAsia="arial" w:hAnsi="arial" w:cs="arial"/>
          <w:i/>
          <w:color w:val="000000"/>
          <w:sz w:val="20"/>
          <w:lang w:val="en-US" w:eastAsia="en-US" w:bidi="ar-SA"/>
        </w:rPr>
        <w:t>Bustamante v. Guarantee Co. of North America</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2014 ONSC 6978</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submitted no preformation contractual duty of good faith by an insurer is known to law and the plaintiffs have failed to allege any failure of the defendants to act in accordance with their duty of utmost good faith owed in the performance of their 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It is submitted pleading that a fiduciary duty exists without more is "a conclusion of law that must be supported by the pleading of material facts" as stated in </w:t>
      </w:r>
      <w:r>
        <w:rPr>
          <w:rFonts w:ascii="arial" w:eastAsia="arial" w:hAnsi="arial" w:cs="arial"/>
          <w:i/>
          <w:color w:val="000000"/>
          <w:sz w:val="20"/>
          <w:lang w:val="en-US" w:eastAsia="en-US" w:bidi="ar-SA"/>
        </w:rPr>
        <w:t>Ladas v. Apple Inc</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2014 BCSC 1821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Ladas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submitted the plaintiffs have failed to plead that the defendants undertook to act with complete loyalty to the interests of the insured or proposed insured, relinquishing completely any self-interest.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submitted that whether there is a fiduciary relationship between Manulife or Benesure and a proposed or existing insured depends very much on the particular circumstances relating to that insured in terms of what representations were made to them and promises they received, what they relied on, and what were their individual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Support is stated to come from </w:t>
      </w:r>
      <w:r>
        <w:rPr>
          <w:rFonts w:ascii="arial" w:eastAsia="arial" w:hAnsi="arial" w:cs="arial"/>
          <w:i/>
          <w:color w:val="000000"/>
          <w:sz w:val="20"/>
          <w:lang w:val="en-US" w:eastAsia="en-US" w:bidi="ar-SA"/>
        </w:rPr>
        <w:t>Fridman Canadian Agency Law 1st Edition</w:t>
      </w:r>
      <w:r>
        <w:rPr>
          <w:rFonts w:ascii="arial" w:eastAsia="arial" w:hAnsi="arial" w:cs="arial"/>
          <w:color w:val="000000"/>
          <w:sz w:val="20"/>
          <w:lang w:val="en-US" w:eastAsia="en-US" w:bidi="ar-SA"/>
        </w:rPr>
        <w:t>, where it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arrive at the conclusion that there was an agency involves an intricate analysis of the facts to elucidate the correct nature of the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submitted there is no special relationship between insurance applicants and insurance agents that would give rise to a fiduciary duty and there is no allegation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submitted any inquiry into whether special circumstances existed so as to give rise to a fiduciary duty by an insurance agent would be individual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For the claim by the plaintiffs under s. 1 of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 xml:space="preserve"> it is submitted that simply pleading a breach of s. 1 of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 xml:space="preserve"> is not sufficient as it is simply conclusory without any facts pleaded to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Reliance is again placed upon the decision of this Court in </w:t>
      </w:r>
      <w:r>
        <w:rPr>
          <w:rFonts w:ascii="arial" w:eastAsia="arial" w:hAnsi="arial" w:cs="arial"/>
          <w:i/>
          <w:color w:val="000000"/>
          <w:sz w:val="20"/>
          <w:lang w:val="en-US" w:eastAsia="en-US" w:bidi="ar-SA"/>
        </w:rPr>
        <w:t>Ladas</w:t>
      </w:r>
      <w:r>
        <w:rPr>
          <w:rFonts w:ascii="arial" w:eastAsia="arial" w:hAnsi="arial" w:cs="arial"/>
          <w:color w:val="000000"/>
          <w:sz w:val="20"/>
          <w:lang w:val="en-US" w:eastAsia="en-US" w:bidi="ar-SA"/>
        </w:rPr>
        <w:t xml:space="preserve"> where Madam Justice Adair stated at para. 180 that resolution of the claim under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requires the court to look at the individual circumstances of the plaintiff and the proposed class member in order to make a determination of the issue on the merits. Reference was made there to another decision of </w:t>
      </w:r>
      <w:r>
        <w:rPr>
          <w:rFonts w:ascii="arial" w:eastAsia="arial" w:hAnsi="arial" w:cs="arial"/>
          <w:i/>
          <w:color w:val="000000"/>
          <w:sz w:val="20"/>
          <w:lang w:val="en-US" w:eastAsia="en-US" w:bidi="ar-SA"/>
        </w:rPr>
        <w:t>Douez v. Facebook, Inc.</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2014 BCSC 953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Douez</w:t>
      </w:r>
      <w:r>
        <w:rPr>
          <w:rFonts w:ascii="arial" w:eastAsia="arial" w:hAnsi="arial" w:cs="arial"/>
          <w:color w:val="000000"/>
          <w:sz w:val="20"/>
          <w:lang w:val="en-US" w:eastAsia="en-US" w:bidi="ar-SA"/>
        </w:rPr>
        <w:t xml:space="preserve">] where Madam Justice Griffin said that the subjective elements of reasonableness and context are relevant under ss. 1(2) and (3)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Reference in </w:t>
      </w:r>
      <w:r>
        <w:rPr>
          <w:rFonts w:ascii="arial" w:eastAsia="arial" w:hAnsi="arial" w:cs="arial"/>
          <w:i/>
          <w:color w:val="000000"/>
          <w:sz w:val="20"/>
          <w:lang w:val="en-US" w:eastAsia="en-US" w:bidi="ar-SA"/>
        </w:rPr>
        <w:t>Ladas</w:t>
      </w:r>
      <w:r>
        <w:rPr>
          <w:rFonts w:ascii="arial" w:eastAsia="arial" w:hAnsi="arial" w:cs="arial"/>
          <w:color w:val="000000"/>
          <w:sz w:val="20"/>
          <w:lang w:val="en-US" w:eastAsia="en-US" w:bidi="ar-SA"/>
        </w:rPr>
        <w:t xml:space="preserve"> was also made to a decision of the Court of Appeal in </w:t>
      </w:r>
      <w:r>
        <w:rPr>
          <w:rFonts w:ascii="arial" w:eastAsia="arial" w:hAnsi="arial" w:cs="arial"/>
          <w:i/>
          <w:color w:val="000000"/>
          <w:sz w:val="20"/>
          <w:lang w:val="en-US" w:eastAsia="en-US" w:bidi="ar-SA"/>
        </w:rPr>
        <w:t>Davis v. McArthur</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17 D.L.R. (3d) 760</w:t>
        </w:r>
      </w:hyperlink>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[1970] B.C.J. No. 664</w:t>
        </w:r>
      </w:hyperlink>
      <w:r>
        <w:rPr>
          <w:rFonts w:ascii="arial" w:eastAsia="arial" w:hAnsi="arial" w:cs="arial"/>
          <w:color w:val="000000"/>
          <w:sz w:val="20"/>
          <w:lang w:val="en-US" w:eastAsia="en-US" w:bidi="ar-SA"/>
        </w:rPr>
        <w:t xml:space="preserve"> (C.A.) where at para. 9 Mr. Justice Tysoe giving judgment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plain that whether there has been a violation of the privacy of another must be decided on the particular facts of each case. As the learned Judge below said in his reasons for judgment [</w:t>
      </w:r>
      <w:hyperlink r:id="rId416" w:history="1">
        <w:r>
          <w:rPr>
            <w:rFonts w:ascii="arial" w:eastAsia="arial" w:hAnsi="arial" w:cs="arial"/>
            <w:i/>
            <w:color w:val="0077CC"/>
            <w:sz w:val="20"/>
            <w:u w:val="single"/>
            <w:shd w:val="clear" w:color="auto" w:fill="FFFFFF"/>
            <w:lang w:val="en-US" w:eastAsia="en-US" w:bidi="ar-SA"/>
          </w:rPr>
          <w:t>10 D.L.R. (3d) 250</w:t>
        </w:r>
      </w:hyperlink>
      <w:r>
        <w:rPr>
          <w:rFonts w:ascii="arial" w:eastAsia="arial" w:hAnsi="arial" w:cs="arial"/>
          <w:color w:val="000000"/>
          <w:sz w:val="20"/>
          <w:lang w:val="en-US" w:eastAsia="en-US" w:bidi="ar-SA"/>
        </w:rPr>
        <w:t xml:space="preserve"> at p. 255, </w:t>
      </w:r>
      <w:hyperlink r:id="rId416" w:history="1">
        <w:r>
          <w:rPr>
            <w:rFonts w:ascii="arial" w:eastAsia="arial" w:hAnsi="arial" w:cs="arial"/>
            <w:i/>
            <w:color w:val="0077CC"/>
            <w:sz w:val="20"/>
            <w:u w:val="single"/>
            <w:shd w:val="clear" w:color="auto" w:fill="FFFFFF"/>
            <w:lang w:val="en-US" w:eastAsia="en-US" w:bidi="ar-SA"/>
          </w:rPr>
          <w:t>72 W.W.R. 69</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necessary to consider all of the circumstances before determining 'The nature and degree of privacy to which a person is entitled,' s.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Ladas</w:t>
      </w:r>
      <w:r>
        <w:rPr>
          <w:rFonts w:ascii="arial" w:eastAsia="arial" w:hAnsi="arial" w:cs="arial"/>
          <w:color w:val="000000"/>
          <w:sz w:val="20"/>
          <w:lang w:val="en-US" w:eastAsia="en-US" w:bidi="ar-SA"/>
        </w:rPr>
        <w:t xml:space="preserve"> it was determined that the plaintiff had not shown any basis in fact to conclude that reasonableness and context could be proved on a class 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Manulife and the Benesure Group concede that the causes of action for breach of contract are properly pleaded they submit the proposed common issues related to breach of contract are also individual in nature and lack a common basis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For the claims of negligent misrepresentation and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submitted that loss or damage are necessary elements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and with the plaintiffs having conceded in argument that actual loss was not suffered and they are only seeking nominal and punitive damages, it is submitted they have failed to advance a complete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Dealing specifically with the proposed common issues set out in the plaintiffs' Notice of Application filed December 2, 2013, these defendants submit that the licensing issues proposed as common issues 5 and 6 fail to advance the claim and garner any economies on a class wide basis, as whether or not an entity was licensed is a basic fact. It is submitted again that there is no private cause of action for breaching licensing provisions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 xml:space="preserve"> and there is no allegation of damages caused by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Under proposed common issues 7,8, 9, and 10 Manulife and Benesure point out that the plaintiffs have abandoned the claim for payment of a commission to D+H and whether payment to D+H and receipt by it contravenes s. 178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Similarly the claims against Tacamor have all been abandoned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the proposed common issue of Excessive Charges at number 11 and whether Benesure engaged in the excessive charge practices by offering the individually underwritten applicants a limited insurance policy at prices that grossly exceeded the price at which similar insurance could have been obtained elsewhere, Manulife and Benesure submit that the products are not "one size fits all" as prices are determined by a complicated personal underwriting process individual to each consumer. The actuarial assumptions underlying risk-related features which affect pricing changed over time, such that the same prices did not apply throughout the relevant time period. The measure of "excessiveness" is inherently individual since it is measured by what products each proposed class member could have obtained elsewhere and for what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 it is submitted that the risk-related factors are subject to an individual underwriter exercising his or her personal judgment and discretion about an applicant's eligibility. As an example the plaintiffs' expert noted an instance where Manulife disagreed in an audit with Benesure declining life coverage for an individual with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submitted that even the plaintiffs agree it is an individual issue by proposing that the common issue refer to "individually underwritten applicants". If each applicant is individually underwritten how can there be any commonality in the prices they are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it is submitted on this issue that the plaintiffs have failed to adduce any basis in fact that the prices charged are excessive, class wide or otherwise. There is no class wide methodology as each class member is charged a unique price and the alternative coverage is equally unique. There is no basis in fact provided that there is another product on the market which has the same combination of features as MPP AD&amp;D and which is uniformly available to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Proposed common issue number 12 is whether Manulife and the Benesure Group engaged in the Deceptive Waiver Practices by having the class members execute the MPP waiver that appears to be a means to record whether they apply for or waive purchase of the products when in fact the MPP waiver constitutes an application for any insurance products offered by Benesure that are not specifically waived by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Manulife and Benesure point out that this wording is not neutral but in any event the MPP application forms changed over time and no one form was used class wide over the proposed class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submitted that to answer the question as to whether any particular form was misleading to an applicant would require putting the particular MPP application form in its contextual matrix with inquiries of each proposed applicant's individual understandings and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also no evidence that anyone was actually ever deceived by the MPP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Proposed common issue number 13 is whether the defendants made the following false representations to the plaintiffs and other class members:</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Benesure Group and each of them and their representatives are licensed by the appropriate authorities to undertake the business of insurance and insurance agency, enter into contracts of insurance to market, sell and administer the products and that they have consumer protection afforded by regulation of insurance companies and agents;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products were specifically recommended by the class members' own insurance mortgage broker through the Safety Catch Scheme;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products and underlying insurance were provided by Manulife;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products were reasonably priced and preferable to term life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Manulife and Benesure respond that there are no standard form representations on which the plaintiffs rely relating to pricing. It is an inherently individual issue and depends upon various different documents and oral representations received by the proposed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Any such representations would need to be put in their proper context with other individual representations, including oral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submitted the plaintiffs and class members will be required to prove reliance on the alleged representation when each proposed applicant may have received different documents and acted on those documents and representations based on their own individual circumstances. There is no core common representations the plaintiffs have pointed to which the entire class have received other than the MPP application form which was used for some class members, but not all, and the Safety Catch Letter, which also changed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Each proposed class member will have to indicate what specific provision of these documents they allege were deceptive or false that they relied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submitted there is no basis in fact of a common issue relating to the Safety Catch Program. Those letters were sent by BSC on behalf of the broker pursuant to the terms of the MPP Application and Administration Agreement between Benesure, BSC, Manulife and brokers, and on the direction of the brokers.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To the extent it might be suggested there was a misapprehension as to who actually sent these letters, it is submitted again that every class member would have to indicate if it was a misapprehension to them and this demonstrates a lack of commonality.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Proposed common issues numbers 14-16 are:</w:t>
      </w:r>
      <w:r>
        <w:rPr>
          <w:rFonts w:ascii="arial" w:eastAsia="arial" w:hAnsi="arial" w:cs="arial"/>
          <w:sz w:val="20"/>
          <w:lang w:val="en-US" w:eastAsia="en-US" w:bidi="ar-SA"/>
        </w:rPr>
        <w:cr/>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Lorriman owed a duty of care to the plaintiffs and other class members.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he breached his duty of care by personally directing, authorizing, permitting or acquiescing in the unlicensed selling of insurance to class members, the Safety Catch Scheme, the Excessive Charge Practices, the Deceptive Waiver, and the Representations.</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he contravened s. 101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and s. 166 of the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 xml:space="preserve"> as a director and officer of Benesure and the Benesure Group by failing to act honestly and in good faith and failing to take into account the interests of policy 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Lorriman concedes that the pleading at para. 54 of the Amended Notice of Civil Claim discloses a cause of action against him in his capacity as a director of Benesure but he submits he is only a former director of Benesure Canada and there is no basis to conclude he was a director and officer of the Benesure Group as 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He submits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has no application to him because s. 101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is aimed at a director/officer of a financial institution which is defined as a credit union, trust company or insurance company and Benesure Canada is none of these.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He also submits that s. 166(1) of the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 xml:space="preserve"> is aimed at the director/officer of an insurance company and "company" is defined as a body corporate in s. 13(1) of the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 xml:space="preserve"> which also does not apply to Benesure as Benesure was and is not a licensed insurer so the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 xml:space="preserve"> has no application to him as a director at any time of Benesure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also submits the representative plaintiffs have failed to demonstrate a class of two or more persons with causes of action to unite and pursue in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He submits this requirement is established by the decision in </w:t>
      </w:r>
      <w:r>
        <w:rPr>
          <w:rFonts w:ascii="arial" w:eastAsia="arial" w:hAnsi="arial" w:cs="arial"/>
          <w:i/>
          <w:color w:val="000000"/>
          <w:sz w:val="20"/>
          <w:lang w:val="en-US" w:eastAsia="en-US" w:bidi="ar-SA"/>
        </w:rPr>
        <w:t>Sun-Rype Products Ltd. v. Archer Daniels Midland Company</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2013 SCC 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He submits there are no demonstrated privacy breaches, no evidence of any plaintiff relying on a public representation that would engage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and no indication of a class of persons with causes of action in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or breach of fiduciary duty within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submits all these actions require proof of damage to succeed and it is submitted there can be no evidence of loss of value in having insurance coverage and therefore no allegations of damage against him as a director or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Mr. Lorriman submits that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in s. 52 prohibits a person from knowingly or recklessly making a representation to the public that is false or misleading in a material respect and he submits that the plaintiffs' evidence does not demonstrate the foundation for a class of persons who assert loss or damage resulting from a false or misleading representation. Neither proposed representative plaintiff deposes to seeing or relying on any public representation. Ms. Ranniger only complains of privacy issues and not of any public representation. Ms. Leonard was sold a policy over the phone and does not mention any reliance on any representation in that interview or in any public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He submits the plaintiffs' evidence does not provide any basis in fact to conclude a class of two or more persons suffered loss or damage within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from a public representation nor have the plaintiffs shown a class of two or more persons who have had their privacy violated "willfully and without a claim of right" as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 xml:space="preserve"> requires, as both representative plaintiffs signed consents to disclosure of their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With respect to the Safety Catch Letters sent, Mr. Lorriman points as well to the MPP Administration Agreement and submits conduct is only negligent if it creates an objectively unreasonable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submits there is no basis in these letters to conclude that they created any unreasonable risk of harm to any person. Rather the letters counsel prudence by encouraging people to get insurance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Neither proposed representative plaintiff gives any evidence of reliance on a Safety Catch Letter and without reliance there can be no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affidavit of Tamara Pierson does not indicate that she relied on anything and the affidavit of Kirsty Baker does not say anything about the insurance she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Finally Mr. Lorriman relies upon all the arguments made by Manulife and Benesure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Proposed common issues numbers 17 and 18 are: whether the Defendants owed a duty of care to the Plaintiffs and other class members to provide accurate information about the products, the application process and the entities offering and administering the products and whether the Representations, and representations made as part of the Deceptive Waiver Practices and Safety Catch Scheme were false, misleading and deceptive.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submitted by Manulife and Benesure that these proposed common issues are ancillary to and dependent upon the core common issues related to licensing, pricing, privacy and false representations. Answering these questions it is submitted will not meaningfully advance the litigation or garner any economies on a class 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again submitted there are no standard representations on which the plaintiffs could rely as this is an inherently individual issue and depends upon the various different documents and oral representations received by each of the proposed class members and what each class member relied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vast majority of applicants engaged in individual meetings with different mortgage brokers who may have consulted licensed life insurance agents for insurance advice. In fact the current version of one of the MPP brochures encourages consumers to do so. Whether an individual did or did not consult with other third parties is an individual specific inquiry and will impact the existence of duty which is an individual and not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McKenna v. Gammon Gold Inc.</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2010 ONSC 1591</w:t>
        </w:r>
      </w:hyperlink>
      <w:r>
        <w:rPr>
          <w:rFonts w:ascii="arial" w:eastAsia="arial" w:hAnsi="arial" w:cs="arial"/>
          <w:color w:val="000000"/>
          <w:sz w:val="20"/>
          <w:lang w:val="en-US" w:eastAsia="en-US" w:bidi="ar-SA"/>
        </w:rPr>
        <w:t xml:space="preserve"> it was determined that a suitable claim for certification did not exist based on multiple representations made in various forms to the class members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inability to determine the defendants' liability without individual inquiries as to reliance makes the proceeding unsuitable for certification in relation to the negligent misrepresentation claim. (para. 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Manulife and Benesure also cite the case of </w:t>
      </w:r>
      <w:r>
        <w:rPr>
          <w:rFonts w:ascii="arial" w:eastAsia="arial" w:hAnsi="arial" w:cs="arial"/>
          <w:i/>
          <w:color w:val="000000"/>
          <w:sz w:val="20"/>
          <w:lang w:val="en-US" w:eastAsia="en-US" w:bidi="ar-SA"/>
        </w:rPr>
        <w:t>Williams v. Mutual Life Assurance Co. of Canada</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[2000] O.J. No. 3821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where representative plaintiffs brought motions for certification as a class proceeding and the result turned on representations alleged to have been made to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It was held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that whether an actionable representation was made to an individual client required evidence as to any oral representations, written illustrations and written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There was also involved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an issue as to whether the prospective insured reasonably relied upon any representation, considering all the circumstances, and it was found that evidence would have to be given with respect to individual representations as to the significance as understood by the particular applicant in the decision to purchase a policy, as to whether any reliance was reasonable in all the relevant circumstances of that individual and within the context of any disclaimer stated, and whether there was information from others that the applicant relied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any event damages are a necessary element of the tort of negligent misrepresentation and the plaintiffs conceded actual damages are not being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Proposed common issues 19 and 20 deal with claims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Whether Manulife and the Benesure Group contravened section 52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in making, or alternatively, permitting the Representations, the Deceptive Waiver Practices, the Excessive Charge Practices and the Safety Catch Scheme and If so are the defendants liable to pay damages and indemnify the plaintiffs and other class members pursuant to section 36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It was said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that no cause of action could be proven with respect to a breach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unless each claimant established that he or she relied upon the representation in issue and the representation caused the loss claimed. The fact of a common cause of action does not in itself give rise to a common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common issue cannot be dependent upon findings of fact that have to be made with respect to each individual claimant. While the theories of liability can be phrased commonly the actual determination of liability for each class member can only be made upon an examination of the unique circumstances with respect to each class member's purchase of a policy.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Manulife and Benesure submit that this issue is dependent again upon core common issues relating to licensing, pricing, privacy and false representations which are not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Again it is submitted this is an inherently individual issue and depends on the various different documents and oral representations received by the proposed class members. Reliance on any representation is inherently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Proposed common issues 21 and 22 deal with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Whether Manulife and Benesure owed a duty of care to the plaintiffs and the other class members and If so, whether Manulife and the Benesure Group breached the duty of care by contravening ss. 91, 93 and 101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 xml:space="preserve"> by making the Representations, conducting the Benesure operations and engaging in the Deceptive Waiver Practices, Excessive Charge Practices and Safety Catch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Once again it is submitted this issue is ancillary to and dependent upon the issues relating to licensing, pricing, privacy and false representations and answering this question would not meaningfully advance the litigation or garner any economies on a class wide basis. The existence of a duty of care depends upon the circumstances of each class member which are unique to each class member and varied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Proposed common issues 23 and 24 deal with Illegal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Whether the contracts formed between the Benesure Group and the plaintiffs and other class members pursuant to the marketing, administration and underwriting of the products are void and unenforceable by reason of illegality.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alternative, if the contracts formed for the products are not void and unenforceable by reason of illegality, whether it was an express or implied term of the insurance contracts that Manulife and the Benesure Group would provide secure, government-regulated and licensed insurance contracts sold and administered by licensed individuals and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Manulife and Benesure respond that the contract was group creditor insurance between Manulife as the insurer and the mortgage broker such that the broker could not negotiate amendments to the group creditor policy in communications with individual insureds.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question of contractual interpretation and the underlying factual matrix is a fundamentally individual question, in particular regarding implied terms which depend on the unique factual matrix for each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Proposed common issues 25-29 deal with the issue of Restitution.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Whether the defendants were enriched by the plaintiffs and other class members through receipt of premiums and other profits attributable to the products (the unlawful gains).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Whether the plaintiffs and other class members suffered a corresponding deprivation in paying premiums and other charges for the products to Manulife and the Benesure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Whether there is any juristic reason for the enrichment of Manulife and Benesure.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Whether class members are entitled to restitution in the amount of the unlawful gains and the defendants are constituted as constructive trustees in favour of the class members for all the unlawful gains.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Whether the plaintiffs and other class members are entitled, if they so elect, to a restitutionary award of the benefits which accrued to the defendants as a result of the wrongful conduct based on the doctrine of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Manulife and Benesure submit these are ancillary issues dependent upon the issues relating to licensing, pricing, privacy and false representations, that determining whether there has been an enrichment is minimally helpful in moving the litigation forward given that there is no controversy that Manulife received premiums and the question of juristic reason is individual in nature, that calculating unlawful gains cannot be determined on a class wide basis as an analysis of the substance of each proposed class members' certificate of insurance would be required in order to determine whether the defendants were enriched and the class members suffered a corresponding deprivation in paying premiums for the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Proposed common issues 33 and 35 deal with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Whether the defendants have contravened section 1 of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 xml:space="preserve"> by unlawfully obtaining the private information and using that information to solicit class members to purchase the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Whether Manulife and Benesure paid D+H to obtain the personal information of the plaintiffs and other class members and to send applications through the Safety Catch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Manulife and Benesure submit that the question of whether they breached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 xml:space="preserve"> is inherently individual in nature and depends on the individual class member's consent to the disclosure of their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Inquiries would need to be made of each class member to assess whether they signed a consent or otherwise implicitly consented to a disclosure of their personal information to their mortgage broker and to other third parties. Inquiries would also need to be made to each individual mortgage broker to determine what was said and to whom about the products and about the use which would be made of the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It is submitted there is no basis in the evidence that there has been any breach of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 xml:space="preserve"> given that both representative plaintiffs, as well as Ms. Baker and Miss Pierson, consented to the disclosure of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Consent is a complete defence to this allegation and whether consent was obtained is an individual question regarding each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answer to the allegation will also depend upon whether Manulife and Benesure acted "without a claim of right" so that the subjective elements of reasonableness and context are also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Ladas</w:t>
      </w:r>
      <w:r>
        <w:rPr>
          <w:rFonts w:ascii="arial" w:eastAsia="arial" w:hAnsi="arial" w:cs="arial"/>
          <w:color w:val="000000"/>
          <w:sz w:val="20"/>
          <w:lang w:val="en-US" w:eastAsia="en-US" w:bidi="ar-SA"/>
        </w:rPr>
        <w:t xml:space="preserve"> is cited once again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It is submitted the issue of paying D+H to obtain personal information is ancillary and dependent upon the core issues relating to privacy and a resolution of this issue does not advance the plaintiff's claim sufficiently to justify a class proceeding since the payment for data is marginal to the alleged breach of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any event it is submitted payment for data is not a unique feature of the contract between D+H and Manulife/Benesure since outsourcing functions regarding processing personal information is common throughout the insurance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real issue in any such claim is the individual's consent to disclosure and this is not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D+H responds that it only owns mortgage origination software that is used by others for mortgages and related products and had no dealings whatsoever with the plaintiffs or any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is submitted the master agreement between D+H and the national brokerage houses requires those brokerage houses to cause their affiliates to obtain consents to the use of personal information through the computer system with D+H.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 xml:space="preserve"> is countered by s. 2 which allows for consents and it is submitted by D+H that would require inquiries of thousands of brokers and customers as to their expectations of privacy and their consents to transfer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is submitted that if these concerns are vitiated for any reason it is submitted that this again is an individual issue for each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is submitted when a broker who is set up on the D+H computer system to offer MPP products submits a mortgage application through D+H, D+H transfers that data to only BSC to enable it to generate an application for MPP insurance products on behalf of the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MPP broker is sent the MPP insurance application form by BSC through the D+H computer system once the MPP broker receives a commitment letter from a mortgage lender.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broker then presents the insurance application and mortgage commitment letter to the insurance applicant so the applicant can apply for or waive the mortgage insurance in connection with obtaining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submitted D+H has no role in the authorization, preparation or transmission of the safety catch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D+H submits vague conclusory allegations are insufficient as against it, as set out in the Amended Notice of Civil Claim, so there is no reasonable claim identified against D+H for breach of section 1 of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D+H submits that the plaintiffs must establish that there is a properly defined identifiable class of persons and it must be properly defined temporally.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An issue will only be common when its resolution is necessary to the resolution of each class member's claim so these claims must share a substantial common ingredient to justify a class action, relying upon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Reliance is also placed on the case of </w:t>
      </w:r>
      <w:r>
        <w:rPr>
          <w:rFonts w:ascii="arial" w:eastAsia="arial" w:hAnsi="arial" w:cs="arial"/>
          <w:i/>
          <w:color w:val="000000"/>
          <w:sz w:val="20"/>
          <w:lang w:val="en-US" w:eastAsia="en-US" w:bidi="ar-SA"/>
        </w:rPr>
        <w:t>Ladas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It is also submitted that if a client did not expressly consent to the transfer of their personal information to mortgage insurers but told the broker they wanted mortgage creditor insurance, the broker may have acted reasonably in transferring the personal information to mortgage insurers through D+H without violating section 1 of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It is submitted the plaintiffs have the onus of establishing that certifying the action is the preferable procedure for the fair and efficient resolution of the common issues, relying upon </w:t>
      </w:r>
      <w:r>
        <w:rPr>
          <w:rFonts w:ascii="arial" w:eastAsia="arial" w:hAnsi="arial" w:cs="arial"/>
          <w:i/>
          <w:color w:val="000000"/>
          <w:sz w:val="20"/>
          <w:lang w:val="en-US" w:eastAsia="en-US" w:bidi="ar-SA"/>
        </w:rPr>
        <w:t>AIC Limited v. Fischer</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2013 SCC 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As the Court said in </w:t>
      </w:r>
      <w:r>
        <w:rPr>
          <w:rFonts w:ascii="arial" w:eastAsia="arial" w:hAnsi="arial" w:cs="arial"/>
          <w:i/>
          <w:color w:val="000000"/>
          <w:sz w:val="20"/>
          <w:lang w:val="en-US" w:eastAsia="en-US" w:bidi="ar-SA"/>
        </w:rPr>
        <w:t>Tiemstra v. Insurance Corp. of British Columbia</w:t>
      </w:r>
      <w:r>
        <w:rPr>
          <w:rFonts w:ascii="arial" w:eastAsia="arial" w:hAnsi="arial" w:cs="arial"/>
          <w:color w:val="000000"/>
          <w:sz w:val="20"/>
          <w:lang w:val="en-US" w:eastAsia="en-US" w:bidi="ar-SA"/>
        </w:rPr>
        <w:t>, 1997 B.C.J. No. 1628, class actions can potentially become monsters of complexity and cost where there is no point in pursuing a complicated procedure for little or no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Finally it is submitted the plaintiffs have failed to satisfy s. 4(1)(e)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because their litigation plan is manifestly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Proposed common issues 39 and 40 deal with the Duty of Utmost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Whether Manulife and the Benesure Group owed the plaintiffs and the other class members a duty to conduct themselves in the steps leading up to an insurance contract, and to perform their obligation under the insurance contracts with the plaintiffs and other class members, in utmost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If so, whether Manulife and the Benesure Group have breached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Again Manulife and Benesure submit the duty of utmost good faith relates to the insurer's performance of the insurance contract and if so, whether they breached that duty, not in the lead up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plaintiffs have failed to plead any instance of the defendants not performing the contract with the utmost good faith and in any event the principle could only apply to those proposed class members who received a certificate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Once again it is submitted this issue is ancillary to and dependent upon the issues of licensing, pricing, privacy and false representations and answering this issue itself will not meaningfully advance the litigation or garner any economies on a class 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Proposed common issue 41 deals with damages and Restitution.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For each incidence of unlawful or unauthorized conduct particularized above, on what principles are the damages or restitutionary claims of the plaintiffs and other class members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Manulife/Benesure submit the plaintiffs have failed to propose a workable methodology to assess damages on a class wide basis such that individual assessments will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Moreover it is submitted the plaintiffs have failed to adduce any evidence as to the damages suffered by any of the proposed class members. The question asked is so broad as to be completely abstract and useless and is too vague to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reply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Excessive Charges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plaintiffs dispute that the charges for AD&amp;D insurance coverage in the marketplace are individual to each insured depending on the individual characteristics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They submit the defendants have not countered Mr. Narine's evidence that insurance products are priced by insurance companies based on actuarial evidence applied to the specific features of each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It is submitted AD&amp;D insurance coverage does not require individual underwriting based on medical history. Actuarial adjustments can take into account different insurance features which do not involve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It is pointed out Mr. Narine opines that even Manulife has another product that is less expensive and superior to the AD&amp;D insurance products afforded by Benesure.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common representation as individual inquiries of brokers and their clients will be needed to determine the representation, if any, made to each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plaintiffs respond that a common representation is clients were purchasing a Manulife policy and the representation was made on the MPP website that "disability insurance is very attractively priced", and Manulife's duty under the CLHIA Code of Ethics was to provide reasonably priced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It is submitted there were standardized AD&amp;D insurance policies produced by Benesure with a number of common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addition, it is submitted the fact that the Manulife AD&amp;D policy was not reasonably priced was not disclosed until much later so it is unlikely that an insurance broker would have had any discussion with his or her client on the relative pricing of Manulife's AD&amp;D policy in comparison to a competitor's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any event, the plaintiffs submit a standard chart of Manulife AD&amp;D coverage does exist that forms the basis for premium calculation. This chart is at Appendix A of Exhibit D of the affidavit of Mr. Bissonnette, which is a 2007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Any variations in premiums there might be from 2007-2009 can be determined, it is submitted, through simple mathematical calculations using information in the files of Manulife and Benesure.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Regardless, the plaintiffs knew what they were being charged for AD&amp;D coverage by Benesure/Manulife and so it can be determined using competitor's AD&amp;D coverages whether the class members were overcharged.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Finally the plaintiffs submit it was Manulife's duty, and not their duty, to get evidence from mortgage brokers of information they may have provided to their clients in addition to the application forms.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common issue on privacy breaches because the mortgage applicants signed consent forms to convey their private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plaintiffs submit many brokers had no relationship with MPP, Benesure or Manulife initially, but only came to have such a relationship when their clients' mortgage information was given to D+H to be passed on to mortgage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plaintiffs question how any consent forms originally signed by them for their brokers can be considered to have been for the benefit of BSC, Benesure and Manulife, when their mortgage brokers had no contractual relationship with those companies and their private information was not intended to go to those entities about whom the clients knew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insurance brokers were told BSC was a separate company working only for them and their client's private information went to Manulife only after their mortgage insurance application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plaintiffs question that if the private information went to BSC and Benesure prior to any mortgage insurance application being completed, how could any consent the clients signed and given to the broker be considered as a consent for anyone other than BSC?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There is no evidence that the issue of the Benesure Group being unlicensed is an issue common to the proposed class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plaintiffs respond that there is ample evidence that the Benesure Group was unlicensed so it is a common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MPP application form has changed materially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plaintiffs respond that the documents are all of the same import throughout the class and any changes that Manulife says were made, being terms that were set out in full or only incorporated by reference, the number or type of health questions, and where on the form the client could waive coverage or apply for coverage, are irrelevant changes to the issues that are involved in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Manulife/Benesure product changed over time such that a duty of care cannot be determined on a class 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plaintiffs respond that no individual inquiries have to be made to determine whether Manulife owed a duty of care as that must be accepted by the relationship with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role of advisors and the knowledge of the class members goes to the issue of reliance by the clients and not to the duty to warn and the standard on which it should be measured.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If there was a change in the duty of care over time, it is submitted that this does not prevent certification as the court can differentiate between class members and time periods when determining a breach of a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FIA</w:t>
      </w:r>
      <w:r>
        <w:rPr>
          <w:rFonts w:ascii="arial" w:eastAsia="arial" w:hAnsi="arial" w:cs="arial"/>
          <w:b/>
          <w:color w:val="000000"/>
          <w:sz w:val="20"/>
          <w:lang w:val="en-US" w:eastAsia="en-US" w:bidi="ar-SA"/>
        </w:rPr>
        <w:t xml:space="preserve"> covers the field in terms of remedies and it is preferable to leave the enforcement with FICOM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plaintiffs respond that s. 254 of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says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Remedies preserved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Subject to section 253.2, [which deals with a person on whom a penalty has been imposed and pays the penalty] a proceeding, conviction or penalty for an offence under this Act does not relieve a person from any other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It is submitted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does not provide for compensation to consumers unlike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so it is not a complete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addition, there is no evidence that FICOM has investigated, taken any action or will take action on any aspects of the claims, and in any event it has no jurisdiction over privacy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There is no pre-contractual duty of good faith imposed on an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plaintiffs respond that in the case of </w:t>
      </w:r>
      <w:r>
        <w:rPr>
          <w:rFonts w:ascii="arial" w:eastAsia="arial" w:hAnsi="arial" w:cs="arial"/>
          <w:i/>
          <w:color w:val="000000"/>
          <w:sz w:val="20"/>
          <w:lang w:val="en-US" w:eastAsia="en-US" w:bidi="ar-SA"/>
        </w:rPr>
        <w:t>DeKoning v. Vector Insurance Network (Ontario) Ltd.,</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[2009] I.L.R. I-4881</w:t>
        </w:r>
      </w:hyperlink>
      <w:r>
        <w:rPr>
          <w:rFonts w:ascii="arial" w:eastAsia="arial" w:hAnsi="arial" w:cs="arial"/>
          <w:color w:val="000000"/>
          <w:sz w:val="20"/>
          <w:lang w:val="en-US" w:eastAsia="en-US" w:bidi="ar-SA"/>
        </w:rPr>
        <w:t xml:space="preserve"> (O.S.C.), the Court imposed a duty on an insurer to inquire of an applicant if it had concerns about matters going to insurability.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Under its duty of good faith, the insurer had a duty to disclose what it considered material in an application and the consequences of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plaintiffs submit the duty of good faith and fair dealing between insurer and insured is not settled, citing </w:t>
      </w:r>
      <w:r>
        <w:rPr>
          <w:rFonts w:ascii="arial" w:eastAsia="arial" w:hAnsi="arial" w:cs="arial"/>
          <w:i/>
          <w:color w:val="000000"/>
          <w:sz w:val="20"/>
          <w:lang w:val="en-US" w:eastAsia="en-US" w:bidi="ar-SA"/>
        </w:rPr>
        <w:t>Kang v. Sun Life Assurance Co. of Canada</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2013 ONCA 118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any event, the plaintiffs submit the breach of good faith on the part of Manulife/Benesure occurred after the applicants were initially issued full life and disability policies and then were switched to AD&amp;D policies when they supplied medical information on their application forms, so they already had an enforceable insurance policy for their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addition, it is submitted the complaint that the AD&amp;D policy was overpriced and that constituted a lack of good faith on the part of the insurer is a claim on the existence of the policy and not a claim prior to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plaintiffs say that the Benesure Group would not have sold any of the AD&amp;D products but for its unlawful conduct. It is submitted this is a common issue and similar claims have resulted in certification in other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evidence of any methodology for proving damages on a class wide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plaintiffs respond that damages for a privacy breach, nominal and punitive damages, and restoration, can clearly be determined on a common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overcharge for AD&amp;D coverage does require individual calculations based on a comparison between what clients were charged for this coverage by Manulife/Benesure compared with what they would have been charged for a competitor's product, including Manulife's other comparable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It is submitted the calculation of the overcharge is a relatively simple calculation in itself. No expert evidence is necessary to prove the means by which an aggregate assessment of damages can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It is submitted the plaintiffs only need to "provide some basis in fact to think that there is some method to do so". (</w:t>
      </w:r>
      <w:r>
        <w:rPr>
          <w:rFonts w:ascii="arial" w:eastAsia="arial" w:hAnsi="arial" w:cs="arial"/>
          <w:i/>
          <w:color w:val="000000"/>
          <w:sz w:val="20"/>
          <w:lang w:val="en-US" w:eastAsia="en-US" w:bidi="ar-SA"/>
        </w:rPr>
        <w:t>AIC Limited v. Fischer</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2013 SCC 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Chief Justice McLachlin, in delivering the judgment of the Court said this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discussed at some length in Western Canadian Shopping Centres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[2001] 2 S.C.R. 534</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class actions provide three important advantages over a multiplicity of individual suits. First, by aggregating similar individual actions, class actions serve judicial economy by avoiding unnecessary duplication in fact-finding and legal analysis. Second, by distributing fixed litigation costs amongst a large number of class members, class actions improve access to justice by making economical the prosecution of claims that any one class member would find too costly to prosecute on his or her own. Third, class actions serve efficiency and justice by ensuring that actual and potential wrongdoers modify their behaviour to take full account of the harm they are causing, or might cause,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Here the Amended Notice of Civil Claim filed November 21, 2014 states in para. 21 that the action is brought on behalf of all British Columbia residents who:</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purchased the Products; or</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their personal information transmitted by Davis and Henderson to Manulife and/or the Benesure Group; or</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received the safety catch letter; or</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class as may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"Products" in the pleading, at para. 3, are stated to be "defined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Paragraph 15 of the pleading states that "MPP offers life and disability insurance products under the brand names "Mortgage Protection Plan" and "Credit Security Plan" (the "MPP Product and CSP Product" respectively and the "Products" collectively).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This is the only place in the entire pleading where I am able to find any description of the products that could possibly constitute a definition of "Products" as was referred to in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As there is no indication of the "Credit Security Plan" and "CSP product" being involved in the evidence before me anywhere, I will focus on the "Mortgage Protection Plan" and the "MPP product" being the relevant product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proposed class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reader will observe that there is no proposed starting date for the class and no proposed ending date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my opinion it is far too uncertain a proposed class to simply refer to "all British Columbia residents" who purchased the products, or had their personal information transmitted, or received the safety catch letter, without more, as that does not indicate any defined period at all for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To leave it as described may leave many class members already out of time to sue, and to not specify an end date for the class is to suggest that anyone in the future at a time may add in as a class member if they meet the requirements set out in para. 21 of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am not prepared to certify this class proceeding on the basis proposed without a start date and an end date proposed for the class composition.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Deceptive waiver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agree with the defence that is necessary to examine individual class members on whether they were in fact deceived by the wording of their mortgage insurance application which allowed them to waive the purchase of insurance and suggested they were required to apply for other offered insurance products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On the makeup of that particular application form there is room for disagreement on whether a person would be deceived or not and accordingly it is necessary to examine each of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According to Mr. Thompson, VP of sales and client relationships with Manulife, this form, which is described as the MPP waiver at paragraph 51 of the Amended Notice of Civil Claim, is not the present form in use. According to his evidence the present form is at Exhibit G of his affidavit #1 and it does not carry the same words. It says "If I agree to any alternative coverage offered", leaving it to the applicant to decide on his or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Other forms set out by Mr. Thompson at exhibits H, J and K do not include this potential offending language as the plaintiffs allege at paragraph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Accordingly there is not just one application form to consider and it is necessary for each class member to indicate which form they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result of this may very well be that the class number for this issue is so small as to make a class proceeding over this issue a non-preferable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Any explanation of the document any insurance broker or mortgage broker may have given to an applicant will be another issue if the broker's explanation to the applicant, as provided by the applicant, is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Again that will only become clear as each applicant is answering what they understood from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decline to certify this issue for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w:t>
      </w:r>
      <w:r>
        <w:rPr>
          <w:rFonts w:ascii="arial" w:eastAsia="arial" w:hAnsi="arial" w:cs="arial"/>
          <w:b/>
          <w:i/>
          <w:color w:val="000000"/>
          <w:sz w:val="20"/>
          <w:u w:val="single"/>
          <w:lang w:val="en-US" w:eastAsia="en-US" w:bidi="ar-SA"/>
        </w:rPr>
        <w:t>Privacy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the mortgage application form that Ms. Leonard signed she agreed that "information given in the mortgage application form as well as other information you (the broker) obtained in relation to my credit history may be disclosed to potential mortgage lenders, mortgage insurers (such as Manulife), other service providers (such as Benesure or BSC), organizations providing technological or other support services (such as D+H) required and in relation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consent form she also signed as set out at para. 218 of these reasons is even more sweeping its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consent form and mortgage application form signed by Ms. Ranniger contains much the same consents.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It is my view and my conclusion it is of no consequence if some mortgage brokers initially had no relationship with any of the defendants. These consents signed by Ms. Leonard and Ms. Ranniger are still binding on them for the benefit of the entities they have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expect that most if not all mortgage application forms signed by the class members include much the same consents for the use of their information in the application forms or in separate consent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accept the defence submission that violation of privacy must be decided on the particular facts of each case, on consideration of all the circumstances of the nature and degree of privacy a person is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 agree with the defence that the consents signed by Ms. Leonard and Ms. Ranniger answer the claim of a breach of s. 1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I decline to certify this issue for a class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Safety Catch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Thompson says in his affidavit #1 that the mortgage brokers who dealt with the mortgage protection plan agreed to sign MPP administration agreements at Exhibit B of his affidavit and he says by agreeing to that administrative agreement a mortgage broker also agreed to comply with the terms and conditions of the data processing and administrative services established by BSC which are at Exhibit D of his affidavit and which authorize BSC to communicate with mortgage applicants on behalf of the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Safety catch letters exhibited by Mr. Thompson indicate that Manulife was also signing the letters. The fact that others than BSC were actually signing the letter demonstrates that the letter changed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decline to certify this issue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Excessive Charges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accept the defendants' submissions that the AD&amp;D insurance coverage from Manulife includes aspects that depend on the individual characteristics of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recognize that the plaintiffs point to the chart at Appendix A of Exhibit D of Mr. Bissonnette's affidavit as a chart prepared by or on behalf of Manulife that is used to determine rates. I also recognize that Mr. Narine says insurance products are priced based on actuarial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However, the chart is a 2007 edition only and it does not deter me from concluding that insurance rates always involve a consideration of an applicant's personal characteristics.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Thompson says in his Affidavit #1 that MPP premiums charged are individually tailored based on the applicant's unique circumstances as well as other factors such as health history, smoker status and amount of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decline to certify this issue as I am satisfied it will involve the individual evidence of the class members as to their characteristics.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Section 4(1)(e)(i) A representative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Leonard says in her affidavit, sworn November 27, 2013, that she engaged a mortgage broker, David Docksteader, to assist in obtaining a mortgage, and she obtained through him a mortgage from Home Trust Company. She does not recall applying for mortgage life insurance at the time that she obtained her mortgage. However, she says if it had been offered to her she says she would not have declined coverage because it was her belief that mortgage insurance was not an option and was required by the lender.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She says at some point while she was in the process of applying for the mortgage she received a telephone call from someone offering to sell her mortgage life insurance. She says she does not remember the name of the person she spoke to nor whether she was told on whose behalf they were calling.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She says she was told in this call that in order to qualify for mortgage life insurance she needed to go through an interview and answer a number of questions related to her health and she agreed to the interview which took place during this telephone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One of the questions she was asked in the interview was whether she had ever had any illness or disease that had not been discussed already in the interview. She responded that she had been diagnosed with gestational diabetes during her third pregnancy but the condition resolved itself within a few days of giving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At the conclusion of the interview she says she was told because she had been diagnosed with gestational diabetes she did not qualify for mortgage life insurance and could only qualify for a much more limited form of accidental death insurance, being coverage limited to death arising solely from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She says she was surprised by this but she agreed to accept this limited form of accidental death insurance coverage because of her belief mortgage insurance was required by the lender.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She says it did not seem right to her that she was disqualified from receiving mortgage life insurance because she had gestational diabetes for a short period of time, but she decided she would accept the coverage offered because she thought she had to and would later shop around for more favourable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She says that a short time later she received in the mail a letter from the Mortgage Protection Plan ("MPP") confirming the coverage she had purchased and it was not until she received this package that she became aware the insurance coverage she had purchased was offered by MPP.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She says she never carefully read the MPP policy when she received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She says that several months after she purchased the accidental death insurance from MPP she was able to obtain mortgage life insurance from a different insurer and she cancelled the MPP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She considers the MPP policy to have been expensive compared to what was available to her in the market for similar coverage and she accepts the responsibility of fairly and reasonably representing the interests of all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Thompson deposes by affidavit sworn May 8, 2014 that he is an officer of the defendant Manufacturers Life Insurance Company (Manulife) and acts as its vice president of sales and client relationships. He says he is also the president of Benesure Canada Inc. ("Benesure"), Broker Support Centre Inc. ("BSC") and Credit Security Insurance Agency Inc. ("CSIA") (all the Benesure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He produces an unofficial transcript of the telephone interview with Ms. Leonard. In that transcript, a person phoning says she is calling from MPP and when Ms. Leonard asks which mortgage company she is calling from the person replies "same old Mortgage Protection Plan I am calling from, through Manulife".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She informs Ms. Leonard that her banking information is not on file as at that time Ms. Leonard had not submitted any premium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She asks Ms. Leonard a number of medical questions and part way through the interview she asks Ms. Leonard whether she has ever had diabetes or been told she has impaired glucose tolerance or impaired fasting glucose. Ms. Leonard answers that she had diabetes, gestational diabetes when she was pregnant with her last child and that would have been 12 years prior almost.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Ms. Leonard is told that she is being offered mortgage protection. However, it is emphasized because of gestational diabetes, the life insurance is only going to cover her for accidental death. When Ms. Leonard says that is very questionable and she does not know that she likes that very much, she is told that there is a 60-day money back guarantee, and if she cancels within 60 days she will get back what she paid in. After that she can cancel within a year but will not get any money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When she is told if she cancels within 60 days she will get back what she had paid in, she says "Okay, yup, that's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They discuss what Ms. Leonard's premiums would be and Ms. Leonard is told that she will get her certificate in the mail telling her what her coverage is and if she has any questions she can give the person a call back. She is also told that her premium will be reduced by 50% to reflect the different type of coverage she is obtaining.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Thompson also produces with his affidavit a "client agreement" executed by Ms. Leonard on June 16, 2009 with Mr. Docksteader at Dominion Lending Centres. In the client agreement Ms. Leonard agrees to "hereby authorize you to disclose to any lender, credit bureau, insurer, insurance agent or other person involved in a transaction such personal and financial information concerning us as you consider appropriate", together with a release from any claims and damages or otherwise in connection with any use of her personal information, and an indemnity from any claims for damages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addition, on the mortgage application form itself, Ms. Leonard signed below the heading "Consent Form" in which she agreed: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I/we also understand, acknowledge and agree that the information given in the mortgage application form as well as other information you obtain in relation to my credit history may be disclosed to potential mortgage lenders, mortgage insurers, other service providers, organizations providing technological or other support services required in relation to this application and any other parties with whom I/we propose to have a financial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the Consent Form Ms. Leonard further acknowledges and agrees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potential mortgage lender, mortgage insurer or service provider to whom you provide the mortgage application and/or my/our personal information is permitted to receive such application and information and maintain records relating to me/us and my/our mortgage application and to hold, use, communicate and disclose personal information about me/us, including my/our Social Insurance Number (SIN) if I/we provide it, and collect personal information from me/us, you and from third persons, including credit bureaux, credit reporting and collection agencies, financial institutions, my/our past and present employers, creditors and tenants, my/our spouse or any other person who has information about me/us for the purposes of recording, evaluating and responding to my/our application for mortgage financing or related activities and I/we specifically consent to the release and disclosure of personal information by such persons to and among you and each potential mortgage lender, mortgage insurer or other service provider.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 Ranniger deposes by affidavit sworn November 29, 2013 that in the fall of 2012 she and her husband were shopping for a mortgage for their residence and they engaged a mortgage broker, DLC Valley Financial Specialists ("DLC").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She says on October 23, 2012, she received a mortgage commitment from First National Financial LP for her and her husband and among the documents provided with the mortgage commitment was an application for mortgage life insurance offered by Credit Security Plan. This application was presented to them when they signed the mortgage commitment and the mortgage broker advised that she was required to offer mortgage life insurance to them as part of the mortgage package and asked whether they would accept or decline this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Ms. Ranniger says they declined the insurance coverage and subsequently received a letter of January 15, 2013 stated to be from the mortgage company confirming she did not apply for the mortgage life insurance and therefore her mortgage was not insured under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letter went on to say that the mortgage company believed she should consider the implications of waiving her rights to this protection, and to be sure that she did not miss the opportunity an additional application and details about the plan from the Manufacturers Life Insurance Company was enclosed.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Ms. Ranniger also refers to a letter of January 10, 2013 from the mortgage broker pointing out that she had not applied for the insurance coverage for her mortgage and saying "whether you use our mortgage protection plan option, or arrange for protection through your own life insurance agent, we encourage you to arrange some form of protection. Without it, you risk the loss of your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An application form was enclosed along with a brochure with more information about the MPP.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Ms. Ranniger says she contacted the mortgage broker after receiving his letter and was informed that the letter of January 10, 2013 was not in fact sent by the broker or DLC but was generated and sent by MPP using information from a software program known as Filogix. She never says she applied for mortgage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Ms. Ranniger says in her affidavit that she and her husband did not at any time agree or consent to allow Credit Security Plan or Mortgage Protection Plan access to their personal information for the purpose of trying to sell them insurance, production of applications, or for any other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Mr. Thompson in his affidavit produces a "client consent" signed by Ms. Ranniger on October 2, 2012 in favour of Dominion Lending Centres authorizing it to obtain and share confidential mortgage information on behalf of her and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client Consent Form included a clause that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I/we hereby consent to the disclosure of my/our personal and credit information to any credit reporting agency, financial institution, legal firm, title insurance company, mortgage insurance company, as well as DLC Commercial Capital Inc. and Filogix Inc. or any other corporation directly involved in the mortgage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Ms. Ranniger also signed the mortgage application form which included a clause that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I/we also understand that the information given in the application form as well as other information you obtain in relation to my credit history may be disclosed in writing, including fax, email, or other electronic transmission with potential lenders, financial and remediary and mortgage insurers, organizations providing technological or other support services required in relation to this application and any other parties with whom I/We propose to have a financial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I/we further understand that any potential lender, financial and remediary, or any other of the aforementioned parties to whom this information is forwarded may obtain my/our credit report and I/we hereby authorize those parties to do so. I/we confirm that I/we read and understand the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Mr. Thompson in his affidavit points out that at the time of his affidavit of May 8, 2014. Ms. Ranniger was the operations manager for BGS, a competitor of Benesure, one of the defendants, and BGS issues a competing mortgage insurance protection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original Notice of Civil Claim was filed on February 20, 2013 naming Ms. Ranniger as one of the proposed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Mr. Thompson points out in his affidavit that neither proposed representative plaintiff has a current MPP certificate with Manufacturers Life Insurance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defendants submit that both proposed representative plaintiffs are unsuitable to be representatives of the class because neither is a current mortgage insurance policy holder, both sought in the original Notice of Civil Claim to obtain an order of the court voiding as illegal the policies of all the policyholders in circumstances where there was no evidence that mortgage insurance for anyone had ever been dishonoured, and neither proposed representative has a valid privacy claim because of the consents they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proposed representative plaintiffs submit their mortgage brokers never had any relationship with any of the defendants and in those circumstances these consents signed by them cannot be considered true consents for the benefit of the defendants. I have already rejected this submission as a reason to reject the consents as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Section 2(4)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certify a person who is not a member of the class as the representative plaintiff for the class proceeding only if it is necessary to do so in order to avoid a substantial injustice to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There is no evidence before me that it is necessary for a person who is not a member of the class to be appointed in order to avoid a substantial injustice to the class, and I received no submissions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plaintiff Leonard cancelled her MPP policy several months after obtaining it, presumably in 2009, and the plaintiff Ranniger says she declined the insurance coverage offered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At the time of Mr. Thompson's affidavit of May 8, 2014 Ms. Ranniger was the operations manager of a competitor of Benesure, one of the defendants in this action and she has never applied for MPP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For all of the reasons set out in paras. 209-232, I decline to qualify both of them as appropriate representatives because I do not consider either would fairly and adequately represent the interests of the class by vigorously prosecuting the action. Since this is one of the requirements for certification, certification is denied for this reason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At this point, I confirm that the plaintiffs have agreed to withdraw the claim against Tacamor Holdings Inc., withdraw any claims of civil conspiracy and constructive trust, and withdraw any claims for commission paid to D+H, and any claims under the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Accordingly, all these claims are to be removed from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Section 4(1)(d) A class proceeding as the preferable procedure</w:t>
      </w:r>
      <w:r>
        <w:rPr>
          <w:rFonts w:ascii="arial" w:eastAsia="arial" w:hAnsi="arial" w:cs="arial"/>
          <w:sz w:val="20"/>
          <w:lang w:val="en-US" w:eastAsia="en-US" w:bidi="ar-SA"/>
        </w:rPr>
        <w:cr/>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AIC Limited v. Fischer</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2013 SCC 69</w:t>
        </w:r>
      </w:hyperlink>
      <w:r>
        <w:rPr>
          <w:rFonts w:ascii="arial" w:eastAsia="arial" w:hAnsi="arial" w:cs="arial"/>
          <w:color w:val="000000"/>
          <w:sz w:val="20"/>
          <w:lang w:val="en-US" w:eastAsia="en-US" w:bidi="ar-SA"/>
        </w:rPr>
        <w:t xml:space="preserve"> the Court dealt with this issue as one requirement of the </w:t>
      </w:r>
      <w:r>
        <w:rPr>
          <w:rFonts w:ascii="arial" w:eastAsia="arial" w:hAnsi="arial" w:cs="arial"/>
          <w:i/>
          <w:color w:val="000000"/>
          <w:sz w:val="20"/>
          <w:lang w:val="en-US" w:eastAsia="en-US" w:bidi="ar-SA"/>
        </w:rPr>
        <w:t>Ontario Class Proceedings Act</w:t>
      </w:r>
      <w:r>
        <w:rPr>
          <w:rFonts w:ascii="arial" w:eastAsia="arial" w:hAnsi="arial" w:cs="arial"/>
          <w:color w:val="000000"/>
          <w:sz w:val="20"/>
          <w:lang w:val="en-US" w:eastAsia="en-US" w:bidi="ar-SA"/>
        </w:rPr>
        <w:t xml:space="preserve">, 1992, </w:t>
      </w:r>
      <w:hyperlink r:id="rId407" w:history="1">
        <w:r>
          <w:rPr>
            <w:rFonts w:ascii="arial" w:eastAsia="arial" w:hAnsi="arial" w:cs="arial"/>
            <w:i/>
            <w:color w:val="0077CC"/>
            <w:sz w:val="20"/>
            <w:u w:val="single"/>
            <w:shd w:val="clear" w:color="auto" w:fill="FFFFFF"/>
            <w:lang w:val="en-US" w:eastAsia="en-US" w:bidi="ar-SA"/>
          </w:rPr>
          <w:t>S.O. 1992, c. 6</w:t>
        </w:r>
      </w:hyperlink>
      <w:r>
        <w:rPr>
          <w:rFonts w:ascii="arial" w:eastAsia="arial" w:hAnsi="arial" w:cs="arial"/>
          <w:color w:val="000000"/>
          <w:sz w:val="20"/>
          <w:lang w:val="en-US" w:eastAsia="en-US" w:bidi="ar-SA"/>
        </w:rPr>
        <w:t>.</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is the same requirement as the British Columbia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sets out as s. 4(1)(d) of the requirements for certification of the proceeding as a class proceeding.</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AIC Limited v. Fischer</w:t>
      </w:r>
      <w:r>
        <w:rPr>
          <w:rFonts w:ascii="arial" w:eastAsia="arial" w:hAnsi="arial" w:cs="arial"/>
          <w:color w:val="000000"/>
          <w:sz w:val="20"/>
          <w:lang w:val="en-US" w:eastAsia="en-US" w:bidi="ar-SA"/>
        </w:rPr>
        <w:t>, Justice Cromwell, delivering judgment of the Court, said at para.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common ground that to assess whether the class action would be preferable to any other alternative method of resolving the class members' claims, the court compares the competing possibilities through the lens of the goals of behaviour modification, judicial economy and access to justice, bearing in mind, of course, that the ultimate question is whether the statutory requirement of preferability has been established.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This is a comparative exercise. The court has to consider the extent to which the proposed class action may achieve the three goals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but the ultimate question is whether other available means of resolving the claim are preferable, not if a class action would fully achieve those goals.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35:</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motions court must identify alternatives to the proposed class proceedings. As McLachlin C.J. held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"the preferability analysis requires the court to look to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reasonably available means of resolving the class members' claims, and not just at the possibility of individual actions": para. 31 (emphasis added). Here, the court considers both other potential court procedures (such as joinder, test cases, consolidation and so on: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at para. 28) and non-court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other cases, for example where there is no viable litigation alternative to a class action, the non-litigation means of redress will have to be considered on its own as a potential alternative to the class action: see e.g. </w:t>
      </w:r>
      <w:r>
        <w:rPr>
          <w:rFonts w:ascii="arial" w:eastAsia="arial" w:hAnsi="arial" w:cs="arial"/>
          <w:i/>
          <w:color w:val="000000"/>
          <w:sz w:val="20"/>
          <w:lang w:val="en-US" w:eastAsia="en-US" w:bidi="ar-SA"/>
        </w:rPr>
        <w:t>Halabi v. Becker Milk Co.</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(1998), 39 O.R. (3d) 153</w:t>
        </w:r>
      </w:hyperlink>
      <w:r>
        <w:rPr>
          <w:rFonts w:ascii="arial" w:eastAsia="arial" w:hAnsi="arial" w:cs="arial"/>
          <w:color w:val="000000"/>
          <w:sz w:val="20"/>
          <w:lang w:val="en-US" w:eastAsia="en-US" w:bidi="ar-SA"/>
        </w:rPr>
        <w:t xml:space="preserve"> (Gen. Div.).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Once the alternative or alternatives to class proceedings have been identified, the court must assess the extent to which they address the access to justice barriers that exist in the circumstances of the particular case. The court should consider both the substantive and procedural aspects of access to justice recognizing that court procedures do not necessarily set the gold standard for fair and effective dispute resolution processes. The question is whether the alternative has the potential to provide effective redress for the substance of the plaintiffs' claims and to do so in a manner that accords suitable procedural rights.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In the settlement agreement and consent order entered into by Manulife and Benesure with the Superintendent as of February 28, 2014, the Superintendent noted contraventions of ss. 75, 91, 176, 178 and 208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)I and ordered administrative penalties to be paid under s. 253.1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costs under s. 241.1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These same sections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(except for s. 208) are cited by the proposed plaintiffs in their Amended Notice of Civil Claim of November 21, 2014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The Claim also cites ss. 59, 93, 94, 101, 159, 171(2), 177 and 180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These additional sections cited by the plaintiffs in their Claim all deal with the legal authorization to carry on business, misleading or deceptive contracts and false or misleading representations in the solicitation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The plaintiffs also cite s. 101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ss. 166 and 1028 of the </w:t>
      </w:r>
      <w:r>
        <w:rPr>
          <w:rFonts w:ascii="arial" w:eastAsia="arial" w:hAnsi="arial" w:cs="arial"/>
          <w:i/>
          <w:color w:val="000000"/>
          <w:sz w:val="20"/>
          <w:lang w:val="en-US" w:eastAsia="en-US" w:bidi="ar-SA"/>
        </w:rPr>
        <w:t>Insurance Companies Act</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S.C. 1991, c. 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 dealing with officers and directors duties and liabilities as they may pertain to the defendant Lorriman.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Most of the sections in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are included in s. 252(2)(a) and (b) as constituting offences and all are administrative issues to be enforced by FICOM, or the Superintendent or the Insurance Council under the </w:t>
      </w:r>
      <w:r>
        <w:rPr>
          <w:rFonts w:ascii="arial" w:eastAsia="arial" w:hAnsi="arial" w:cs="arial"/>
          <w:i/>
          <w:color w:val="000000"/>
          <w:sz w:val="20"/>
          <w:lang w:val="en-US" w:eastAsia="en-US" w:bidi="ar-SA"/>
        </w:rPr>
        <w:t>FIA.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However, before considering this issue of preferable procedure, I point out that in the plaintiff's written submissions they say at para. 130: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class members do not claim individualized compensatory damages (except for the excessive charge for accidental insurance) and instead claim nominal and punitive damages to recognize that they got less than they should have when they purchased MPP and CSP.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plaintiffs follow that up with examples of nominal damages in the order of $500-$1000 and punitive damages of up to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By comparison, the penalties authorized to be imposed under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can far exceed these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By way of example, in the settlement agreement and consent order, the Superintendent ordered each of Manulife Financial Corporation, Manufacturers Life Insurance Company and Benesure Canada Inc. to pay an administrative penalty of $50,000 for a total of $150,000 plus costs jointly of $31,151.92.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I can think of no reason why FICOM or the Superintendent or the Insurance Council could not enforce any additional provisions of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 xml:space="preserve"> set out in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The Superintendent authorized to enforce the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 xml:space="preserve"> is the same Superintendent of Financial Institutions for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It is my conclusion that the preferable procedure for the fair and efficient resolution of any common issues in the plaintiffs' claim is to leave it to the authorities under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 xml:space="preserve"> to enforce the provisions of those </w:t>
      </w:r>
      <w:r>
        <w:rPr>
          <w:rFonts w:ascii="arial" w:eastAsia="arial" w:hAnsi="arial" w:cs="arial"/>
          <w:i/>
          <w:color w:val="000000"/>
          <w:sz w:val="20"/>
          <w:lang w:val="en-US" w:eastAsia="en-US" w:bidi="ar-SA"/>
        </w:rPr>
        <w:t>Acts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Civil claims under the </w:t>
      </w:r>
      <w:r>
        <w:rPr>
          <w:rFonts w:ascii="arial" w:eastAsia="arial" w:hAnsi="arial" w:cs="arial"/>
          <w:b/>
          <w:i/>
          <w:color w:val="000000"/>
          <w:sz w:val="20"/>
          <w:u w:val="single"/>
          <w:lang w:val="en-US" w:eastAsia="en-US" w:bidi="ar-SA"/>
        </w:rPr>
        <w:t>FIA</w:t>
      </w:r>
      <w:r>
        <w:rPr>
          <w:rFonts w:ascii="arial" w:eastAsia="arial" w:hAnsi="arial" w:cs="arial"/>
          <w:b/>
          <w:color w:val="000000"/>
          <w:sz w:val="20"/>
          <w:u w:val="single"/>
          <w:lang w:val="en-US" w:eastAsia="en-US" w:bidi="ar-SA"/>
        </w:rPr>
        <w:t xml:space="preserve"> and </w:t>
      </w:r>
      <w:r>
        <w:rPr>
          <w:rFonts w:ascii="arial" w:eastAsia="arial" w:hAnsi="arial" w:cs="arial"/>
          <w:b/>
          <w:i/>
          <w:color w:val="000000"/>
          <w:sz w:val="20"/>
          <w:u w:val="single"/>
          <w:lang w:val="en-US" w:eastAsia="en-US" w:bidi="ar-SA"/>
        </w:rPr>
        <w:t>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I turn now to the issue as to whether those statutes are all encompassing in setting out the penalties for breaches of the </w:t>
      </w:r>
      <w:r>
        <w:rPr>
          <w:rFonts w:ascii="arial" w:eastAsia="arial" w:hAnsi="arial" w:cs="arial"/>
          <w:i/>
          <w:color w:val="000000"/>
          <w:sz w:val="20"/>
          <w:lang w:val="en-US" w:eastAsia="en-US" w:bidi="ar-SA"/>
        </w:rPr>
        <w:t>Acts</w:t>
      </w:r>
      <w:r>
        <w:rPr>
          <w:rFonts w:ascii="arial" w:eastAsia="arial" w:hAnsi="arial" w:cs="arial"/>
          <w:color w:val="000000"/>
          <w:sz w:val="20"/>
          <w:lang w:val="en-US" w:eastAsia="en-US" w:bidi="ar-SA"/>
        </w:rPr>
        <w:t>, and do not authorize any individual civil claims to be brought for breach of their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has close to 300 provisions in it. I have not found any provision that gives any right to an individual to bring a private claim for breach of any provision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 xml:space="preserve"> also has no provisions authorizing a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Plaintiffs' counsel submits that because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provide for compensation to consumers, unlike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it is not a complete code so consumers must be able to sue for breaches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I am unable to accept this proposition. In my view, if an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allow for individual claims, no individual claims can be brought for breach of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Canada v. Saskatchewan Wheat Pool</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is an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Plaintiff's counsel cites only s. 254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is reproduced at para. 151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I assume this section is being cited to support the submission that "any other liability" can be a liability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I am also unable to accept this proposition. In my view it is a provision designed to ensure that a person subject to a proceeding, conviction or penalty for an offence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consider that this is necessarily an end to any troubles for him or her. "Relieve a person from any other liability" in my opinion is applicable to a liability outside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rather than within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If it is meant to apply to a liability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 would surely point to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set up that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It is my conclusion that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 xml:space="preserve"> offer no rights to an individual to bring private claims for the breach of any of their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All of the provisions in the </w:t>
      </w:r>
      <w:r>
        <w:rPr>
          <w:rFonts w:ascii="arial" w:eastAsia="arial" w:hAnsi="arial" w:cs="arial"/>
          <w:i/>
          <w:color w:val="000000"/>
          <w:sz w:val="20"/>
          <w:lang w:val="en-US" w:eastAsia="en-US" w:bidi="ar-SA"/>
        </w:rPr>
        <w:t>FIA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ICA</w:t>
      </w:r>
      <w:r>
        <w:rPr>
          <w:rFonts w:ascii="arial" w:eastAsia="arial" w:hAnsi="arial" w:cs="arial"/>
          <w:color w:val="000000"/>
          <w:sz w:val="20"/>
          <w:lang w:val="en-US" w:eastAsia="en-US" w:bidi="ar-SA"/>
        </w:rPr>
        <w:t xml:space="preserve"> are regulatory provisions that are to be enforced by the Financial Insurance Commission (FICOM) or the Superintendent of Financial Institutions or the Insurance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Miscellaneous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Equitable remedies under s. 36 of the </w:t>
      </w:r>
      <w:r>
        <w:rPr>
          <w:rFonts w:ascii="arial" w:eastAsia="arial" w:hAnsi="arial" w:cs="arial"/>
          <w:b/>
          <w:i/>
          <w:color w:val="000000"/>
          <w:sz w:val="20"/>
          <w:lang w:val="en-US" w:eastAsia="en-US" w:bidi="ar-SA"/>
        </w:rPr>
        <w:t>Competition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The defendants rely on the decisions of the Court of Appeal in </w:t>
      </w:r>
      <w:r>
        <w:rPr>
          <w:rFonts w:ascii="arial" w:eastAsia="arial" w:hAnsi="arial" w:cs="arial"/>
          <w:i/>
          <w:color w:val="000000"/>
          <w:sz w:val="20"/>
          <w:lang w:val="en-US" w:eastAsia="en-US" w:bidi="ar-SA"/>
        </w:rPr>
        <w:t>Koubi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for the submission that equitable remedies cannot be recovered under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As a matter of law all allegations in a pleading must be allowed to proceed unless it is plain and obvious they cannot succeed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xml:space="preserve">  It is so that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did conclude that the certification judge erred in finding the pleading disclosed a cause of action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for which a court might grant restitutionary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Fairhurst v. Anglo American PLC</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2014 BCSC 2270</w:t>
        </w:r>
      </w:hyperlink>
      <w:r>
        <w:rPr>
          <w:rFonts w:ascii="arial" w:eastAsia="arial" w:hAnsi="arial" w:cs="arial"/>
          <w:color w:val="000000"/>
          <w:sz w:val="20"/>
          <w:lang w:val="en-US" w:eastAsia="en-US" w:bidi="ar-SA"/>
        </w:rPr>
        <w:t xml:space="preserve">, following after the </w:t>
      </w:r>
      <w:r>
        <w:rPr>
          <w:rFonts w:ascii="arial" w:eastAsia="arial" w:hAnsi="arial" w:cs="arial"/>
          <w:i/>
          <w:color w:val="000000"/>
          <w:sz w:val="20"/>
          <w:lang w:val="en-US" w:eastAsia="en-US" w:bidi="ar-SA"/>
        </w:rPr>
        <w:t>Wakelam</w:t>
      </w:r>
      <w:r>
        <w:rPr>
          <w:rFonts w:ascii="arial" w:eastAsia="arial" w:hAnsi="arial" w:cs="arial"/>
          <w:color w:val="000000"/>
          <w:sz w:val="20"/>
          <w:lang w:val="en-US" w:eastAsia="en-US" w:bidi="ar-SA"/>
        </w:rPr>
        <w:t xml:space="preserve"> decision in the Court of Appeal, Madam Justice Brown concluded the plaintiff's claim for restitution, to the extent they were based on breaches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were not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Accordingly, I also conclude that equitable damages cannot be recovered under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addition, the principles of unjust enrichment, corresponding deprivation and juristic reason cannot be applicable for the recovery of reasonable insurance premiums paid for insurance coverage, as the premium paid is consideration for the insurance coverage purchased, being the juristic reason for the premium.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of good faith on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The plaintiffs cite the decision of DeKoning v. Vector Insurance Network (Ontario) Ltd. DeKoning and Bryan v. Vector Insurance Network (Ontario) Limited (formerly Vector Insurance Brokers Limited) and Wawanesa Mutual Insurance Company, </w:t>
      </w:r>
      <w:hyperlink r:id="rId421" w:history="1">
        <w:r>
          <w:rPr>
            <w:rFonts w:ascii="arial" w:eastAsia="arial" w:hAnsi="arial" w:cs="arial"/>
            <w:i/>
            <w:color w:val="0077CC"/>
            <w:sz w:val="20"/>
            <w:u w:val="single"/>
            <w:shd w:val="clear" w:color="auto" w:fill="FFFFFF"/>
            <w:lang w:val="en-US" w:eastAsia="en-US" w:bidi="ar-SA"/>
          </w:rPr>
          <w:t>[2009] I.L.R. I-4881</w:t>
        </w:r>
      </w:hyperlink>
      <w:r>
        <w:rPr>
          <w:rFonts w:ascii="arial" w:eastAsia="arial" w:hAnsi="arial" w:cs="arial"/>
          <w:color w:val="000000"/>
          <w:sz w:val="20"/>
          <w:lang w:val="en-US" w:eastAsia="en-US" w:bidi="ar-SA"/>
        </w:rPr>
        <w:t xml:space="preserve"> for the submission that the duty of good faith on the insurer applies at a time prior to the existence of the insurance policy as well as to the insurer's performance of 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In my opinion, this case is clearly distinguishable on the issue of when an insurer must exercise the principle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DeKoning</w:t>
      </w:r>
      <w:r>
        <w:rPr>
          <w:rFonts w:ascii="arial" w:eastAsia="arial" w:hAnsi="arial" w:cs="arial"/>
          <w:color w:val="000000"/>
          <w:sz w:val="20"/>
          <w:lang w:val="en-US" w:eastAsia="en-US" w:bidi="ar-SA"/>
        </w:rPr>
        <w:t xml:space="preserve"> case, prior to renewal of a motor vehicle policy in June 2002, which is considered by law to be a new contract, the plaintiff had added her grandson as an occasional driver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At the time the insurer did a motor vehicle registry search before accepting the grandson as an insured, but thereafter did no further motor vehicle registry searches on the renewal of the policy in June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grandson had five traffic offences on his record after being added as an insured in 2001, prior to renewal of the policy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issue became whether the plaintiff was the one that had the ongoing duty to inform the insurer of her grandson's driving record or whether it was the insurer that had the ongoing duty to inquire of the grandson's driving record if it considered it was material to the assessment of the risk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Statutory condition 1 of the </w:t>
      </w:r>
      <w:r>
        <w:rPr>
          <w:rFonts w:ascii="arial" w:eastAsia="arial" w:hAnsi="arial" w:cs="arial"/>
          <w:i/>
          <w:color w:val="000000"/>
          <w:sz w:val="20"/>
          <w:lang w:val="en-US" w:eastAsia="en-US" w:bidi="ar-SA"/>
        </w:rPr>
        <w:t>Ontario Insurance Act</w:t>
      </w:r>
      <w:r>
        <w:rPr>
          <w:rFonts w:ascii="arial" w:eastAsia="arial" w:hAnsi="arial" w:cs="arial"/>
          <w:color w:val="000000"/>
          <w:sz w:val="20"/>
          <w:lang w:val="en-US" w:eastAsia="en-US" w:bidi="ar-SA"/>
        </w:rPr>
        <w:t>, R.S.O, 1990, c. I.8 dealt with the issue of requiring of disclosure of material facts where the insured had knowledge of changes material to the risk or the facts came within a certain category of changes set out in statutory condition 1 as deemed a material to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It was determined by the Court that none of the category of changes in the statutory condition 1 related in any way to the driving record of the grandson and the Court said at para. 70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slippery slope in these circumstances to enter upon the extent and degree to which a driving record of minor offences and a demerit point suspension should be deemed a material change in the risk to a prudent insurer in the absence of evidence of any interest in the subject by the insurer informed of the higher risk driver it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It was determined that it was the insurer that had the duty to inquire of the grandson's driving record because it had the knowledge of the grandson's age, limited license and lack of experience when he was added as an insured prior to renewal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There is no discussion in this case of that being a duty of good faith on the insurer prior to the issuance of the insurance policy. It was simply a circumstance in which the court found that it was the duty on the prudent insurer to make the inquiry itself when the Court found there to be no reason why the grandparent should have known this to be a material change in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In my opinion, this case does not support the plaintiffs' proposition that the insurer's duty of good faith precedes the issuance of an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application for certification and appointment of the plaintiffs as appropriate representative plaintiffs,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4"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Michael G. Armstrong Law Corp. v. Turner, [2015] B.C.J. No. 2496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 Baker (Sitting as Registrar)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10, September 2, October 7 and November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S156004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2496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2126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3367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G. Armstrong Law Corporation, Solicitor, and Erin Turner, Client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5"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2" w:name="Keywords_19"/>
      <w:bookmarkEnd w:id="142"/>
      <w:r>
        <w:rPr>
          <w:rFonts w:ascii="arial" w:eastAsia="arial" w:hAnsi="arial" w:cs="arial"/>
          <w:b/>
          <w:color w:val="000000"/>
          <w:sz w:val="20"/>
          <w:lang w:val="en-US" w:eastAsia="en-US" w:bidi="ar-SA"/>
        </w:rPr>
        <w:t>Legal profession — Barristers and solicitors — Retention of counsel — Retainer — Compensation — Measure of compensation — Respecting unsuccessful or unnecessary services — Taxation or assessment of accounts — Application by solicitor for review of his account of $5,426 billed to client allowed in part — Client retained solicitor to provide advice after being faced with time-limited offer in her motor vehicle accident claim and concerns about her original counsel's tactics and disbursements — Solicitor sent six-page accident analysis to client — Time spent by solicitor on accident analysis went far beyond and involved far more detail than client required or expected — Solicitor was not entitled to charge for time spent after receiving client's stop work direction — Appropriate fee for solicitor's work was $1,100.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Remuneration — Billing — Overbilling — Professions — Legal — Barristers and solicitors — Application by solicitor for review of his account of $5,426 billed to client allowed in part — Client retained solicitor to provide advice after being faced with time-limited offer in her motor vehicle accident claim and concerns about her original counsel's tactics and disbursements — Solicitor sent six-page accident analysis to client — Time spent by solicitor on accident analysis went far beyond and involved far more detail than client required or expected — Solicitor was not entitled to charge for time spent after receiving client's stop work direction — Appropriate fee for solicitor's work was $1,100.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3" w:name="Case Summary_18"/>
            <w:bookmarkEnd w:id="1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solicitor for a review of his account of $5,426 billed to the client. The client retained the solicitor to provide advice after being faced with a time-limited offer in her motor vehicle accident claim and concerns about her original counsel's tactics and disbursements. After examining the trial material and making further inquiries, the solicitor sent his six-page accident analysis to the client. The solicitor, whose rate was $300 per hour, charged almost 10 hours for the work to complete the analysis. He charged a further 1.8 hours after receiving an email from the client telling him to stop working on the file. The client denied authorizing the solicitor to undertake the accident analysis.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4" w:name="Holdings of Court_13"/>
            <w:bookmarkEnd w:id="144"/>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client's understanding and expectations were closer to the reality of the situation. The time spent by the solicitor on accident analysis went far beyond and involved far more detail than the client required or expected. The solicitor was not entitled to charge for time spent after receiving the client's stop work direction. The solicitor spent much more time than was required at that stage of his retainer. His rate was reasonable. It was hard to attribute any result to the solicitor's work. An appropriate fee for the solicitor's work was $1,100.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5" w:name="Legislation Cited_14"/>
      <w:bookmarkEnd w:id="1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6"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Legal Profession Act, </w:t>
      </w:r>
      <w:hyperlink r:id="rId433" w:history="1">
        <w:r>
          <w:rPr>
            <w:rFonts w:ascii="arial" w:eastAsia="arial" w:hAnsi="arial" w:cs="arial"/>
            <w:i/>
            <w:color w:val="0077CC"/>
            <w:sz w:val="20"/>
            <w:u w:val="single"/>
            <w:shd w:val="clear" w:color="auto" w:fill="FFFFFF"/>
            <w:lang w:val="en-US" w:eastAsia="en-US" w:bidi="ar-SA"/>
          </w:rPr>
          <w:t>SBC 1998, CHAPTER 9, s. 71</w:t>
        </w:r>
      </w:hyperlink>
      <w:r>
        <w:rPr>
          <w:rFonts w:ascii="arial" w:eastAsia="arial" w:hAnsi="arial" w:cs="arial"/>
          <w:color w:val="000000"/>
          <w:sz w:val="20"/>
          <w:lang w:val="en-US" w:eastAsia="en-US" w:bidi="ar-SA"/>
        </w:rPr>
        <w:t>(4), s. 72(1) (a)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6" w:name="Counsel_19"/>
      <w:bookmarkEnd w:id="1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Solicitor: C. Bolan.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her own behalf: E. Turner.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7" w:name="Judgment_19"/>
      <w:bookmarkEnd w:id="147"/>
      <w:r>
        <w:pict>
          <v:line id="_x0000_s1128"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Complexity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Skill and specialized knowledge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Character and standing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amount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time reasonably spent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Agreed 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Importance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Results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8" w:name="MASTER D. BAKER_0"/>
            <w:bookmarkEnd w:id="148"/>
            <w:r>
              <w:rPr>
                <w:rFonts w:ascii="arial" w:eastAsia="arial" w:hAnsi="arial" w:cs="arial"/>
                <w:b/>
                <w:color w:val="000000"/>
                <w:sz w:val="30"/>
                <w:lang w:val="en-US" w:eastAsia="en-US" w:bidi="ar-SA"/>
              </w:rPr>
              <w:t>MASTER D. BAKER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are proceedings brought by the Solicitor under s. 70 of the </w:t>
      </w:r>
      <w:r>
        <w:rPr>
          <w:rFonts w:ascii="arial" w:eastAsia="arial" w:hAnsi="arial" w:cs="arial"/>
          <w:i/>
          <w:color w:val="000000"/>
          <w:sz w:val="20"/>
          <w:lang w:val="en-US" w:eastAsia="en-US" w:bidi="ar-SA"/>
        </w:rPr>
        <w:t>Legal Profession Act</w:t>
      </w:r>
      <w:bookmarkStart w:id="149"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49"/>
      <w:r>
        <w:rPr>
          <w:rFonts w:ascii="arial" w:eastAsia="arial" w:hAnsi="arial" w:cs="arial"/>
          <w:color w:val="000000"/>
          <w:sz w:val="20"/>
          <w:lang w:val="en-US" w:eastAsia="en-US" w:bidi="ar-SA"/>
        </w:rPr>
        <w:t xml:space="preserve"> for the review of his account to Ms. Turner dated December 16, 2014. The account is for $4,840 fees and $5.10 disbursements; with taxes the total is $5,426.16. The entire amount remains outstanding and is disputed by Ms.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Turner was injured in a motor vehicle accident ("MVA") in Richmond, B.C. on March 11, 2010, when the car she was driving was struck by another vehicle. She retained counsel whom I will refer to as her MVA counsel. Liability in that matter was very much in dispute. Ms. Turner was entering No. 5 Road from a parking lot and was attempting to cross No. 5 Road's two southbound lanes so that she could turn left onto its northbound lane when she was struck. She alleged that the defendant caused the accident by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Liability was severed from damages and Mr. Justice Goepel tried the issue in a four day trial in August 2012. Each side retained an expert to estimate the other vehicle's speed, as that aspect was pivotal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question. Each used an impact analysis to estimate the speed. Goepel J. decided, however "I cannot conclude, based on the expert evidence, that Mr. [D] was speeding prior to the accident" In the end he concluded that Ms. Turner was 75% responsible for the accident and the defendant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Turner was, not surprisingly, disappointed by this result. Her father was a mechanic and had told her that the make and model of vehicle that struck her should have had a "black box" that would have recorded the vehicle's speed with much more certainty and would have, she felt, corroborated her version of events. The MVA counsel, apparently, never investigated the issue and never took steps to recover or examine the black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Nevertheless, the finding was not appealed and matters progressed. Eventually in April 2014, ICBC made a settlement offer of $153,000.00. The offer was time-limited, but on April 10 her MVA counsel obtained an extension on the offer until 4:00 p.m. April 16. Her MVA counsel met with her and advised her that when all deductions were made for their fee, disbursements, costs, advances, and interest on a settlement loan, she would receive $12,000.00. She was understandably shocked by this. Her MVA counsel had, at that meeting, provided her with a handwritten list of deductions, all rounded. She asked for a more detailed and supported list of deductions and the meeting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is the point at which Ms. Turner consulted Mr. Bolan. Her mother first called Mr. Bolan on her behalf on April 9, 2014, and Ms. Turner also talked to him on the phone. Mr. Bolan understood from the conversations that the issues in Ms. Turner's mind were the lack of detail or corroboration of the deductions, the ICBC deadline, and the black box and the MVA counsel's failure to investigate that issue. He immediately contacted an engineer he knew, confirmed that the vehicle model should have had a black box and that the deployment of the air bags in that vehicle (which Ms. Turner confirmed) would have "frozen" the black box recordings, making the collision speed available. Ms. Turner retained Mr. Bolan on April 11, when they met for the first time to discuss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Bolan never advised MVA counsel of his involvement, but in addition to investigating the black box question, also gave her brief advice regarding the disbursements i.e. that a detailed list and corroboration of the deductions should reasonably be available and that she was entitled to that. He advised her as to the tone and content of communications to take with the MVA counsel. There was clearly an urgent air at first, as Ms. Turner was told by her MVA counsel that she had to decide on the offer within a day, although ICBC then agreed to an extension to 4:00 p.m. Wednesday April 16. Ms. Turner wanted to know how likely it was that if she did not respond to the time-limited offer ICBC might renew the offer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Mr. Bolan's advice Ms. Turner sent emails to the MVA counsel asking about the black box and whether there were any indications in her file that the issue had been investigated. When one of the counsel responded in the negative she then sent an email in the afternoon of April 16 saying she was still pondering the black box issue and asking her counsel to have ICBC extend the offer deadline, due to expire that afternoon at 4:00 p.m. When she got a "not in the office" response from her MVA counsel, she immediately told Mr. Bolan, who advised her to copy her email request and the "not in office response" to her MVA lawyer's co-counsel. The logic, as I understand it, is that that would demonstrate that it was not possible, even had she wished to accept the offer, to meet the ICBC deadline. She might then use that to either extend the deadline or, alternatively, to seek further concessions from her MVA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Once that had occurred there was a sense that the pressure was off and that the deadline question was less of a pressing issue. On April 16, Mr. Bolan said to Ms. Turner "Now that that rush is over, I will return to working on my analysis." Mr. Bolan then immersed himself in the black box question and, by April 17 had read the trial decision and both expert reports. He then did his own speed analysis using a different approach and satisfied himself that the defendant almost certainly had been speeding. He also reconciled that with Ms. Turner's evidence at trial i.e. that she had not seen the defendant vehicle, postulating that that was not due to her inattention but rather to the distance between the vehicles. As he expressed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the indisputable math and logic noted above, dictates that the story [D.] gave at trial does not add up and it is not even close. Something else...had to have been going on. I do not see anything in the decision of the judge to indicate that any argument along the lines of the foregoing was put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He sent his six-page analysis and conclusions to Ms. Turner with an accompanying note (in part) that said "I wouldn't have continued with it if I didn't think it was going to benefit you in the long run." By this, I understand, he meant that in overlooking the issue her MVA counsel could now be made to offer concessions or perhaps even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Turner was alarmed by the length and detail in the analysis and on April 19, having apparently just received the email, told Mr. Bolan (again by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Stop everything right now. Put a hold on my file. I was not expecting to make contact with you until after the long weekend (per your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was clearly very concerned about incurring fees or "...a surprise bill...". Her email went on to restate the issues she thought she had consulted Mr. Bolan on, and on which she expected advice. Quoting again,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approached you on these issues: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pressure tactics used by (MVA counsel), which were appalling,</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outrageous disbursements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having my file sit idle for months on end - collecting approx. $750/mthly interest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living extreme physical and emotional turmoil - insurmountable 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Basically, I was looking for advice and options 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Disbursements; (MVA counsel) would not give me a breadown or explanation of how it reached 80k+/--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What I could do regarding the mismanagement of my file and account. Options: Conduct a malpractice suit, go forward with the Law Society, find a new law firm to take over, etc.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And the treatment with indignant dialogue to pressure me to settle with ICBC and leave me hanging with all other unfinished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conversation spoke on making decisions on my strongest hand; but you never divulged as to my many options that were available to me. Further, I clearly remember the fact around the Mustang box - settlement numbers would go up, pending the Mustang box reading. If the Mustang was found and the black box proved speeding we could use this information in several ways. Not discussed, although I was assuming the options would be: go back to court, use it in malpractice,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believed that once I signed...(sic) together we would make decisions as to course of actions. You would put out options and together we would decide. This being the actions you would be advising me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you are not authorized to do anything more for me right now. Until, (sic) your office reopens after the long weekend and we chat, face to face. You said yourself, "the rush is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Turner argues that the account should be substantially reduced for numerous reasons: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retain Mr. Bolan until April 11 so that time entries for April 9 and 10 should be deducted, as she was assured that the initial consultation would be "free";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entries for April 11 (e-mail exchanges) are excessive given the length and content of the e-mails;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recorded by Mr. Bolan for performing an accident analysis or reconstruction should be deducted in its entirety, as Mr. Bolan was never instructed to do that work;</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recorded after April 19 should be deducted as Ms. Turner had specifically instructed Mr. Bolan to do no more work;</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time entry for April 11 is in error; it records one hour for Mr. Bolan and 18 minutes for his paralegal, but Ms. Turner's evidence is that Mr. Bolan was 20 minutes late, met with her for only 40 minutes, and that the paralegal met with her for the 18 minutes making, practically, the hour between them.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disbursement of $5.90 should be deducted as it relates to copying of expert reports that Mr. Bolan considered when he was analysing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Most of these points speak for themselves, but the third i.e. the accident analysis, requires enlargement. Ms. Turner acknowledges that to some degree she and Mr. Bolan discussed the strategy that her MVA counsel chose to employ on the issue of liability. She told Mr. Bolan that her father informed her that the defendant's vehicle, a Mustang, would have had a "black box" that would have recorded the vehicle's speed at collision. In her e-mails and meeting with Mr. Bolan, she asked for his advice regarding several aspects or options. These included a "malpractice suit" against her MVA counsel, consulting the Law Society regarding their representation of her, or perhaps retain new counsel. Her overriding concerns were, however, two: the looming deadline for acceptance or rejection of the offer to settle and her MVA counsel's deductions for disbursements or other expenses (so that she would have an accurate indication of her net recovery from the offered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largest single time entry for Mr. Bolan was for his accident analysis</w:t>
      </w:r>
      <w:bookmarkStart w:id="150"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50"/>
      <w:r>
        <w:rPr>
          <w:rFonts w:ascii="arial" w:eastAsia="arial" w:hAnsi="arial" w:cs="arial"/>
          <w:color w:val="000000"/>
          <w:sz w:val="20"/>
          <w:lang w:val="en-US" w:eastAsia="en-US" w:bidi="ar-SA"/>
        </w:rPr>
        <w:t>. This, Ms. Turner argues, was unwarranted and was not work done on her instruction. In various e-mails Mr. Bolan referred to "...my analysis" or words to that effect. By this he apparently meant his accident analysis. To Ms. Turner this meant an analysis of her MVA counsel's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Turner says she asked for and expected a strategy or plan from Mr. Bolan that would define what tasks or steps were to follow, who would take the steps or do the tasks, what the timeframe for that should be, what the cost would be, and what benefit would flow in the result. She did not receive any of that,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Mr. Bolan is adamant that the direction he took with his accident analysis and calculation was authorized by Ms. Turner after their consultation. Since it was quickly confirmed that the defendant vehicle in her MVA trial had been destroyed and its black box no longer available, he could only prove its value, he said, by an analysis that proved the impact studies and conclusions of the experts to be wrong. Establishing that, he argued, would then allow Ms. Turner further options vis a vis her MVA counsel i.e. she could either push for fee concessions from them or even bring a claim for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and his firm had frequently acted for the lawyers' insurance fund and he advised Ms. Turner that he could advise her respecting the latter point, but could not act for her if she wished to bring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argues that her approval of this direction is confirmed by her "stop work" e-mail (para. 11 above) wherein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Basically, I was looking for advice and options 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Disbursements; H</w:t>
      </w:r>
      <w:bookmarkStart w:id="151" w:name="Backward_fnref_fnr-3_0"/>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151"/>
      <w:r>
        <w:rPr>
          <w:rFonts w:ascii="arial" w:eastAsia="arial" w:hAnsi="arial" w:cs="arial"/>
          <w:color w:val="000000"/>
          <w:sz w:val="20"/>
          <w:lang w:val="en-US" w:eastAsia="en-US" w:bidi="ar-SA"/>
        </w:rPr>
        <w:t xml:space="preserve"> would not give me a breakdown or explanation of how it reached 80K+/-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What I could do regarding the mismanagement of my file and account. Options: Conduct a malpractice suit, go forward with the law Society, find a new law firm to take over, etc.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And the treatment with indignant dialogue to pressure me to settle with ICBC and leave me hanging with all other unfinished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he argues, made his analysis necessary before he could advise on a malpractice suit or other related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Bolan also argues that para. 1(c) of the retainer agreement authorized him to undertake the analysis he did: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Advice to you as to the options available to you and steps you should take to achieve a satisfactory settlement of your insurance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could not advise on the options, he said, until he had completed 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Bolan submitted that the 1.8 hours charged after Ms. Turner's "stop work" e-mail were justified and necessary and that while he agreed he had offered an initial consultation without charge that was only in the event he was not retained; if he was, as a result, retained there would then be a charge for the time spent in the consultation. Finally, he noted that after his meetings and communications with Ms. Turner, Ms. Turner's portion of the $153,000 offer was increased by $10,000, confirming the value of 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fundamental issue in this review, of course, is what had Ms. Turner retained and instructed Mr. Bolan to do in the 10 days between April 9 (when Ms. Turner's mother first contacted Mr. Bolan) and April 19 (when Ms. Turner sent her "stop work" e-mail. If I accept Ms. Turner's evidence it was to give her, firstly, immediate advice respecting the deadline imposed by the ICBC offer and, secondly, what options she had thereafter. If I accept Mr. Bolan's perspective, he was within the terms of his retainer when he performed the accident analysis described in his lengthy e-mail of April 17. On balance I conclude that Ms. Turner's understanding and expectations were closer to the reality of the situation. She wanted some help in dealing with the deadline and, once that pressure had passed, wanted </w:t>
      </w:r>
      <w:r>
        <w:rPr>
          <w:rFonts w:ascii="arial" w:eastAsia="arial" w:hAnsi="arial" w:cs="arial"/>
          <w:i/>
          <w:color w:val="000000"/>
          <w:sz w:val="20"/>
          <w:lang w:val="en-US" w:eastAsia="en-US" w:bidi="ar-SA"/>
        </w:rPr>
        <w:t>general</w:t>
      </w:r>
      <w:r>
        <w:rPr>
          <w:rFonts w:ascii="arial" w:eastAsia="arial" w:hAnsi="arial" w:cs="arial"/>
          <w:color w:val="000000"/>
          <w:sz w:val="20"/>
          <w:lang w:val="en-US" w:eastAsia="en-US" w:bidi="ar-SA"/>
        </w:rPr>
        <w:t xml:space="preserve"> advice regarding options. The time spent by Mr. Bolan on accident analysis went far beyond and involved far more detail than she required or expected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return to Ms. Turner's "stop work" e-mail: this email confirms two things to me; firstly, it is a clear instruction to counsel to down tools and do no more work. Secondly, it shows that early on Ms. Turner confirmed her expectation of a different direction (and volume) that she understood Mr. Bolan would take. At the very least this confirms to me that there was a misunderstanding or disconnect between her and Mr. Bolan as to the direction and effort his work would take. It also indicates that her perspective in all of this is not a recent one i.e. that she expected less effort regarding the black box and a broader range of advice from Mr. Bolan almost from the 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Bolan's submission that Ms. Turner's April 19 e-mail confirmed his wider retainer (para. 17 above) must be taken in a larger context; immediately preceding the quoted portion, above, Ms. Turner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approached you on these issues: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pressure tactics used by H, which were appalling,</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outrageous disbursements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having my file sit idle for months on end - collecting approx. $750/mthly interest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living extreme physical and emotional turmoil - insurmountable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should have been evident to Mr. Bolan on his first meeting with Ms. Turner that one of her fundamental concerns was the legal services she had received from her MVA counsel and the fees she was being charged for that. Any counsel in his shoes, I would think, would have been careful to outline what steps he or she intended to take and how much effort or how many hours that would reasonably consume. Instead of giving Ms. Turner the general advice that she sought, he fixed on a very specific aspect of the liability finding and took matters from there. It may be entirely correct that that, or a similar, analysis would bear fruit eventually, but in my view, Mr. Bolan's time spent on the accident analysis placed the cart well before the 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interesting that Mr. Bolan felt qualified to undertake the calculations and analysis. Even if he was correct in every respect, it seems to me that it would have taken an expert, probably in accident reconstruction, to repeat the analysis before it would be admissible in court. It seems outside, then, the usual ambit of legal advice and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If counsel feel compelled to embark on a specialized, time-consuming and (in my view) digressive undertaking as Mr. Bolan did with his accident reconstruction / analysis then there needs to be an equivalence in the client's understanding and instruction; he or she would have to demonstrably understand the implications, especially respecting fees, that that undertaking would reasonably entail. There is no doubt that Ms. Turner did not expect or anticipate the time expenditure that Mr. Bolan undertook.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Turner is, on the evidence, entirely correct respecting some of the other charges Mr. Bolan included. Mr. Bolan cannot offer a free consultation and then charge Ms. Turner for it nor can he charge time spent after a clear and unequivocal "stop work" direction. I accept Ms. Turner's evidence (para. 12 above) that in fact Mr. Bolan was late for her appointment April 11 and that she did not meet a full hour with him. Mr. Bolan, on the other hand, was entirely correct to review Goepel J.'s reasons and to briefly discuss the matter with his engineering expert. The extensive and detailed analysis he did to challenge the expert evidence before Goepel J., however, was not reasonably within Ms. Turner's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Finally, Mr. Bolan's services did not increase Ms. Turner's portion of the offer (para. 19 above). I conclude that she managed that on her own, once having (with some help from Mr. Bolan, I agree) obtained some relief from the ICBC deadline and having entirely properly insisted on a better accounting from her MVA counsel. The increase in her portion resulted from her MVA counsel reducing their fees by $10,000 and eventually ICBC adding $1,500 to their offer. I credit Ms. Turner almost entirely with securing these improvements.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Section 71(4)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requires that I consider the following elements: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difficulty or novelty of the issues involved,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lawyer,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character and standing in the profession,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spent,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has been an agreement that sets a fee rate that is based on an amount per unit of time spent by the lawyer, whether the rate was reasonable,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client whose bill is being reviewed,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consider them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Complexity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doubt that the issues Ms. Turner presented to Mr. Bolan were multi-levelled; she was concerned immediately with the ICBC offer, its deadline, and its elements that resulted in her net recovery. But she was also concerned with the longer term issues of the service she had received from her MVA counsel. I think that she needed general, preliminary advice respecting the latter, but that Mr. Bolan undertook a much more specific and detailed enquiry than she intended.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Skill and specialized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Bolan is certainly familiar enough with civil litigation and personal injury claims, but does have a particular insight into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having acted on occasion for the bar's insurance fund. Despite this he was clear that while he could advise, he would not act for Ms. Turner in the event she chose to pursue a claim against her MVA counsel. This obviously limited the utility of his service to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Character and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aspect did not factor into the analysis in either a positive or a negative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amount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was a very pressing concern for Ms. Turner. Somehow, without any reasonable explanation or corroboration (in my view), she was asked to approve an offer that reduced from $153,000 to $12,000. Moreover, these numbers should be taken in the larger context; her claim had proceeded for several years and had weighed heavily upon her. The amount was clearly the singular issue in her mind.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time reasonably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is the rock on which Mr. Bolan's claim to fees founders; he simply spent much more time on a particular issue than was required at that stage of his retainer. Ms. Turner may have understood that he would be considering the issue, but she could not be expected to know of or approve the intensive and time-consuming exercise that he undertook. She was reasonable in her expectation of a more long-range and generalized consideration by Mr. Bolan that would have taken less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Agreed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Bolan's rate was $300 per hour which I conclude is reasonable given his experience.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I have said (para. 5 above) the matter was not only important to Ms. Turner but was, when she first consulted Mr. Bolan, urgent due to the ICBC deadline.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Again, as I have said, it is hard to attribute any result to Mr. Bolan's work. Certainly, he guided Ms. Turner in her discussions with her MVA counsel and thereby gave her a stronger basis for delaying or extending the deadline, but as I have already concluded, the ultimate increase in her net recovery (i.e. $11,500) is due to her personal discussions with her MVA counsel and her reluctance to accept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the final analysis, I conclude that an appropriate fee for Mr. Bolan's work is $1,100.00 together with GST and PST thereon. The disbursement of $5.10 is appropriate and is allowed. Given the fee reduction that I have directed, Ms. Turner is entitled to her costs under s. 72(1)(a)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 BAKER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29" style="position:absolute;z-index:25187532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52"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152"/>
      <w:r>
        <w:rPr>
          <w:rFonts w:ascii="arial" w:eastAsia="arial" w:hAnsi="arial" w:cs="arial"/>
          <w:sz w:val="20"/>
          <w:lang w:val="en-US" w:eastAsia="en-US" w:bidi="ar-SA"/>
        </w:rPr>
        <w:tab/>
      </w:r>
      <w:r>
        <w:rPr>
          <w:rFonts w:ascii="arial" w:eastAsia="arial" w:hAnsi="arial" w:cs="arial"/>
          <w:i/>
          <w:color w:val="6D6E71"/>
          <w:sz w:val="18"/>
          <w:lang w:val="en-US" w:eastAsia="en-US" w:bidi="ar-SA"/>
        </w:rPr>
        <w:t>S.B.C. 1998, c. 9</w:t>
      </w:r>
    </w:p>
    <w:p>
      <w:pPr>
        <w:spacing w:before="120" w:after="20" w:line="240" w:lineRule="atLeast"/>
        <w:ind w:left="720" w:hanging="360"/>
        <w:jc w:val="both"/>
        <w:rPr>
          <w:rFonts w:ascii="arial" w:eastAsia="arial" w:hAnsi="arial" w:cs="arial"/>
          <w:sz w:val="20"/>
          <w:lang w:val="en-US" w:eastAsia="en-US" w:bidi="ar-SA"/>
        </w:rPr>
      </w:pPr>
      <w:bookmarkStart w:id="153"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153"/>
      <w:r>
        <w:rPr>
          <w:rFonts w:ascii="arial" w:eastAsia="arial" w:hAnsi="arial" w:cs="arial"/>
          <w:sz w:val="20"/>
          <w:lang w:val="en-US" w:eastAsia="en-US" w:bidi="ar-SA"/>
        </w:rPr>
        <w:tab/>
      </w:r>
      <w:r>
        <w:rPr>
          <w:rFonts w:ascii="arial" w:eastAsia="arial" w:hAnsi="arial" w:cs="arial"/>
          <w:color w:val="6D6E71"/>
          <w:sz w:val="18"/>
          <w:lang w:val="en-US" w:eastAsia="en-US" w:bidi="ar-SA"/>
        </w:rPr>
        <w:t>Mr. Bolan recorded 8 hours, but in his e-mail to Ms. Turner and in his evidence the total was closer to 10 hours.</w:t>
      </w:r>
    </w:p>
    <w:p>
      <w:pPr>
        <w:spacing w:before="120" w:after="20" w:line="240" w:lineRule="atLeast"/>
        <w:ind w:left="720" w:hanging="360"/>
        <w:jc w:val="both"/>
        <w:rPr>
          <w:rFonts w:ascii="arial" w:eastAsia="arial" w:hAnsi="arial" w:cs="arial"/>
          <w:sz w:val="20"/>
          <w:lang w:val="en-US" w:eastAsia="en-US" w:bidi="ar-SA"/>
        </w:rPr>
      </w:pPr>
      <w:bookmarkStart w:id="154" w:name="Forward_fnref_fnr-3_0"/>
      <w:hyperlink w:anchor="Backward_fnref_fnr-3" w:history="1">
        <w:r>
          <w:rPr>
            <w:rFonts w:ascii="arial" w:eastAsia="arial" w:hAnsi="arial" w:cs="arial"/>
            <w:b/>
            <w:color w:val="BE161D"/>
            <w:sz w:val="18"/>
            <w:shd w:val="clear" w:color="auto" w:fill="FFFFFF"/>
            <w:lang w:val="en-US" w:eastAsia="en-US" w:bidi="ar-SA"/>
          </w:rPr>
          <w:t>3</w:t>
        </w:r>
      </w:hyperlink>
      <w:bookmarkEnd w:id="154"/>
      <w:r>
        <w:rPr>
          <w:rFonts w:ascii="arial" w:eastAsia="arial" w:hAnsi="arial" w:cs="arial"/>
          <w:sz w:val="20"/>
          <w:lang w:val="en-US" w:eastAsia="en-US" w:bidi="ar-SA"/>
        </w:rPr>
        <w:tab/>
      </w:r>
      <w:r>
        <w:rPr>
          <w:rFonts w:ascii="arial" w:eastAsia="arial" w:hAnsi="arial" w:cs="arial"/>
          <w:color w:val="6D6E71"/>
          <w:sz w:val="18"/>
          <w:lang w:val="en-US" w:eastAsia="en-US" w:bidi="ar-SA"/>
        </w:rPr>
        <w:t>i.e. Ms. Turner's MVA counsel</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Mund v. Sovio, 2010 CHFL para. 15,579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Hyslop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February 26,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S115685</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2010 CHFL para. 15,579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2010 BCSC 252</w:t>
        </w:r>
      </w:hyperlink>
    </w:p>
    <w:p>
      <w:pPr>
        <w:spacing w:before="120" w:line="260" w:lineRule="atLeast"/>
        <w:rPr>
          <w:lang w:val="en-US" w:eastAsia="en-US" w:bidi="ar-SA"/>
        </w:rPr>
      </w:pPr>
      <w:r>
        <w:rPr>
          <w:rFonts w:ascii="arial" w:eastAsia="arial" w:hAnsi="arial" w:cs="arial"/>
          <w:color w:val="000000"/>
          <w:sz w:val="20"/>
          <w:lang w:val="en-US" w:eastAsia="en-US" w:bidi="ar-SA"/>
        </w:rPr>
        <w:t>Mund v. Sovio</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31" style="position:absolute;z-index:25167974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5" w:name="Keywords_20"/>
      <w:bookmarkEnd w:id="155"/>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physician to strike out plaintiff's statement of claim — Plaintiff was injured in motor vehicle accident in 2007 — Plaintiff received Part 7 benefits from Insurance Corporation of British Columbia until January 2008 — In June 2008, physician examined plaintiff and made report for ICBC — Plaintiff claimed report was biased and false — Application allowed — No reasonable cause of action — Physician was not plaintiff's physician — No fiduciary relationship, contractual relationship or doctor-patient relationship between physician and plaintiff.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6" w:name="Case Summary_19"/>
            <w:bookmarkEnd w:id="156"/>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defendant, Dr. Sovio, sought to strike out the plaintiff's statement of claim on the basis of failure to disclose a reasonable cause of action. The plaintiff, Mund, was injured in a motor vehicle accident in 2007. During his recovery, he received insurance benefits, including medical expenses, rehabilitation costs, and Part 7 benefits, from the Insurance Corporation of British Columbia ("ICBC"). ICBC paid Part 7 benefits to Mund until January 2008. Pursuant to the Insurance (Vehicle) Regulations (the "Regulations") and as a result of a request by ICBC, Mund attended a medical examination conducted by Dr. Sovio in June 2008. Dr. Sovio made a report for ICBC. Mund commenced an action against Dr. Sovio, claiming Dr. Sovio made biased and false statements in his report to the ICBC and was opposed to Mund receiving further Part 7 benefits. Mund claimed general and special damages as well as punitive damages. Dr. Sovio claimed there was no duty of care and no contractual or fiduciary duty giving rise to liability. </w:t>
            </w:r>
            <w:r>
              <w:rPr>
                <w:lang w:val="en-US" w:eastAsia="en-US" w:bidi="ar-SA"/>
              </w:rPr>
              <w:cr/>
            </w:r>
          </w:p>
          <w:p>
            <w:pPr>
              <w:spacing w:before="120" w:line="260" w:lineRule="atLeast"/>
              <w:ind w:left="240"/>
              <w:jc w:val="both"/>
              <w:rPr>
                <w:lang w:val="en-US" w:eastAsia="en-US" w:bidi="ar-SA"/>
              </w:rPr>
            </w:pPr>
            <w:bookmarkStart w:id="157" w:name="Holdings of Court_14"/>
            <w:bookmarkEnd w:id="157"/>
            <w:r>
              <w:rPr>
                <w:rFonts w:ascii="arial" w:eastAsia="arial" w:hAnsi="arial" w:cs="arial"/>
                <w:color w:val="000000"/>
                <w:sz w:val="20"/>
                <w:lang w:val="en-US" w:eastAsia="en-US" w:bidi="ar-SA"/>
              </w:rPr>
              <w:t>HELD: The application was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Mund's statement of claim was dismissed for failing to disclose a reasonable cause of action. It was not within the power of Dr. Sovio to determine whether Mund received Part 7 benefits. The power and the exercise of that power was that of ICBC. Dr. Sovio was not Mund's own physician. He did not treat Mund. Rather, he examined Mund at the request of ICBC pursuant to a regulatory obligation that ICBC was entitled to impose on Mund. Dr. Sovio was not in a fiduciary relationship, a contractual relationship, or a doctor-patient relationship with Mund. </w:t>
            </w:r>
            <w:r>
              <w:rPr>
                <w:lang w:val="en-US" w:eastAsia="en-US" w:bidi="ar-SA"/>
              </w:rPr>
              <w:cr/>
            </w:r>
          </w:p>
          <w:p>
            <w:pPr>
              <w:rPr>
                <w:lang w:val="en-US" w:eastAsia="en-US" w:bidi="ar-SA"/>
              </w:rPr>
            </w:pPr>
          </w:p>
        </w:tc>
      </w:tr>
    </w:tbl>
    <w:p>
      <w:pPr>
        <w:jc w:val="both"/>
        <w:rPr>
          <w:lang w:val="en-US" w:eastAsia="en-US" w:bidi="ar-SA"/>
        </w:rPr>
      </w:pPr>
      <w:bookmarkStart w:id="158" w:name="Counsel_20"/>
      <w:bookmarkEnd w:id="15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2" style="position:absolute;z-index:2517309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S.T. Cope for the plaintiff; M.K. Kinch for the defendant.</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Ostovic v. Foggin, [2009] B.C.J. No. 85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J.E.D. Savage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8-9, 2009.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23,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M074783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85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58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174 A.C.W.S. (3d) 133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CarswellBC 114</w:t>
      </w:r>
    </w:p>
    <w:p>
      <w:pPr>
        <w:spacing w:before="120" w:line="260" w:lineRule="atLeast"/>
        <w:rPr>
          <w:lang w:val="en-US" w:eastAsia="en-US" w:bidi="ar-SA"/>
        </w:rPr>
      </w:pPr>
      <w:r>
        <w:rPr>
          <w:rFonts w:ascii="arial" w:eastAsia="arial" w:hAnsi="arial" w:cs="arial"/>
          <w:color w:val="000000"/>
          <w:sz w:val="20"/>
          <w:lang w:val="en-US" w:eastAsia="en-US" w:bidi="ar-SA"/>
        </w:rPr>
        <w:t>Between Gabriel Vaclav Ostovic, Plaintiff, and Dean J. Foggin,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34" style="position:absolute;z-index:25168076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9" w:name="Keywords_21"/>
      <w:bookmarkEnd w:id="159"/>
      <w:r>
        <w:rPr>
          <w:rFonts w:ascii="arial" w:eastAsia="arial" w:hAnsi="arial" w:cs="arial"/>
          <w:b/>
          <w:color w:val="000000"/>
          <w:sz w:val="20"/>
          <w:lang w:val="en-US" w:eastAsia="en-US" w:bidi="ar-SA"/>
        </w:rPr>
        <w:t>Damages — Types of damages — For personal injuries — Considerations — Duration of loss — Special damages — Expenses or expenditures — Therapy or rehabilitation — Action by plaintiff for damages for minor injuries suffered in motor vehicle accident allowed — Plaintiff's car rear ended by defendant on slick road — Plaintiff credible and defendant admitted concern at scene that plaintiff injured — Sufficient proof that accident caused plaintiff's neck and shoulder pain and headaches — Plaintiff entitled to payment for $15 spent on each of 11 physiotherapy sessions, after the 11th of which he was recovered — Given six months of pain and required exercise regime, plaintiff awarded $7,500 non-pecuniary damages — No evidence of failure to mitigate.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Proceedings — Practice and procedure — Costs — Considerations — Costs determination on plaintiff's successful action for damages from motor vehicle accident — Defendant ordered to pay costs — Plaintiff was awarded $7,500 plus reimbursement for physiotherapy — Defendant argued plaintiff not entitled to costs because could have brought action in small claims court — Defendant had denied liability and causation and argued failure to mitigate — It was defendant's strategy that necessitated bringing action in this court since small claims court had no pre-trial discovery available.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60" w:name="Case Summary_20"/>
            <w:bookmarkEnd w:id="16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for damages for minor injuries suffered in a motor vehicle accident and costs. The plaintiff was travelling on a slick road when he stopped behind a car that had stopped for pedestrians. The defendant attempted to stop but skidded, rear ending the plaintiff's vehicle. The defendant testified that he was concerned the plaintiff may have been injured but the plaintiff assured him he was fine and the parties exchanged information. The plaintiff testified that he felt worse a few days later and went to the doctor, reporting sore shoulders and neck and headaches. The doctor advised the plaintiff to attend physiotherapy, which he did at a rate of $15 per session. The plaintiff required 11 sessions before he had recovered. The defendant had initially denied liability, but now admitted it. However, the defendant argued there was no proof the injuries were caused by the accident and that the plaintiff had failed to mitigate his injuries. The defendant further argued that since the plaintiff had sought an award within the small claims court range, the plaintiff could not seek costs. </w:t>
            </w:r>
            <w:r>
              <w:rPr>
                <w:lang w:val="en-US" w:eastAsia="en-US" w:bidi="ar-SA"/>
              </w:rPr>
              <w:cr/>
            </w:r>
          </w:p>
          <w:p>
            <w:pPr>
              <w:spacing w:before="120" w:line="260" w:lineRule="atLeast"/>
              <w:ind w:left="240"/>
              <w:jc w:val="both"/>
              <w:rPr>
                <w:lang w:val="en-US" w:eastAsia="en-US" w:bidi="ar-SA"/>
              </w:rPr>
            </w:pPr>
            <w:bookmarkStart w:id="161" w:name="Holdings of Court_15"/>
            <w:bookmarkEnd w:id="161"/>
            <w:r>
              <w:rPr>
                <w:rFonts w:ascii="arial" w:eastAsia="arial" w:hAnsi="arial" w:cs="arial"/>
                <w:color w:val="000000"/>
                <w:sz w:val="20"/>
                <w:lang w:val="en-US" w:eastAsia="en-US" w:bidi="ar-SA"/>
              </w:rPr>
              <w:t>HELD: The action was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 was a credible witness and the defendant had admitted he had been concerned that the plaintiff had been injured in the accident. This was sufficient to demonstrate that the plaintiff's injuries had been caused by the accident. The defendant presented no evidence of failure to mitigate. The plaintiff suffered pain requiring an exercise regime for six months, so a $7,500 non-pecuniary award was made. The plaintiff was entitled to reimbursement for physiotherapy payments, which fell under special damages heading. While the monetary award was within small claims court limits, the plaintiff was required to prove everything in court since the defendant had denied liability and causation and claimed failure to mitigate. The plaintiff was thus justified in proceeding in this court where pre-trial discovery was available. </w:t>
            </w:r>
            <w:r>
              <w:rPr>
                <w:lang w:val="en-US" w:eastAsia="en-US" w:bidi="ar-SA"/>
              </w:rPr>
              <w:cr/>
            </w:r>
          </w:p>
          <w:p>
            <w:pPr>
              <w:rPr>
                <w:lang w:val="en-US" w:eastAsia="en-US" w:bidi="ar-SA"/>
              </w:rPr>
            </w:pPr>
          </w:p>
        </w:tc>
      </w:tr>
    </w:tbl>
    <w:p>
      <w:pPr>
        <w:jc w:val="both"/>
        <w:rPr>
          <w:lang w:val="en-US" w:eastAsia="en-US" w:bidi="ar-SA"/>
        </w:rPr>
      </w:pPr>
      <w:bookmarkStart w:id="162" w:name="Legislation Cited_15"/>
      <w:bookmarkEnd w:id="16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35" style="position:absolute;z-index:2517319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Rules of Court, Rule 66, Rule 57(10)</w:t>
      </w:r>
      <w:r>
        <w:rPr>
          <w:lang w:val="en-US" w:eastAsia="en-US" w:bidi="ar-SA"/>
        </w:rPr>
        <w:cr/>
      </w:r>
    </w:p>
    <w:p>
      <w:pPr>
        <w:keepNext/>
        <w:spacing w:before="240" w:line="340" w:lineRule="atLeast"/>
        <w:rPr>
          <w:lang w:val="en-US" w:eastAsia="en-US" w:bidi="ar-SA"/>
        </w:rPr>
      </w:pPr>
      <w:bookmarkStart w:id="163" w:name="Counsel_21"/>
      <w:bookmarkEnd w:id="16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6" style="position:absolute;z-index:2517831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J.M. Cameron.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R.J. Merlo.</w:t>
      </w:r>
      <w:r>
        <w:rPr>
          <w:lang w:val="en-US" w:eastAsia="en-US" w:bidi="ar-SA"/>
        </w:rPr>
        <w:cr/>
      </w:r>
    </w:p>
    <w:p>
      <w:pPr>
        <w:spacing w:after="240"/>
        <w:rPr>
          <w:lang w:val="en-US" w:eastAsia="en-US" w:bidi="ar-SA"/>
        </w:rPr>
      </w:pPr>
      <w:bookmarkStart w:id="164" w:name="Judgment_20"/>
      <w:bookmarkEnd w:id="164"/>
      <w:r>
        <w:pict>
          <v:line id="_x0000_s1137" style="position:absolute;z-index:25183334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5" w:name="J.E.D. SAVAGE J."/>
            <w:bookmarkEnd w:id="165"/>
            <w:r>
              <w:rPr>
                <w:rFonts w:ascii="arial" w:eastAsia="arial" w:hAnsi="arial" w:cs="arial"/>
                <w:b/>
                <w:color w:val="000000"/>
                <w:sz w:val="30"/>
                <w:lang w:val="en-US" w:eastAsia="en-US" w:bidi="ar-SA"/>
              </w:rPr>
              <w:t>J.E.D. SAVAGE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arises out of a low impact motor vehicle accident in which Gabriel Vaclav Ostovic (the "Plaintiff") suffered minor injuries in a rear end collision. The motor vehicle accident took place November 11, 2005 (the "MVA") when a vehicle operated by Dean J. Foggin (the "Defendant") hit the Plaintiff's vehicle in Gastown in Vancouver,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the pleadings, the Defendant denies liability, although I am advised that in the week before trial liability was admitted but not damages. The Defendant also denies that the motor vehicle accident caused the Plaintiff's injuries, pleads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and says that the Plaintiff failed to mitigate his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matter proceeded subject to Rule 66.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two issues for determination are whether and what amount of damages were suffered, and the consequences for costs, where both parties acknowledge that the matter falls within the monetary jurisdiction of the Provincial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47. He came to Canada twenty years earlier with his wife from the Czech Republic. In 1992 he became the Canadian Cruiserweight Kick-boxing champion.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Plaintiff came to Canada he was qualified as a mining engineer and took employment as a mine mechanic. He ultimately moved to the Sunshine Coast and now operates a mixed martial arts gym there. He also has part-time employment as security in Vancouver acting as a "bouncer".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November 11, 2005 the Plaintiff was proceeding west on Water Street. The roads were slick. Some pedestrians crossed the street near the intersection of Water Street and Cambie Street. The car ahead of him stopped for the pedestrians and he also stopped his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was travelling 15-20 km per hour behind the Plaintiff. He tried to stop his vehicle but when travelling 10-15 km per hour he skidded on the wet tile street and struck the Plaintiff's vehicle from behind. The impact pushed the Plaintiff's vehicle forward. Both the Plaintiff and the Defendant estimated that the Plaintiff's vehicle was jolted five feet forward on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saw the vehicles were going to collide and braced for impact. The Defendant was uninjured. The Defendant got out of his vehicle. He went to check on the Plaintiff to see if he was ok. The Defendant said that he was concerned that the Plaintiff might be hurt and wanted to check to see if he needed an ambulance. The Plaintiff said he was ok. The Defendant apologized. The parties politely exchanged information.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Damage to the vehicles involved is minor. The Defendant chose not to have his vehicle repaired. The cost of repairs to the Plaintiff's vehicle was approximately $1000. The estimated cost of repairs to the Defendant's vehicle is just over $400, although that is just an estimate as disassembly of the bumper might have uncovered some additional damage. ICBC estimators completed "Low Velocity Impact Claim" forms, and noted there was no damage to the frames of the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couple of days after the MVA, the Plaintiff felt worse. He saw his physician, Dr. D. Rogers, on November 16, 2005. He reported soreness between the shoulder blades, stiffness on neck movements, and headache. All movements of the cervical spine were painful at the extreme range of movement. Power, tone, coordination, reflexes were normal in the upper limbs. Dr. Rogers prescribed Motrin and requisitioned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had 11 physiotherapy sessions between November 21, 2005 and January 27, 2006. The Plaintiff saw Dr. Rogers again on January 13, 2006 at which time he again recommended physiotherapy. At his last physiotherapy treatment, he is described as much improved. The Plaintiff stopped by Dr. Roger's clinic a third time to report that he was doing fine, although he did not see any physician.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Under cross-examination Dr. Rogers was asked whether he saw any objective signs of injury. He said he thought he saw muscle spasm but when referred to his notes there was no mention of muscle spasm. In his medical note of January 13, 2006 prescribing physio, however, there is reference to spasm.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says that he continued to experience intermittent soreness until June 2006 at which time his symptoms had resolved. Although he did not return to physiotherapy, he did the exercises prescribed on his own. He paid for all of the physiotherapy treatments himself as ICBC declined to pay or reimburse him for these expenses. The Plaintiff claims 11 treatments at $15/treatment.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claims no wage loss at either his clinic or part time employment. He says he worked through his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Are there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argues that the Plaintiff has not proven that he suffered damages because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references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for the proposition that, with respect to causation, the "but for" test applies, unless it is unworkable, in which case the material contribution test applies. In </w:t>
      </w:r>
      <w:r>
        <w:rPr>
          <w:rFonts w:ascii="arial" w:eastAsia="arial" w:hAnsi="arial" w:cs="arial"/>
          <w:b/>
          <w:i/>
          <w:color w:val="000000"/>
          <w:sz w:val="20"/>
          <w:lang w:val="en-US" w:eastAsia="en-US" w:bidi="ar-SA"/>
        </w:rPr>
        <w:t>Resurfice v. Hanke</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the Supreme Court of Canada clarified but confirmed the "but for" test. Of course, where there are several causative factors, the damages payable by the tortfeasor do not include those that may be assigned to other causative factors: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this case there are no competing theories of causation. That is, there is no evidence before me that some other events occurred that may be causative factors. In this case the main argument of the Defendant is that the damage to the vehicles is so slight that the accident could not have caused the injuries which are only subjectively reported.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considering whether the severity of the collision could have caused the injuries, the Defendant asks that I consider a series of cases where courts have expressed scepticism that the force of impact could have caused the damages reported, including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Yeh v. Ford Credit Canada Ltd.</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(1996), 25 B.C.L.R. (3d) 318</w:t>
        </w:r>
      </w:hyperlink>
      <w:r>
        <w:rPr>
          <w:rFonts w:ascii="arial" w:eastAsia="arial" w:hAnsi="arial" w:cs="arial"/>
          <w:color w:val="000000"/>
          <w:sz w:val="20"/>
          <w:lang w:val="en-US" w:eastAsia="en-US" w:bidi="ar-SA"/>
        </w:rPr>
        <w:t xml:space="preserve"> (S.C.), (1996) Carswell BC 1434; </w:t>
      </w:r>
      <w:r>
        <w:rPr>
          <w:rFonts w:ascii="arial" w:eastAsia="arial" w:hAnsi="arial" w:cs="arial"/>
          <w:b/>
          <w:i/>
          <w:color w:val="000000"/>
          <w:sz w:val="20"/>
          <w:lang w:val="en-US" w:eastAsia="en-US" w:bidi="ar-SA"/>
        </w:rPr>
        <w:t>Lago v. Zimmerman</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[1997] B.C.J. No. 3096</w:t>
        </w:r>
      </w:hyperlink>
      <w:r>
        <w:rPr>
          <w:rFonts w:ascii="arial" w:eastAsia="arial" w:hAnsi="arial" w:cs="arial"/>
          <w:color w:val="000000"/>
          <w:sz w:val="20"/>
          <w:lang w:val="en-US" w:eastAsia="en-US" w:bidi="ar-SA"/>
        </w:rPr>
        <w:t xml:space="preserve">, (1997) CarswellBC 2952; and </w:t>
      </w:r>
      <w:r>
        <w:rPr>
          <w:rFonts w:ascii="arial" w:eastAsia="arial" w:hAnsi="arial" w:cs="arial"/>
          <w:b/>
          <w:i/>
          <w:color w:val="000000"/>
          <w:sz w:val="20"/>
          <w:lang w:val="en-US" w:eastAsia="en-US" w:bidi="ar-SA"/>
        </w:rPr>
        <w:t>Nandan v. Ambrosio</w:t>
      </w:r>
      <w:r>
        <w:rPr>
          <w:rFonts w:ascii="arial" w:eastAsia="arial" w:hAnsi="arial" w:cs="arial"/>
          <w:color w:val="000000"/>
          <w:sz w:val="20"/>
          <w:lang w:val="en-US" w:eastAsia="en-US" w:bidi="ar-SA"/>
        </w:rPr>
        <w:t>, 2001 CarswellBC 3087, 2001 WL 1780282 (B.C. Prov. 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accept that it is an appropriate inquiry to consider whether the nature and magnitude of the damage to the vehicles is consistent with how a plaintiff describes the collision and his resultant injuries. That said, as Macaulay J. noted in </w:t>
      </w:r>
      <w:r>
        <w:rPr>
          <w:rFonts w:ascii="arial" w:eastAsia="arial" w:hAnsi="arial" w:cs="arial"/>
          <w:b/>
          <w:i/>
          <w:color w:val="000000"/>
          <w:sz w:val="20"/>
          <w:lang w:val="en-US" w:eastAsia="en-US" w:bidi="ar-SA"/>
        </w:rPr>
        <w:t>Lubick v. Mei</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2008 BCSC 555</w:t>
        </w:r>
      </w:hyperlink>
      <w:r>
        <w:rPr>
          <w:rFonts w:ascii="arial" w:eastAsia="arial" w:hAnsi="arial" w:cs="arial"/>
          <w:color w:val="000000"/>
          <w:sz w:val="20"/>
          <w:lang w:val="en-US" w:eastAsia="en-US" w:bidi="ar-SA"/>
        </w:rPr>
        <w:t xml:space="preserve">, low impact does not mean there is no compensable injury. See also, the decision of Thackray J., as he then was, in </w:t>
      </w:r>
      <w:r>
        <w:rPr>
          <w:rFonts w:ascii="arial" w:eastAsia="arial" w:hAnsi="arial" w:cs="arial"/>
          <w:b/>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[1993] B.C.J. No. 474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presented as a soft spoken, even stoic and forthright litigant. The Defendant himself recognized that the impact might cause injury, as he inquired immediately following the impact regarding the need for an ambulance. I accept the Defendant's evidence regarding the impact of the collision. There is no suggestion that he exaggerated concern. I also accept the evidence of the Plaintiff regarding the cause of his injuries and his period of recovery. The motor vehicle accident caused the Plaintiff's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cited three cases from this court on damages: </w:t>
      </w:r>
      <w:r>
        <w:rPr>
          <w:rFonts w:ascii="arial" w:eastAsia="arial" w:hAnsi="arial" w:cs="arial"/>
          <w:b/>
          <w:i/>
          <w:color w:val="000000"/>
          <w:sz w:val="20"/>
          <w:lang w:val="en-US" w:eastAsia="en-US" w:bidi="ar-SA"/>
        </w:rPr>
        <w:t>Dao v. Vance</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2008 BCSC 1092</w:t>
        </w:r>
      </w:hyperlink>
      <w:r>
        <w:rPr>
          <w:rFonts w:ascii="arial" w:eastAsia="arial" w:hAnsi="arial" w:cs="arial"/>
          <w:color w:val="000000"/>
          <w:sz w:val="20"/>
          <w:lang w:val="en-US" w:eastAsia="en-US" w:bidi="ar-SA"/>
        </w:rPr>
        <w:t xml:space="preserve">, in which Williams J. awarded the Plaintiff $9,000 for non-pecuniary damages; </w:t>
      </w:r>
      <w:r>
        <w:rPr>
          <w:rFonts w:ascii="arial" w:eastAsia="arial" w:hAnsi="arial" w:cs="arial"/>
          <w:b/>
          <w:i/>
          <w:color w:val="000000"/>
          <w:sz w:val="20"/>
          <w:lang w:val="en-US" w:eastAsia="en-US" w:bidi="ar-SA"/>
        </w:rPr>
        <w:t>Lubick</w:t>
      </w:r>
      <w:r>
        <w:rPr>
          <w:rFonts w:ascii="arial" w:eastAsia="arial" w:hAnsi="arial" w:cs="arial"/>
          <w:color w:val="000000"/>
          <w:sz w:val="20"/>
          <w:lang w:val="en-US" w:eastAsia="en-US" w:bidi="ar-SA"/>
        </w:rPr>
        <w:t xml:space="preserve">, where Macauley J. awarded $18,000 for more serious injuries; and </w:t>
      </w:r>
      <w:r>
        <w:rPr>
          <w:rFonts w:ascii="arial" w:eastAsia="arial" w:hAnsi="arial" w:cs="arial"/>
          <w:b/>
          <w:i/>
          <w:color w:val="000000"/>
          <w:sz w:val="20"/>
          <w:lang w:val="en-US" w:eastAsia="en-US" w:bidi="ar-SA"/>
        </w:rPr>
        <w:t>Murray v. Byrd</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2008 BCSC 895</w:t>
        </w:r>
      </w:hyperlink>
      <w:r>
        <w:rPr>
          <w:rFonts w:ascii="arial" w:eastAsia="arial" w:hAnsi="arial" w:cs="arial"/>
          <w:color w:val="000000"/>
          <w:sz w:val="20"/>
          <w:lang w:val="en-US" w:eastAsia="en-US" w:bidi="ar-SA"/>
        </w:rPr>
        <w:t xml:space="preserve"> where Brine J. awarded the Plaintiff $12,000 for more serious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 cites three cases in which damages were awarded between $1000 and $2000: </w:t>
      </w:r>
      <w:r>
        <w:rPr>
          <w:rFonts w:ascii="arial" w:eastAsia="arial" w:hAnsi="arial" w:cs="arial"/>
          <w:b/>
          <w:i/>
          <w:color w:val="000000"/>
          <w:sz w:val="20"/>
          <w:lang w:val="en-US" w:eastAsia="en-US" w:bidi="ar-SA"/>
        </w:rPr>
        <w:t>Vuong v. Wong</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2007 BCPC 172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Snesar v. Black Top Cabs Ltd.</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2005 BCPC 393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Cook v. Webb</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2004 BCSC 453</w:t>
        </w:r>
      </w:hyperlink>
      <w:r>
        <w:rPr>
          <w:rFonts w:ascii="arial" w:eastAsia="arial" w:hAnsi="arial" w:cs="arial"/>
          <w:color w:val="000000"/>
          <w:sz w:val="20"/>
          <w:lang w:val="en-US" w:eastAsia="en-US" w:bidi="ar-SA"/>
        </w:rPr>
        <w:t>. At least two of those cases involved credibility issues and involve, in my view, situations where there was a faster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the Plaintiff has proven an injury that required a significant period of physiotherapy, and six or more months of an exercise regime designed to obviate the symptoms. An appropriate award for non-pecuniary damages in this case is, based on the authorities, $7,500.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Mitigation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argues that the Plaintiff failed to mitigate his damages. This arises in part because there is a gap in the Plaintiff's physiotherapy with no visits from December 10, 2005 through January 16, 2006. The irony in this position is that ICBC declined to cover any of these treatments. The Plaintiff did take four more treatments, January 17, 20, 23 and 27,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burden of proving that the Plaintiff failed to mitigate his damages rests with the Defendant who asserts this position. In my opinion there is nothing in the evidence before me that shows, on a balance of probabilities, that the Plaintiff's conduct prolonged or exacerbated his symptoms. During this entire period and thereafter the Plaintiff was undertaking an exercise regime recommended by his physiotherapist.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that the Defendant has not shown that the Plaintiff failed to mitigate his damages. The damage award should not therefore be reduced.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that the Plaintiff physiotherapy treatments are properly the subject of an award for special damages. The Plaintiff shall have the costs of the physiotherapy treatments reimbursed as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question of costs arises because the monetary award is within the jurisdiction of the Small Claims Court. It was apparent to both parties that prior to the commencement of the action the matter of damages was within the monetary jurisdiction of the Provincial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 submits that it is appropriate for the Court to apply Rule 57(10)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to deprive the Plaintiff of his costs. The wording of the Rule requires that the Plaintiff be deprived of costs unless there is "sufficient reason" for bringing the proceeding in Supreme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was advised that, prior to trial but after pre-trial procedures, the Plaintiff offered to have the matter transferred to Provincial court. The Defendant declined the offer. In my view, it is unnecessary to consider whether this is a relevant factor in awarding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relies on </w:t>
      </w:r>
      <w:r>
        <w:rPr>
          <w:rFonts w:ascii="arial" w:eastAsia="arial" w:hAnsi="arial" w:cs="arial"/>
          <w:b/>
          <w:i/>
          <w:color w:val="000000"/>
          <w:sz w:val="20"/>
          <w:lang w:val="en-US" w:eastAsia="en-US" w:bidi="ar-SA"/>
        </w:rPr>
        <w:t>Reimann v. Aziz</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2007 BCCA 448</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Reimann</w:t>
      </w:r>
      <w:r>
        <w:rPr>
          <w:rFonts w:ascii="arial" w:eastAsia="arial" w:hAnsi="arial" w:cs="arial"/>
          <w:color w:val="000000"/>
          <w:sz w:val="20"/>
          <w:lang w:val="en-US" w:eastAsia="en-US" w:bidi="ar-SA"/>
        </w:rPr>
        <w:t xml:space="preserve"> at the time the action was initiated the maximum jurisdiction in Small Claims Court was $10,000. The jurisdiction of the court was subsequently increased to $25,000. The Defendant in that case, as in this, denied liability and denied the Plaintiff had suffered an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examinations for discovery the Defendant applied to have the matter transferred to Small Claims Court, an application denied because to do so would deprive the Plaintiff of speedy resolution since the action was subject to Rule 66.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trial the plaintiff was awarded non-pecuniary damages of $4,000, wage loss of $700 and special damages of $720. The Defendant argued that the plaintiff should only be awarded disbursements as costs. The court disagreed, a finding that was not disturbed on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Prior to </w:t>
      </w:r>
      <w:r>
        <w:rPr>
          <w:rFonts w:ascii="arial" w:eastAsia="arial" w:hAnsi="arial" w:cs="arial"/>
          <w:b/>
          <w:i/>
          <w:color w:val="000000"/>
          <w:sz w:val="20"/>
          <w:lang w:val="en-US" w:eastAsia="en-US" w:bidi="ar-SA"/>
        </w:rPr>
        <w:t>Reimann</w:t>
      </w:r>
      <w:r>
        <w:rPr>
          <w:rFonts w:ascii="arial" w:eastAsia="arial" w:hAnsi="arial" w:cs="arial"/>
          <w:color w:val="000000"/>
          <w:sz w:val="20"/>
          <w:lang w:val="en-US" w:eastAsia="en-US" w:bidi="ar-SA"/>
        </w:rPr>
        <w:t xml:space="preserve"> the authorities had indicated that, after commencing an action in Supreme Court, the Plaintiff had an ongoing duty to assess the case and, where appropriate, transfer the case to Provincial Court. The Court of Appeal in </w:t>
      </w:r>
      <w:r>
        <w:rPr>
          <w:rFonts w:ascii="arial" w:eastAsia="arial" w:hAnsi="arial" w:cs="arial"/>
          <w:b/>
          <w:i/>
          <w:color w:val="000000"/>
          <w:sz w:val="20"/>
          <w:lang w:val="en-US" w:eastAsia="en-US" w:bidi="ar-SA"/>
        </w:rPr>
        <w:t>Reimann</w:t>
      </w:r>
      <w:r>
        <w:rPr>
          <w:rFonts w:ascii="arial" w:eastAsia="arial" w:hAnsi="arial" w:cs="arial"/>
          <w:color w:val="000000"/>
          <w:sz w:val="20"/>
          <w:lang w:val="en-US" w:eastAsia="en-US" w:bidi="ar-SA"/>
        </w:rPr>
        <w:t xml:space="preserve"> disagreed. There is no ongoing risk occasioned by the Rule. The time at which "sufficient reason" is considered is the time of the commencement of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Justice Chaisson, writing for the Court in </w:t>
      </w:r>
      <w:r>
        <w:rPr>
          <w:rFonts w:ascii="arial" w:eastAsia="arial" w:hAnsi="arial" w:cs="arial"/>
          <w:b/>
          <w:i/>
          <w:color w:val="000000"/>
          <w:sz w:val="20"/>
          <w:lang w:val="en-US" w:eastAsia="en-US" w:bidi="ar-SA"/>
        </w:rPr>
        <w:t>Reimann</w:t>
      </w:r>
      <w:r>
        <w:rPr>
          <w:rFonts w:ascii="arial" w:eastAsia="arial" w:hAnsi="arial" w:cs="arial"/>
          <w:color w:val="000000"/>
          <w:sz w:val="20"/>
          <w:lang w:val="en-US" w:eastAsia="en-US" w:bidi="ar-SA"/>
        </w:rPr>
        <w:t>, noted that several prior Supreme Court decisions had held that plaintiff's were expected to commence matters in Provincial Court where the value was likely or clearly in the Provincial Court's monetary jurisdiction. The likely value of the case was the key factor in determining whether there exists "sufficient reason" for bringing the proceeding in Supreme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earlier cases had emphasized that the policy under the Rule was to encourage claims within the monetary limit being brought in Provincial Court. Chaisson J.A., summarized the previous authorities thus: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[33] Cases which have addressed the policy underlying the approach taken in the trial court include:</w:t>
      </w:r>
    </w:p>
    <w:p>
      <w:pPr>
        <w:spacing w:before="120" w:line="260" w:lineRule="atLeast"/>
        <w:ind w:left="1080"/>
        <w:rPr>
          <w:lang w:val="en-US" w:eastAsia="en-US" w:bidi="ar-SA"/>
        </w:rPr>
      </w:pPr>
      <w:r>
        <w:rPr>
          <w:rFonts w:ascii="arial" w:eastAsia="arial" w:hAnsi="arial" w:cs="arial"/>
          <w:color w:val="000000"/>
          <w:sz w:val="20"/>
          <w:lang w:val="en-US" w:eastAsia="en-US" w:bidi="ar-SA"/>
        </w:rPr>
        <w:t>The Court must seek to uphold what the rule makers intended, and that was that claims within the ten thousand dollar limit be heard in Small Claims wherever that is the reasonable course.</w:t>
      </w:r>
    </w:p>
    <w:p>
      <w:pPr>
        <w:spacing w:before="120" w:line="260" w:lineRule="atLeast"/>
        <w:ind w:left="1080"/>
        <w:rPr>
          <w:lang w:val="en-US" w:eastAsia="en-US" w:bidi="ar-SA"/>
        </w:rPr>
      </w:pPr>
      <w:r>
        <w:rPr>
          <w:rFonts w:ascii="arial" w:eastAsia="arial" w:hAnsi="arial" w:cs="arial"/>
          <w:b/>
          <w:i/>
          <w:color w:val="000000"/>
          <w:sz w:val="20"/>
          <w:lang w:val="en-US" w:eastAsia="en-US" w:bidi="ar-SA"/>
        </w:rPr>
        <w:t>Asiaee v. Arnold</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(1993) 87 B.C.L.R. (2d) 393</w:t>
        </w:r>
      </w:hyperlink>
      <w:r>
        <w:rPr>
          <w:rFonts w:ascii="arial" w:eastAsia="arial" w:hAnsi="arial" w:cs="arial"/>
          <w:color w:val="000000"/>
          <w:sz w:val="20"/>
          <w:lang w:val="en-US" w:eastAsia="en-US" w:bidi="ar-SA"/>
        </w:rPr>
        <w:t xml:space="preserve"> (S.C.) at para. 5</w:t>
      </w:r>
    </w:p>
    <w:p>
      <w:pPr>
        <w:spacing w:before="120" w:line="260" w:lineRule="atLeast"/>
        <w:ind w:left="1080"/>
        <w:rPr>
          <w:lang w:val="en-US" w:eastAsia="en-US" w:bidi="ar-SA"/>
        </w:rPr>
      </w:pPr>
      <w:r>
        <w:rPr>
          <w:rFonts w:ascii="arial" w:eastAsia="arial" w:hAnsi="arial" w:cs="arial"/>
          <w:color w:val="000000"/>
          <w:sz w:val="20"/>
          <w:lang w:val="en-US" w:eastAsia="en-US" w:bidi="ar-SA"/>
        </w:rPr>
        <w:t>the "policy" of Rule 57(10), which policy is to encourage claims under $10,000 being brought in Small Claims Court.</w:t>
      </w:r>
    </w:p>
    <w:p>
      <w:pPr>
        <w:spacing w:before="120" w:line="260" w:lineRule="atLeast"/>
        <w:ind w:left="1080"/>
        <w:rPr>
          <w:lang w:val="en-US" w:eastAsia="en-US" w:bidi="ar-SA"/>
        </w:rPr>
      </w:pPr>
      <w:r>
        <w:rPr>
          <w:rFonts w:ascii="arial" w:eastAsia="arial" w:hAnsi="arial" w:cs="arial"/>
          <w:b/>
          <w:i/>
          <w:color w:val="000000"/>
          <w:sz w:val="20"/>
          <w:lang w:val="en-US" w:eastAsia="en-US" w:bidi="ar-SA"/>
        </w:rPr>
        <w:t>Day v. Wilson</w:t>
      </w:r>
      <w:r>
        <w:rPr>
          <w:rFonts w:ascii="arial" w:eastAsia="arial" w:hAnsi="arial" w:cs="arial"/>
          <w:color w:val="000000"/>
          <w:sz w:val="20"/>
          <w:lang w:val="en-US" w:eastAsia="en-US" w:bidi="ar-SA"/>
        </w:rPr>
        <w:t xml:space="preserve"> (1996), 4 C.P.C. (4th) 251 (BCSC, Master)</w:t>
      </w:r>
    </w:p>
    <w:p>
      <w:pPr>
        <w:spacing w:before="120" w:line="260" w:lineRule="atLeast"/>
        <w:ind w:left="1080"/>
        <w:rPr>
          <w:lang w:val="en-US" w:eastAsia="en-US" w:bidi="ar-SA"/>
        </w:rPr>
      </w:pPr>
      <w:r>
        <w:rPr>
          <w:rFonts w:ascii="arial" w:eastAsia="arial" w:hAnsi="arial" w:cs="arial"/>
          <w:color w:val="000000"/>
          <w:sz w:val="20"/>
          <w:lang w:val="en-US" w:eastAsia="en-US" w:bidi="ar-SA"/>
        </w:rPr>
        <w:t>... Rule 57(10) aims at encouraging claims for under $10,000 being taken in small claims court and penalizes plaintiffs who take such claims in the B.C. Supreme Court.</w:t>
      </w:r>
    </w:p>
    <w:p>
      <w:pPr>
        <w:spacing w:before="120" w:line="260" w:lineRule="atLeast"/>
        <w:ind w:left="1080"/>
        <w:rPr>
          <w:lang w:val="en-US" w:eastAsia="en-US" w:bidi="ar-SA"/>
        </w:rPr>
      </w:pPr>
      <w:r>
        <w:rPr>
          <w:rFonts w:ascii="arial" w:eastAsia="arial" w:hAnsi="arial" w:cs="arial"/>
          <w:b/>
          <w:i/>
          <w:color w:val="000000"/>
          <w:sz w:val="20"/>
          <w:lang w:val="en-US" w:eastAsia="en-US" w:bidi="ar-SA"/>
        </w:rPr>
        <w:t>Martin v. Tom</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(1996), 27 B.C.L.R. (3d) 268</w:t>
        </w:r>
      </w:hyperlink>
      <w:r>
        <w:rPr>
          <w:rFonts w:ascii="arial" w:eastAsia="arial" w:hAnsi="arial" w:cs="arial"/>
          <w:color w:val="000000"/>
          <w:sz w:val="20"/>
          <w:lang w:val="en-US" w:eastAsia="en-US" w:bidi="ar-SA"/>
        </w:rPr>
        <w:t xml:space="preserve"> (S.C.)</w:t>
      </w:r>
    </w:p>
    <w:p>
      <w:pPr>
        <w:spacing w:before="120" w:line="260" w:lineRule="atLeast"/>
        <w:ind w:left="1080"/>
        <w:rPr>
          <w:lang w:val="en-US" w:eastAsia="en-US" w:bidi="ar-SA"/>
        </w:rPr>
      </w:pPr>
      <w:r>
        <w:rPr>
          <w:rFonts w:ascii="arial" w:eastAsia="arial" w:hAnsi="arial" w:cs="arial"/>
          <w:color w:val="000000"/>
          <w:sz w:val="20"/>
          <w:lang w:val="en-US" w:eastAsia="en-US" w:bidi="ar-SA"/>
        </w:rPr>
        <w:t>The purpose of R. 57(10) is to encourage actions to be brought and continued in Provincial Court when there is no sufficient reason to expect that the claim might give rise to damages in excess of $10,000.</w:t>
      </w:r>
    </w:p>
    <w:p>
      <w:pPr>
        <w:spacing w:before="120" w:line="260" w:lineRule="atLeast"/>
        <w:ind w:left="1080"/>
        <w:rPr>
          <w:lang w:val="en-US" w:eastAsia="en-US" w:bidi="ar-SA"/>
        </w:rPr>
      </w:pPr>
      <w:r>
        <w:rPr>
          <w:rFonts w:ascii="arial" w:eastAsia="arial" w:hAnsi="arial" w:cs="arial"/>
          <w:b/>
          <w:i/>
          <w:color w:val="000000"/>
          <w:sz w:val="20"/>
          <w:lang w:val="en-US" w:eastAsia="en-US" w:bidi="ar-SA"/>
        </w:rPr>
        <w:t>Bhanji v. Quezada</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[2003] B.C.J. No. 1883</w:t>
        </w:r>
      </w:hyperlink>
      <w:r>
        <w:rPr>
          <w:rFonts w:ascii="arial" w:eastAsia="arial" w:hAnsi="arial" w:cs="arial"/>
          <w:color w:val="000000"/>
          <w:sz w:val="20"/>
          <w:lang w:val="en-US" w:eastAsia="en-US" w:bidi="ar-SA"/>
        </w:rPr>
        <w:t>, at para. 9</w:t>
      </w:r>
    </w:p>
    <w:p>
      <w:pPr>
        <w:spacing w:before="120" w:line="260" w:lineRule="atLeast"/>
        <w:ind w:left="1080"/>
        <w:rPr>
          <w:lang w:val="en-US" w:eastAsia="en-US" w:bidi="ar-SA"/>
        </w:rPr>
      </w:pPr>
      <w:r>
        <w:rPr>
          <w:rFonts w:ascii="arial" w:eastAsia="arial" w:hAnsi="arial" w:cs="arial"/>
          <w:color w:val="000000"/>
          <w:sz w:val="20"/>
          <w:lang w:val="en-US" w:eastAsia="en-US" w:bidi="ar-SA"/>
        </w:rPr>
        <w:t>Given that an application can be brought to move the proceeding to the Small Claims Court, the issue is not only with respect to commencing the action but continuing the claim. The Rule speaks of "bringing the proceeding", not issuing the writ.</w:t>
      </w:r>
    </w:p>
    <w:p>
      <w:pPr>
        <w:spacing w:before="120" w:line="260" w:lineRule="atLeast"/>
        <w:ind w:left="1080"/>
        <w:rPr>
          <w:lang w:val="en-US" w:eastAsia="en-US" w:bidi="ar-SA"/>
        </w:rPr>
      </w:pPr>
      <w:r>
        <w:rPr>
          <w:rFonts w:ascii="arial" w:eastAsia="arial" w:hAnsi="arial" w:cs="arial"/>
          <w:b/>
          <w:i/>
          <w:color w:val="000000"/>
          <w:sz w:val="20"/>
          <w:lang w:val="en-US" w:eastAsia="en-US" w:bidi="ar-SA"/>
        </w:rPr>
        <w:t>Wailia v. Ulmer</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2005 BCSC 601</w:t>
        </w:r>
      </w:hyperlink>
      <w:r>
        <w:rPr>
          <w:rFonts w:ascii="arial" w:eastAsia="arial" w:hAnsi="arial" w:cs="arial"/>
          <w:color w:val="000000"/>
          <w:sz w:val="20"/>
          <w:lang w:val="en-US" w:eastAsia="en-US" w:bidi="ar-SA"/>
        </w:rPr>
        <w:t xml:space="preserve"> at para. 15.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These cases, he found, had too narrowly focused on the potential monetary value of the action, excluding other legitimate considerations: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[35] In my view, the approach generally taken by the Supreme Court is too limited. It overemphasizes the policy of encouraging parties to proceed in the Provincial Court, but fails to consider the equally compelling policy consideration that parties are entitled to have respected their legitimate choice of forum. It also ignores judicial pronouncements concerning the phrase "bring an action" and gives insufficient weight to the overall scheme of the legislation.</w:t>
      </w:r>
    </w:p>
    <w:p>
      <w:pPr>
        <w:spacing w:before="120" w:line="260" w:lineRule="atLeast"/>
        <w:ind w:left="720"/>
        <w:rPr>
          <w:lang w:val="en-US" w:eastAsia="en-US" w:bidi="ar-SA"/>
        </w:rPr>
      </w:pPr>
      <w:r>
        <w:rPr>
          <w:rFonts w:ascii="arial" w:eastAsia="arial" w:hAnsi="arial" w:cs="arial"/>
          <w:color w:val="000000"/>
          <w:sz w:val="20"/>
          <w:lang w:val="en-US" w:eastAsia="en-US" w:bidi="ar-SA"/>
        </w:rPr>
        <w:t>[36] If there were "sufficient reason for bringing the proceeding in the Supreme Court", a plaintiff would be entitled to be in that forum. The appellants' position would have the practical result that for a plaintiff to avoid being penalized in costs, as in this case, the plaintiff must give up the opportunity to take advantage of the pre-trial preparation to which he was entitled and the readiness for trial afforded by the Supreme Court fast-track procedure because it became apparent that the recovery of damages may be within the jurisdiction of the Small Claims Court. This would be so even if, again as in this case, the defendant sought unsuccessfully to transfer the case to the Provincial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here emphasizes the "opportunity to take advantage of the pre-trial preparation to which [the Plaintiff] was entitled". In this case liability was denied. Causation was denied.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alleged. At trial a failure to mitigate was alleged.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this case the Defendant by denying liability, causation, and reimbursement for special damages, required that the Plaintiff to prove all of these things in court. The Defendant gave important evidence regarding the speed of impact, the consequences of the impact, and concern over the Plaintiff's condition, which, I am advised, was revealed on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my view the position of the Defendant justified the Plaintiff pursuing this case in Supreme Court, where pre-trial discovery is available. A similar determination was made in cases such as </w:t>
      </w:r>
      <w:r>
        <w:rPr>
          <w:rFonts w:ascii="arial" w:eastAsia="arial" w:hAnsi="arial" w:cs="arial"/>
          <w:b/>
          <w:i/>
          <w:color w:val="000000"/>
          <w:sz w:val="20"/>
          <w:lang w:val="en-US" w:eastAsia="en-US" w:bidi="ar-SA"/>
        </w:rPr>
        <w:t>Tucker v. Brown</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2008 BCSC 734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Faedo v. Dowell and Wacher</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2007 BCSC 1985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Kanani v. Misiurna</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2008 BCSC 1274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There is the additional factor that, as in </w:t>
      </w:r>
      <w:r>
        <w:rPr>
          <w:rFonts w:ascii="arial" w:eastAsia="arial" w:hAnsi="arial" w:cs="arial"/>
          <w:b/>
          <w:i/>
          <w:color w:val="000000"/>
          <w:sz w:val="20"/>
          <w:lang w:val="en-US" w:eastAsia="en-US" w:bidi="ar-SA"/>
        </w:rPr>
        <w:t>Faedo</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Kanani</w:t>
      </w:r>
      <w:r>
        <w:rPr>
          <w:rFonts w:ascii="arial" w:eastAsia="arial" w:hAnsi="arial" w:cs="arial"/>
          <w:color w:val="000000"/>
          <w:sz w:val="20"/>
          <w:lang w:val="en-US" w:eastAsia="en-US" w:bidi="ar-SA"/>
        </w:rPr>
        <w:t>, the Plaintiff faced an institutional defendant which, in the ordinary course, has counsel. To obtain any recovery the Plaintiff is forced to go to court, where he is facing counsel and counsel is reasonably required, but in Provincial Court there is no way of recovering the costs of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circumstances, the Plaintiff is entitled to costs, pursuant to Rule 66.</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J.E.D. SAVAGE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Pan Pacific Recycling Inc. v. So, [2006] B.C.J. No. 2006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6 - 10, 13 - 17 and 20 - 21,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S042900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2006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2006 BCSC 1337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52 C.C.E.L. (3d) 261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[2006] CLLC para. 210-038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151 A.C.W.S. (3d) 856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2006 CarswellBC 2188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Pan Pacific Recycling Inc. and Can-Pac Exports and Imports Inc., Plaintiffs, and Chee Hung So, Siu Yeung V. Mak, Hin Cheung Chan, 882003 Enterprises Ltd., North Pacific Enterprises Co. Ltd., and Apec Metals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9"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6" w:name="Keywords_22"/>
      <w:bookmarkEnd w:id="166"/>
      <w:r>
        <w:rPr>
          <w:rFonts w:ascii="arial" w:eastAsia="arial" w:hAnsi="arial" w:cs="arial"/>
          <w:b/>
          <w:color w:val="000000"/>
          <w:sz w:val="20"/>
          <w:lang w:val="en-US" w:eastAsia="en-US" w:bidi="ar-SA"/>
        </w:rPr>
        <w:t>Employment law — Implied duties of employee — Loyalty and non-competition — The plaintiff recycling and trading companies were twice awarded $1,000 in nominal damages against the personal defendants, who were former employees, and who the court found were in breach of their contractual duty of loyalty when they competed with the plaintiff in business, and purchased a property that the employer still leased and had at one time considered buying without informing the employer of their intent — Claims for breach of fiduciary duty were dismissed on the basis that the employees were never fiduciaries.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Interference with economic relations — Breach of fiduciary obligation — The plaintiff recycling and trading companies were twice awarded $1,000 in nominal damages against the personal defendants, who were former employees, and who the court found were in breach of their contractual duty of loyalty when they competed with the plaintiff in business, and purchased a property that the employer still leased and had at one time considered buying without informing the employer of their intent — Claims for breach of fiduciary duty were dismissed on the basis that the employees were never fiduciaries.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7" w:name="Case Summary_21"/>
            <w:bookmarkEnd w:id="1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were twice awarded $1,000 in nominal damages against each of the personal defendants -- The plaintiff related recycling and trading companies were formerly the employers of the two defendants -- The defendants, while in their employ, each established their own businesses which engaged in the same line of work, and the plaintiffs now advanced claims for breach of fiduciary duty, or breach of the duty of loyalty of an employee to his or her employer -- The question was if either of the two defendants were fiduciaries at any relevant time or if they were simply ordinary employees -- HELD: The plaintiffs were twice awarded $1,000 in nominal damages against each of the personal defendants for breaching a contractual duty of loyalty -- The defendants Mak and So were not a fiduciary during his employment with the plaintiffs, but he was in breach of his duty of loyalty as an employee -- The plaintiffs had not shown that they had used confidential information or trade secrets in trading in his own account, and since they were not fiduciaries, equitable remedies were not open to the plaintiffs -- The plaintiffs had not shown they had suffered any losses by reason of So or Mak operating their own businesses while employed by the plaintiffs, and hence they were awarded nominal damages of $1,000 only against each defendant -- The employees had further breached their duty of loyalty to the employer by purchasing a property that their employer still leased, and at one time had considered buying, without at least informing their employer they intended to do so -- However, once again the defendants were not fiduciaries with regard to this transaction -- Once again the plaintiffs were entitled to nominal damages of $1,000 against each of the personal defendants for breach of the contractual duty of loyalty.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8" w:name="Counsel_22"/>
      <w:bookmarkEnd w:id="1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0"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D.W. Lahay, J.C. Fiddick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D.F. Gurney,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9" w:name="Judgment_21"/>
      <w:bookmarkEnd w:id="169"/>
      <w:r>
        <w:pict>
          <v:line id="_x0000_s1141" style="position:absolute;z-index:2517841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0" w:name="SIGURDSON J."/>
            <w:bookmarkEnd w:id="170"/>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Pan Pacific Recycling Inc. ("Pan Pacific") and Can-Pac Exports and Imports Inc. ("Can-Pac") are related companies. They were the employers of the defendants Chee Hung So ("So"), Siu Yeung V. Mak ("Mak") and Hin Cheung Chan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While employed by the plaintiffs, Mr. So and Mr. Mak each established their own businesses which engaged in the same line of work as the plaintiff. Mr. Mak, Mr. Chan and Mr. So also formed a numbered company that bought the premises that Pan Pacific leases. The plaintiffs claim damages and equitable remedies in connection with the businesses of Mr. So [North Pacific Enterprises Co. Ltd. ("North Pacific")] and of Mr. Mak [Apec Metals Inc. ("Apec Metals")] and in connection with the acquisition of the property that the plaintiff companies lease on Mitchell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These claims are advanced on the basis of breaches of fiduciary duty, or, in the alternative, breaches of the duty of loyalty of an employee to his employer. The equitable remedies available for breach of fiduciary duty differ from the remedies available for breach of the contractual duty of loyalty, which may be significant in this case. In terms of the property acquisition the plaintiffs argue that all the defendants are liable under the principles of third party accessory liability to 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all material times, Pac Pacific operated a recycling business at 13900 Mitchell Road in premises on Mitchell Island that it leased from Jayberg Enterprises Ltd. Can-Pac operates out of the same location and is in a related but slightly different business, the trading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Pan Pacific purchases scrap metal from local suppliers, sorts it, and then sells it by container load to purchasers - in fact, one particular purchaser -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Can-Pac does not handle scrap metal directly, but trades in large containers of scrap metal. These containers are advertised by sellers on the internet and by word of mouth throughout Canada, the United States, and elsewhere, either by dealers or by brokers. The plaintiff Can-Pac, if it is the successful bidder, purchases containers and arranges to have them sold and transported to a purchaser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distinction between these two businesses is that, unlike Pan Pacific, Can-Pac does not handle or sort the scrap metal. Can-Pac purchases containers in its trading business and then arranges to have them sent to a port, and then shipped to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Pan Pacific was founded in 1995 by Stuart Cheng. He died in an accident at the plant in March, 2000. The business is now owned by his widow, Ms. Zhang. She arranged to have her father, Mr. Lin, come over from China and since March 2001, a year after his son-in-law's death, Mr. Lin has been the person in charge of both Pan Pacific and Can-Pac.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Lin is 57 years old, and had previous experience in this type of business in China. In fact, he suggested to his son-in-law, Mr. Cheng, that he attempt the recycling business in Canada after Mr. Cheng's initial businesses in Canada were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Pac Pacific's business began as a recycling business, as the company tried to acquire enough scrap metal to put together containers to sell, it appears invariably, to China. By way of background, it may be useful to note that the scrap metal business involves a variety of products. The most valuable product tends to be containers loaded with a single type of metal: copper, aluminium, steel, and so forth. Less valuable are containers which contain a mix of many different types of metal and which are generally sold "as is". There is also a grade known as "shredded residue", which is a far less precise designation. The scrap metal, which has gone through a crusher or a shredder, may include soil and other debris. Shredded residue is normally made up of products such as crushed automobiles.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the recycling business of Pan Pacific was developing, Can-Pac would enter the trading business (as distinct from the recycling business) when there was sufficient money available for that pursuit. The main venture of these two businesses, however, appears generally to have been the recycling business, which appears to be the most profitable, at least from Pan Pacific's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three individual defendants each performed different roles in the two plaintiff companies. Their roles and responsibilities are relevant to the nature of the duty they may have owed to the plaintiffs, their liability for any breach of that duty and the remedies available to the plaintiffs. I will touch briefly on those roles and responsibilities now, but will examine them in great detail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So worked in the office on Mitchell Road and was often referred to as "Manager So". He speaks English and Cantonese.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So and Mr. Cheng met when they were restaurant workers in Canada in the 1990s. They became friends. Mr. So had a significant involvement with the Pan Pacific business in the early years, after it started in 1995 at the Mitchell Road property. As the business was developing, he loaned money to Mr. Cheng, mortgaging his home to do so, and was repaid. His level of involvement changed over time, particularly after Mr. Lin arrived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Mak was hired by Can-Pac in July 2000, after Mr. Cheng's death, to do trading. His job was to find containers, either through the yellow pages or on the internet, for Can-Pac to purchase, if it so desired, and then sell. He also performed some work for Pan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Chan was a labourer and was employed by Pan Pacific from March 1996 until the spring of 2004. He received and sorted scrap metal at Pan Pacific's premises and wrote out invoices for sellers to present for payment by the cashier.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Alleged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January 21, 2000, while he was employed by the plaintiff, Mr. So incorporated North Pacific Enterprises and began trading in containers. The plaintiffs allege that this competition was in breach of a fiduciary duty owed by Mr. So to his employer, and they claim a disgorgement of profits earned by North Pacific and Mr. So and, in the alternative, damages. In order to determine whether Mr. So owed a fiduciary duty to the plaintiffs, I will shortly review the precise nature of his responsibilities to his employer and the nature of his role in the plaintiff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Mak, who joined Can-Pac in July 2000, established a trading company called Apec Metals in 2001. Through Apec Metals, Mr. Mak traded in containers, usually containers of shredded residue. Although, as I understood their argument, the plaintiffs did not initially assert that Mr. Mak was a fiduciary, they appear to have ultimately argued this point. They contended that he was in an impossible conflict of interest in conducting business for Apec Metals while employed by Can-Pac and Pan Pacific, and, if not in breach of a fiduciary duty, was at least in breach of the obligation of fidelity owed by an ordinary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seek disgorgement of the profits of North Pacific and Apec Metals, which they say are more than $1 million in the case of North Pacific, and close to that amount in the case of Apec Metals.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I set out the facts in more detail, I will describe the nature of the employment of Mr. So, Mr. Mak, and Mr. Chan in the context of their positions in the companies, including their duties and responsibilities. I will also discuss the evidence dealing with the nature of Pan Pacific's and Can-Pac's business activities, and those of the companies of Mr. So and Mr. Mak, and whether these two were in breach of any fiduciary obligation or duty of fidelity, and if so, what is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will then discuss the claim concerning the property acquisition by a numbered company owned by Messrs. So, Mak and Chan. I will provide some general background to that issue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I noted earlier, Pan Pacific has, since 1995, operated on Mitchell Island in premises leased from Jayberg Enterprises ("Jayberg").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February 19, 2003 Jayberg signed a renewal of the lease which had expired December 31, 2002 and extended it for two years, to December 21,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Shortly after renewing the lease with Jayberg, Mr. Lin of Pan Pacific attempted to negotiate the purchase of the property with the landlord's representative, Ed Belzberg. Mr. So acted as an interpreter between Mr. Lin, who does not speak English, and Mr. Belzberg. The parties reached a conditional agreement, but, following the obtaining of an environmental assessment, the transaction did not complete. The facts surrounding the collapse of that transaction are in dispute. The main dispute is whether the negotiations were continuing or had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Several months later, although the date is not precise, Pan Pacific indicated a further or continued interest in acquiring the property. In the meantime, however, a numbered company comprised of Messrs. So, Mak and Chan had acquired the land without the knowledge of Pan Pacific. The plaintiffs argue that Mr. So, if not a fiduciary generally in his capacity as an employee of the plaintiffs, certainly had that status in his role in the negotiations with Jayberg, where he acted as interpreter for Mr. 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seek the equitable remedy of a declaration of constructive trust and an accounting of the rents received by the numbered company since it acquired the Mitchell Avenue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case concerns whether Mr. So and Mr. Mak were fiduciaries at any relevant time or rather, were simply ordinary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If either was a fiduciary, the question arises whether they breached their fiduciary duties to the plaintiffs in conducting their businesses, North Pacific and Apec Metals and, if they did, what is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Alternatively, if they are not fiduciaries, did they breach their duty of fidelity to their employer by operating their businesses while employed by the plaintiffs and, if they did, are they liable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Similar issues arise in connection with the acquisition by the defendant numbered company of the Mitchell Island property. These issues include: whether Mr. So was a fiduciary, either generally or in connection with the possible acquisition of the property; whether Mr. So was in breach of such a duty and took advantage of an opportunity that renders him liable by his participation in the purchase; if he is liable, is the plaintiff entitled to a remedy in the nature of a constructive trust and an accounting; and what, if any, is the liability of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With that general outline of the issues, let me describe the facts and, in doing so, set out the matters that are in dispute, which will have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will deal first with the claim in connection with the alleged competing businesses of Messrs. So and Mak. I will then deal with the issue of the purchase of the Mitchell Road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First, I will review the evidence concerning the nature of the duties and responsibilities of Mr. So and Mr. Mak. It is not suggested that Mr. Chan was anything other than an ordinary employee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precise structure of the Pan Pacific and Can-Pac operations was never completely clear in the evidence. In 1999, while Mr. Cheng was still alive, a Mr. Tao was hired as a manager or general manager, and he had the authority to hire and fire employees. After Mr. Cheng's death and prior to Mr. Lin's arrival, Mr. Chong and Mr. Guo were involved in management and were respectively general manager and manager of the plaintiff companies. It appears that Mr. Chong was a relative of Ms. Zhang and had a higher position and more authority than Mr. So and Mr. Mak. Bright Wen served as the assistant to the president, Mr. Lin, starting in January 2003. He also appears to have been Mr. So's superior. Mr. Jim Zhu was the assistant to the president and was hired in August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Although Mr. So was referred to as "Manager So", he was not an owner or officer of either plaintiff company, nor was he ever a director of either company. Mr. So's duties with the companies changed over time. His role in Pan Pacific and Can-Pac appears to have been more significant when Mr. Cheng ran the companies, and it was reduced after Mr. Lin became the person in charge when he arrived in March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So initially earned $3,200 per month and it was increased at some point to $3,500 per month, when he worked a six-day week. He was also paid $1,000 cash. In late 2002 or early 2003, his salary was reduced by about $700 per month, and in exchange he got an extra day off each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His job was largely of an administrative nature. He said that "he answered the phone" but he agreed that he was not an office clerk. He had clerical and accounting responsibilities in that he signed cheques, and each month prepared summaries of transactions for Mr. Cheng and then for Mr. 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did banking, noted the daily bank balances and reported those to Mr. Lin, and provided translation services to Mr. 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So had access to the business records of the companies, including financial records, banking records, correspondence and inventory records. He prepared invoices for shipments to China for the purchaser, and he arranged for the shipping of recycled material purchased by Pan Pacific to Mr. Lin's daughter, the purchaser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His cheque signing authority was initially for an unlimited amount but when Mr. Lin arrived in 2001, his authority to sign cheques for Pan Pacific was reduced to $5,000 and his cheque signing authority for Can-Pac was removed and Mr. Lin signed those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So did not have the authority to hire or fire employees. Mr. So did not have authority to nor did he enter contracts for either company or negotiate for the lease of premises. Mr. So did not make business decisions. He made some day to day decisions, more it appears when Mr. Cheng was alive and less when Mr. Lin took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did not set the prices that Pan Pacific paid for recycling metals. They were set by Mr. Lin. When he was engaged in trading for Can-Pac it appears that Mr. Lin set those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evidence indicates that in terms of securing suppliers of containers for the trading business, prior to Mr. Mak's arrival, Mr. So did that for Can-Pac. After Mr. Mak arrived, Mr. So, it appears, had no further dealings or very limited involvement in trading for Can-Pac other than arranging shipping for containers to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So acknowledged that he was trusted by Stuart Cheng and that this trust continued with Mr. Lin after Mr. Lin became involved in Pan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Mak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Mak was hired by Can-Pac in July, 2000 and started after Mr. Cheng's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was hired by Mr. Chong, who was called "General Manager", and Mr. Guo, who was called "Manager", to do trading for Can-Pac. He was hired to do trading. He was to find suppliers of scrap metal in the U.S. and Canada. Mr. Mak was essentially left alone by Mr. Chong and Mr. Guo to do this trading as they were inexperienced in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Mak was a graduate of the University of Victoria with a Bachelor of Commerce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was paid $1,600 per week for a five day week, and received $500 cash, which was later increased to $850, from Ms. Zhang, and then later from Mr. 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Mak set up a website and took possible trading transactions to Mr. Lin, who would decide whether to make an offer. Mr. Lin took up about one or two of every ten transactions that Mr. Mak presented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was not suggested by the plaintiffs that Mr. Mak had managerial responsibilities or that he could hire or fire employees, or that he had signing authority or access to confidential information in either company, other than perhaps the amount that Mr. Lin was prepared to pay from time to time for various containers of metal. The pricing was set by Mr. Lin. Mr. Mak did not arrange the shipping or the selling of containers to China or the sales price of that part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not suggested by the plaintiffs that Mr. Chan is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has been in Canada for fifteen years and was employed by Pan Pacific from March 26, 1996. During his employ, he was involved in the recycling part of the business and did physical work, such as sorting out the metals (copper and steel) and the garbage. He operated the baling machine and had nothing to do with the trading. Mr. Chan would receive scrap metal at the door and prepare invoices for payment by the cashier. He earned a monthly amount of $1,950 and was paid in addition by the company $500 in cash. While employed by Pan Pacific, he had two other outside jobs, one as a janitor for a different firm and another as a delivery person for a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around 2000, he advanced $20,000 to Mr. Lin when there was a cash problem in the company. That money was repaid. His involvement in this case is through his participation in the purchase of the Mitchell Road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this point, I will set out the relevant law to consider in determining whether either Mr. So or Mr. Mak were fiduciaries, and if not, the nature of the contractual obligation of fidelity that may be owed by them as ordinary employees. I will then consider whether they are liable to disgorge profits from their operations of North Pacific or Apec Metals, or whether they are liable for damages for breach of some obligation owed to the plaintiff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Fiduciary Duty and the Contractual Duty of Loyalty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Whether an employee is a mere employee who may owe an implied contractual duty of loyalty or an employee who owes the higher duty of a fiduciary is often a difficult question. A preliminary question is what is the significance of that distinction?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Even if an employee is not a fiduciary, he or she normally owes a duty of fidelity and loyalty. That arises as an implied term of the employment contract. However the duty owed by a fiduciary to an employer is more exacting and the remedies available to the employer, depending on the nature of the employee's breach, may be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What is the implied contractual duty? The duties of an employee have been described in </w:t>
      </w:r>
      <w:r>
        <w:rPr>
          <w:rFonts w:ascii="arial" w:eastAsia="arial" w:hAnsi="arial" w:cs="arial"/>
          <w:b/>
          <w:i/>
          <w:color w:val="000000"/>
          <w:sz w:val="20"/>
          <w:lang w:val="en-US" w:eastAsia="en-US" w:bidi="ar-SA"/>
        </w:rPr>
        <w:t>Restauronics Services Ltd. v. Forster</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(2004), 23 B.C.L.R. (4th) 281</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2004 BCCA 130</w:t>
        </w:r>
      </w:hyperlink>
      <w:r>
        <w:rPr>
          <w:rFonts w:ascii="arial" w:eastAsia="arial" w:hAnsi="arial" w:cs="arial"/>
          <w:color w:val="000000"/>
          <w:sz w:val="20"/>
          <w:lang w:val="en-US" w:eastAsia="en-US" w:bidi="ar-SA"/>
        </w:rPr>
        <w:t>, at paragraph 46-48.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Madam Justice Southin [in </w:t>
      </w:r>
      <w:r>
        <w:rPr>
          <w:rFonts w:ascii="arial" w:eastAsia="arial" w:hAnsi="arial" w:cs="arial"/>
          <w:b/>
          <w:i/>
          <w:color w:val="000000"/>
          <w:sz w:val="20"/>
          <w:lang w:val="en-US" w:eastAsia="en-US" w:bidi="ar-SA"/>
        </w:rPr>
        <w:t>Kalaman v. Singer Valve Co.</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(1997), 38 B.C.L.R. (3d) 331</w:t>
        </w:r>
      </w:hyperlink>
      <w:r>
        <w:rPr>
          <w:rFonts w:ascii="arial" w:eastAsia="arial" w:hAnsi="arial" w:cs="arial"/>
          <w:color w:val="000000"/>
          <w:sz w:val="20"/>
          <w:lang w:val="en-US" w:eastAsia="en-US" w:bidi="ar-SA"/>
        </w:rPr>
        <w:t xml:space="preserve"> (C.A.)] continued her comments at para. 101 with a discussion of the duties owed by an employee to an employer:</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duties of an employee to an employer in the absence of an express contract are those implied by law. They have been variously put.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obligation is sometimes described as one of "good faith and fidelity".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State Vacuum Stores of Canada Ltd. v. Phillips</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[1954] 3 D.L.R. 621</w:t>
        </w:r>
      </w:hyperlink>
      <w:r>
        <w:rPr>
          <w:rFonts w:ascii="arial" w:eastAsia="arial" w:hAnsi="arial" w:cs="arial"/>
          <w:color w:val="000000"/>
          <w:sz w:val="20"/>
          <w:lang w:val="en-US" w:eastAsia="en-US" w:bidi="ar-SA"/>
        </w:rPr>
        <w:t xml:space="preserve"> (B.C.C.A.), Sidney Smith J.A said this, at p. 625: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that an unfaithful employee may be answerable in damages is well established in the decided cases although, as Lord Greene M.R. points out in </w:t>
      </w:r>
      <w:r>
        <w:rPr>
          <w:rFonts w:ascii="arial" w:eastAsia="arial" w:hAnsi="arial" w:cs="arial"/>
          <w:b/>
          <w:i/>
          <w:color w:val="000000"/>
          <w:sz w:val="20"/>
          <w:lang w:val="en-US" w:eastAsia="en-US" w:bidi="ar-SA"/>
        </w:rPr>
        <w:t>Hivac Ltd. v. Park Royal Scientific Instruments Ltd.</w:t>
      </w:r>
      <w:r>
        <w:rPr>
          <w:rFonts w:ascii="arial" w:eastAsia="arial" w:hAnsi="arial" w:cs="arial"/>
          <w:color w:val="000000"/>
          <w:sz w:val="20"/>
          <w:lang w:val="en-US" w:eastAsia="en-US" w:bidi="ar-SA"/>
        </w:rPr>
        <w:t xml:space="preserve">, [1946] 1 All E.R. 350, this branch of the law may not yet have been fully explored in its remoter aspects. Bowen L.J. refers to the principle in this language in </w:t>
      </w:r>
      <w:r>
        <w:rPr>
          <w:rFonts w:ascii="arial" w:eastAsia="arial" w:hAnsi="arial" w:cs="arial"/>
          <w:b/>
          <w:i/>
          <w:color w:val="000000"/>
          <w:sz w:val="20"/>
          <w:lang w:val="en-US" w:eastAsia="en-US" w:bidi="ar-SA"/>
        </w:rPr>
        <w:t>Lamb v. Evans</w:t>
      </w:r>
      <w:r>
        <w:rPr>
          <w:rFonts w:ascii="arial" w:eastAsia="arial" w:hAnsi="arial" w:cs="arial"/>
          <w:color w:val="000000"/>
          <w:sz w:val="20"/>
          <w:lang w:val="en-US" w:eastAsia="en-US" w:bidi="ar-SA"/>
        </w:rPr>
        <w:t>, [1893] 1 Ch. 218 at p. 229: "The common law, it is true, treats the matter from the point of view of an implied contract, and assumes that there is a promise to do that which is part of the bargain, or which can be fairly implied as part of the good faith which is necessary to make the bargain effectual. What is an implied contract or an implied promise in law? It is that promise which the law implies and authorizes us to infer in order to give the transaction that effect which the parties must have intended it to have, and without which it would be futile."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it is discussed in </w:t>
      </w:r>
      <w:r>
        <w:rPr>
          <w:rFonts w:ascii="arial" w:eastAsia="arial" w:hAnsi="arial" w:cs="arial"/>
          <w:b/>
          <w:i/>
          <w:color w:val="000000"/>
          <w:sz w:val="20"/>
          <w:lang w:val="en-US" w:eastAsia="en-US" w:bidi="ar-SA"/>
        </w:rPr>
        <w:t>Robb v. Green</w:t>
      </w:r>
      <w:r>
        <w:rPr>
          <w:rFonts w:ascii="arial" w:eastAsia="arial" w:hAnsi="arial" w:cs="arial"/>
          <w:color w:val="000000"/>
          <w:sz w:val="20"/>
          <w:lang w:val="en-US" w:eastAsia="en-US" w:bidi="ar-SA"/>
        </w:rPr>
        <w:t>, [1895] 2 Q.B. 315, where A. L. Smith L.J. said at p. 320: "It is my opinion that this judgment should be upheld, and upon the ground that there has been a breach by the defendant of his contract of service with the plaintiff. I think that it is a necessary implication which must be engrafted on such a contract that the servant undertakes to serve his master with good faith and fidelity."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jurisprudence in this court establishes that competition with an employer will in almost all cases constitute a breach of the duty of loyalty.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distinction between the obligations of ordinary employees and fiduciaries is not insignificant, although ordinary employees have significant obligations to their employers. For example, as noted in </w:t>
      </w:r>
      <w:r>
        <w:rPr>
          <w:rFonts w:ascii="arial" w:eastAsia="arial" w:hAnsi="arial" w:cs="arial"/>
          <w:b/>
          <w:i/>
          <w:color w:val="000000"/>
          <w:sz w:val="20"/>
          <w:lang w:val="en-US" w:eastAsia="en-US" w:bidi="ar-SA"/>
        </w:rPr>
        <w:t>Cariboo Press 1969 Ltd. v. O'Connor</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[1996] B.C.J. No. 275</w:t>
        </w:r>
      </w:hyperlink>
      <w:r>
        <w:rPr>
          <w:rFonts w:ascii="arial" w:eastAsia="arial" w:hAnsi="arial" w:cs="arial"/>
          <w:color w:val="000000"/>
          <w:sz w:val="20"/>
          <w:lang w:val="en-US" w:eastAsia="en-US" w:bidi="ar-SA"/>
        </w:rPr>
        <w:t xml:space="preserve"> (C.A.) at paragraph 19, an employee, "having a secret interest in a competitor ... would normally constitute a conflict of interest and would be regarded as a breach of the duty of loyalty and fidelity that is expected of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Chief Justice McEachern, as he then was,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respect, see </w:t>
      </w:r>
      <w:r>
        <w:rPr>
          <w:rFonts w:ascii="arial" w:eastAsia="arial" w:hAnsi="arial" w:cs="arial"/>
          <w:i/>
          <w:color w:val="000000"/>
          <w:sz w:val="20"/>
          <w:lang w:val="en-US" w:eastAsia="en-US" w:bidi="ar-SA"/>
        </w:rPr>
        <w:t>Gurry's Breach of Confidence</w:t>
      </w:r>
      <w:r>
        <w:rPr>
          <w:rFonts w:ascii="arial" w:eastAsia="arial" w:hAnsi="arial" w:cs="arial"/>
          <w:color w:val="000000"/>
          <w:sz w:val="20"/>
          <w:lang w:val="en-US" w:eastAsia="en-US" w:bidi="ar-SA"/>
        </w:rPr>
        <w:t>, (Oxford: Clarendon Press, 1984) at 179, where that author says that "[t]he employee must not compete with his employer during the subsistence of the employment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foregoing must be an absolute, or almost absolute, prohibition. During the period in question, O'Connor was deriving benefit from both his employer and from a competitor. In my view, this constitutes a breach of his contract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Barton Insurance Brokers v. Irwin</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(1999), 63 B.C.L.R. (3d) 215</w:t>
        </w:r>
      </w:hyperlink>
      <w:r>
        <w:rPr>
          <w:rFonts w:ascii="arial" w:eastAsia="arial" w:hAnsi="arial" w:cs="arial"/>
          <w:color w:val="000000"/>
          <w:sz w:val="20"/>
          <w:lang w:val="en-US" w:eastAsia="en-US" w:bidi="ar-SA"/>
        </w:rPr>
        <w:t>, our Court of Appeal considered the duty owed by a mere employee as contrasted by the duty owed by a fiduciary. The question in that case was whether the defendant, an insurance office manager who had left the employ of the plaintiff for a competing company, was a mere employee or a fiduciary. At paragraph 18 of the decision, the Court of Appeal summarized some of the duties owed by a mere employee to her employer, both during and after the term of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Clearly, an employee has duties to a present employer not to divulge trade secrets or to work against the interests of his or her employer but the duty is not just limited to current employment. After leaving employment, an employee may be obligated not to pursue certain activities to the detriment of the former employer. For instance, it has been usually reckoned to be unfair conduct to permit a former employee to take with him or her customer lists to use for solicitation of business or to divulge trade secrets or to seek to appropriate maturing business opportunities of the former employer. On the other hand, I suppose to avoid what might otherwise be a condition of almost involuntary servitude, it has long been held that an employee is free to compete for customers with a former employer. As usual in human affairs, the difficulty is in the details and it is often difficult to know where to draw the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Barton Insurance Brokers</w:t>
      </w:r>
      <w:r>
        <w:rPr>
          <w:rFonts w:ascii="arial" w:eastAsia="arial" w:hAnsi="arial" w:cs="arial"/>
          <w:color w:val="000000"/>
          <w:sz w:val="20"/>
          <w:lang w:val="en-US" w:eastAsia="en-US" w:bidi="ar-SA"/>
        </w:rPr>
        <w:t xml:space="preserve"> went on to consider the higher loyalty owed by an employee impressed with a fiduciary duty, an issue canvassed in </w:t>
      </w:r>
      <w:r>
        <w:rPr>
          <w:rFonts w:ascii="arial" w:eastAsia="arial" w:hAnsi="arial" w:cs="arial"/>
          <w:b/>
          <w:i/>
          <w:color w:val="000000"/>
          <w:sz w:val="20"/>
          <w:lang w:val="en-US" w:eastAsia="en-US" w:bidi="ar-SA"/>
        </w:rPr>
        <w:t>Canadian Aero Service v. O'Malley</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(1973), 40 D.L.R. (3d) 371</w:t>
        </w:r>
      </w:hyperlink>
      <w:r>
        <w:rPr>
          <w:rFonts w:ascii="arial" w:eastAsia="arial" w:hAnsi="arial" w:cs="arial"/>
          <w:color w:val="000000"/>
          <w:sz w:val="20"/>
          <w:lang w:val="en-US" w:eastAsia="en-US" w:bidi="ar-SA"/>
        </w:rPr>
        <w:t xml:space="preserve"> (S.C.C.) and dealt with in greater detail in </w:t>
      </w:r>
      <w:r>
        <w:rPr>
          <w:rFonts w:ascii="arial" w:eastAsia="arial" w:hAnsi="arial" w:cs="arial"/>
          <w:b/>
          <w:i/>
          <w:color w:val="000000"/>
          <w:sz w:val="20"/>
          <w:lang w:val="en-US" w:eastAsia="en-US" w:bidi="ar-SA"/>
        </w:rPr>
        <w:t>Alberts v. Mountjoy</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(1977), 16 O.R. (2d) 682</w:t>
        </w:r>
      </w:hyperlink>
      <w:r>
        <w:rPr>
          <w:rFonts w:ascii="arial" w:eastAsia="arial" w:hAnsi="arial" w:cs="arial"/>
          <w:color w:val="000000"/>
          <w:sz w:val="20"/>
          <w:lang w:val="en-US" w:eastAsia="en-US" w:bidi="ar-SA"/>
        </w:rPr>
        <w:t>. At paragraph 25, the Court set out a passage from the latter judgment that quoted from the former: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pointing out that an insurance agency was quite vulnerable to solicitations of customers by ex-employees, the judge went on to consider the principles enunciated in the </w:t>
      </w:r>
      <w:r>
        <w:rPr>
          <w:rFonts w:ascii="arial" w:eastAsia="arial" w:hAnsi="arial" w:cs="arial"/>
          <w:b/>
          <w:i/>
          <w:color w:val="000000"/>
          <w:sz w:val="20"/>
          <w:lang w:val="en-US" w:eastAsia="en-US" w:bidi="ar-SA"/>
        </w:rPr>
        <w:t>Canadian Aero</w:t>
      </w:r>
      <w:r>
        <w:rPr>
          <w:rFonts w:ascii="arial" w:eastAsia="arial" w:hAnsi="arial" w:cs="arial"/>
          <w:color w:val="000000"/>
          <w:sz w:val="20"/>
          <w:lang w:val="en-US" w:eastAsia="en-US" w:bidi="ar-SA"/>
        </w:rPr>
        <w:t xml:space="preserve"> case. He said this at p. 692: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believe it to be an extension of the principles established in </w:t>
      </w:r>
      <w:r>
        <w:rPr>
          <w:rFonts w:ascii="arial" w:eastAsia="arial" w:hAnsi="arial" w:cs="arial"/>
          <w:b/>
          <w:i/>
          <w:color w:val="000000"/>
          <w:sz w:val="20"/>
          <w:lang w:val="en-US" w:eastAsia="en-US" w:bidi="ar-SA"/>
        </w:rPr>
        <w:t>Canadian Aero</w:t>
      </w:r>
      <w:r>
        <w:rPr>
          <w:rFonts w:ascii="arial" w:eastAsia="arial" w:hAnsi="arial" w:cs="arial"/>
          <w:color w:val="000000"/>
          <w:sz w:val="20"/>
          <w:lang w:val="en-US" w:eastAsia="en-US" w:bidi="ar-SA"/>
        </w:rPr>
        <w:t xml:space="preserve"> to apply those principles in the disposition of the issues arising herein. If it were indeed to be an extension, the basis for so doing can be found later in the judgment of Laskin J., at p. 610 S.C.R., p. 384 D.L.R.: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these decisions indicate is an updating of the equitable principle whose roots lie in the general standards that I have already mentioned, namely, loyalty, good faith and avoidance of a conflict of duty and self-interest. Strict application against directors and senior management officials is simply recognition of the degree of control which their positions give them in corporate operations, a control which rises above day-to-day accountability to owning shareholders and which comes under some scrutiny only at annual general or at special meetings. It is a necessary supplement, in the public interest, of statutory regulation and accountability which themselves are, at one and the same time, an acknowledgement of the importance of the corporation in the life of the community and of the need to compel obedience by it and by its promoters, directors and managers to norms of exemplary behaviour.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any further authority be required for the accountability of senior management offending such rules, reference may be had to the remarks of Lord Russell of Killowen, </w:t>
      </w:r>
      <w:r>
        <w:rPr>
          <w:rFonts w:ascii="arial" w:eastAsia="arial" w:hAnsi="arial" w:cs="arial"/>
          <w:b/>
          <w:i/>
          <w:color w:val="000000"/>
          <w:sz w:val="20"/>
          <w:lang w:val="en-US" w:eastAsia="en-US" w:bidi="ar-SA"/>
        </w:rPr>
        <w:t>Regal (Hastings)</w:t>
      </w:r>
      <w:r>
        <w:rPr>
          <w:rFonts w:ascii="arial" w:eastAsia="arial" w:hAnsi="arial" w:cs="arial"/>
          <w:color w:val="000000"/>
          <w:sz w:val="20"/>
          <w:lang w:val="en-US" w:eastAsia="en-US" w:bidi="ar-SA"/>
        </w:rPr>
        <w:t>, [[1942] 1 All E.R. 378], at p. 389.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this case the defendant Mountjoy stood in a fiduciary relationship to the plaintiff and there was accordingly imposed upon him a "larger, more exacting duty" than a duty simply to respect his former employer's trade secrets and the confidentiality of its customer 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Restauronics Services</w:t>
      </w:r>
      <w:r>
        <w:rPr>
          <w:rFonts w:ascii="arial" w:eastAsia="arial" w:hAnsi="arial" w:cs="arial"/>
          <w:color w:val="000000"/>
          <w:sz w:val="20"/>
          <w:lang w:val="en-US" w:eastAsia="en-US" w:bidi="ar-SA"/>
        </w:rPr>
        <w:t xml:space="preserve"> indicates that a mere employee may be liable for breach of contract by competing while employed, and the employer is entitled to recover damages for profits lost as a consequence of the breach, </w:t>
      </w:r>
      <w:r>
        <w:rPr>
          <w:rFonts w:ascii="arial" w:eastAsia="arial" w:hAnsi="arial" w:cs="arial"/>
          <w:color w:val="000000"/>
          <w:sz w:val="20"/>
          <w:u w:val="single"/>
          <w:lang w:val="en-US" w:eastAsia="en-US" w:bidi="ar-SA"/>
        </w:rPr>
        <w:t>or may elect to take judgment for profits where there has been a misuse of confidential information or trade secrets</w:t>
      </w:r>
      <w:r>
        <w:rPr>
          <w:rFonts w:ascii="arial" w:eastAsia="arial" w:hAnsi="arial" w:cs="arial"/>
          <w:color w:val="000000"/>
          <w:sz w:val="20"/>
          <w:lang w:val="en-US" w:eastAsia="en-US" w:bidi="ar-SA"/>
        </w:rPr>
        <w:t>. The court said (at paragraph 72-78):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reply the respondent submitted that the award would be more properly expressed as damages for breach of contract, and that because Restauronics has failed to prove the damages it suffered as the result of Ms. Nicolas's conduct, it is entitled only to a declaration and nominal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case-law seems to indicate that where there has been a misuse of confidential information or trade secrets, the employer may recover damages against the employee for profits it has lost as a consequence of the breach or, instead of damages, elect to take judgment for an account of the profits the employee has obtained through the wrongful exploitation of the material in question. The employer is free to choose whichever method will result in greater compensation. (E.g., </w:t>
      </w:r>
      <w:r>
        <w:rPr>
          <w:rFonts w:ascii="arial" w:eastAsia="arial" w:hAnsi="arial" w:cs="arial"/>
          <w:b/>
          <w:i/>
          <w:color w:val="000000"/>
          <w:sz w:val="20"/>
          <w:lang w:val="en-US" w:eastAsia="en-US" w:bidi="ar-SA"/>
        </w:rPr>
        <w:t>57134 Manitoba Ltd. v. Palmer</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(1985), 65 B.C.L.R. 355</w:t>
        </w:r>
      </w:hyperlink>
      <w:r>
        <w:rPr>
          <w:rFonts w:ascii="arial" w:eastAsia="arial" w:hAnsi="arial" w:cs="arial"/>
          <w:color w:val="000000"/>
          <w:sz w:val="20"/>
          <w:lang w:val="en-US" w:eastAsia="en-US" w:bidi="ar-SA"/>
        </w:rPr>
        <w:t xml:space="preserve"> at 371 (S.C.), aff'd </w:t>
      </w:r>
      <w:hyperlink r:id="rId484" w:history="1">
        <w:r>
          <w:rPr>
            <w:rFonts w:ascii="arial" w:eastAsia="arial" w:hAnsi="arial" w:cs="arial"/>
            <w:i/>
            <w:color w:val="0077CC"/>
            <w:sz w:val="20"/>
            <w:u w:val="single"/>
            <w:shd w:val="clear" w:color="auto" w:fill="FFFFFF"/>
            <w:lang w:val="en-US" w:eastAsia="en-US" w:bidi="ar-SA"/>
          </w:rPr>
          <w:t>(1989), 37 B.C.L.R. (2d) 50</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 appellant proved that the respondent breached her duty of loyalty by competing with it for the BCCW contract while she was in its employ. It did not prove, however, that Ms. Nicolas used any confidential information or trade secrets in doing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Restauronics failed to prove that Ms. Nicolas used any confidential information or trade secrets in preparing her bid.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Aside from the effrontery of Ms. Nicolas's bid, there is nothing that Restauronics can complain of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Restauronics has not proved that it is entitled to anything more than nominal damages. I would award Restauronics $500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To summarize briefly, employees generally owe their employers an implied contractual duty of loyalty and in certain circumstances may owe a greater and more exacting duty, a fiduciary duty. If an employee competes with his or her employer without permission, it will generally be a breach of the implied term of loyalty entitling the employer to damages for breach of contract. When that breach of contract involves the misuse of trade secrets or confidential information the plaintiff may elect judgment for the profits earned by the employee by the wrongful exploitation of the confidential material in question. However, if the employee's improper competition is also a breach of fiduciary duty, the employer may seek the equitable remedy of disgorgement of the profits made by the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this case, it was strenuously argued that although the employees' businesses made significant profits, there was no evidence of any damages or misuse of confidential information. Thus, whether the defendants are fiduciaries is a crucial issue as the remedies and the proof required to secure those remedies depends on that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How is this distinction made between fiduciaries and mere employees? Rather than focussing on the substance of the relationship between the employer and the employee, courts have often used a categorical approach, including references to "top management" and "key employee", as well as the size of the business, the employer's vulnerability, and possibly the length of the employee's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How is it Determined if a Fiduciary Duty is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Fiduciary Duties in Canada</w:t>
      </w:r>
      <w:r>
        <w:rPr>
          <w:rFonts w:ascii="arial" w:eastAsia="arial" w:hAnsi="arial" w:cs="arial"/>
          <w:color w:val="000000"/>
          <w:sz w:val="20"/>
          <w:lang w:val="en-US" w:eastAsia="en-US" w:bidi="ar-SA"/>
        </w:rPr>
        <w:t xml:space="preserve"> (loose-leaf) (Don Mills: R. DeBoo Publishers, 1988), Mark Ellis commented at p. 16-14.1 that confusion has resulted from the "potpourri of tests now extant". Before going to the categories of relationships giving rise to fiduciary obligations that have been identified in employment law, it may be useful to describe some of the basic principles as articulated by the Supreme Court of Canada and as applied by lower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 good starting point for any consideration of the basic principles of fiduciary duties is the three-part "rough and ready guide" set out in the dissenting judgment of Wilson J.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42 D.L.R. (4th) 81</w:t>
        </w:r>
      </w:hyperlink>
      <w:r>
        <w:rPr>
          <w:rFonts w:ascii="arial" w:eastAsia="arial" w:hAnsi="arial" w:cs="arial"/>
          <w:color w:val="000000"/>
          <w:sz w:val="20"/>
          <w:lang w:val="en-US" w:eastAsia="en-US" w:bidi="ar-SA"/>
        </w:rPr>
        <w:t>. That rough and ready guide is now well accepted. At 98-99,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Relationships in which a fiduciary obligation have been imposed seem to possess three general characteristics: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La Forest J., while adopting the "rough and ready" guide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noted at paragraph 148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in this sense, then, that the existence of a fiduciary obligation can be said to be a question of fact to be determined by examining the specific facts and circumstances surrounding each relationship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La Forest J. set out the following principles at 408-412: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conceptual standpoint, the fiduciary duty may properly be understood as but one of a species of a more generalized duty by which the law seeks to protect vulnerable people in transactions with others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concept of vulnerability is not the hallmark of a fiduciary relationship though it is an important indicium of its existence. Vulnerability is common to many relationships in which the law will intervene to protect one of the parties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presence of loyalty, trust, and confidence distinguishes the fiduciary relationship from a relationship that simply gives rise to tortious liability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relationships that have as their essence discretion, influence over interests, and an inherent vulnerability ... there is a rebuttable presumption, arising out of the inherent purpose of the relationship, that one party has a duty to act in the best interests of the other party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are] situations in which fiduciary obligations, though not innate to a given relationship, arise as a matter of fact out of the specific circumstances of that particular relationship .... In these cases, the question to ask is whether, given all the surrounding circumstances, one party could reasonably have expected that the other party would act in the former's best interests with respect to the subject matter at issue. Discretion, influence, vulnerability and trust ... [are] non-exhaustive examples of evidential factors to be considered in making this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outside the established categories [of fiduciary relationships], what is required is evidence of a mutual understanding that one party has relinquished its own self-interest and agreed to act solely on behalf of the other party.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generally, relationships characterized by a unilateral discretion, such as the trustee-beneficiary relationship, are properly understood as simply a species of a broader family of relationships that may be termed "power-dependency" relationships. ... [T]he concept of a "power-dependency" relationship ... accurately describes any situation where one party, by statute, agreement, a particular course of conduct, or by unilateral undertaking, gains a position of overriding power or influence over another party.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fiduciary duty in a given case will depend upon the reasonable expectations of the parties, and these in turn depend on factors such as trust, confidence, complexity of subject matter, and community or industry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their dissent in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McLachlin J., as she then was, and Sopinka J. offered the following warning about applying too flexible a standard in determining whether a party owes a fiduciary duty. At paragraph 127, they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difficulty lies in determining what measure of confidence and trust are sufficient to give rise to a fiduciary obligation. An objective criterion must be found to identify this measure if the law is to permit people to conduct their affairs with some degree of certainty. ... The vast disparity between the remedies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 the usual remedies for ill-given advice - and those for breach of fiduciary obligation, impose a duty on the court to offer clear assistance to those concerned to stay in the former camp and not stray into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Over the years, the courts have identified a number of categories of employees who owe fiduciary obligations to their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Canadian Aero</w:t>
      </w:r>
      <w:r>
        <w:rPr>
          <w:rFonts w:ascii="arial" w:eastAsia="arial" w:hAnsi="arial" w:cs="arial"/>
          <w:color w:val="000000"/>
          <w:sz w:val="20"/>
          <w:lang w:val="en-US" w:eastAsia="en-US" w:bidi="ar-SA"/>
        </w:rPr>
        <w:t xml:space="preserve"> the court found that "top management" of a company owed that company a fiduciary duty, even if they were supervised by officers of the company and did not hold positions in the company, such as director, that fell within the usual categories of those who had fiduciary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That said, </w:t>
      </w:r>
      <w:r>
        <w:rPr>
          <w:rFonts w:ascii="arial" w:eastAsia="arial" w:hAnsi="arial" w:cs="arial"/>
          <w:b/>
          <w:i/>
          <w:color w:val="000000"/>
          <w:sz w:val="20"/>
          <w:lang w:val="en-US" w:eastAsia="en-US" w:bidi="ar-SA"/>
        </w:rPr>
        <w:t>Canadian Aero</w:t>
      </w:r>
      <w:r>
        <w:rPr>
          <w:rFonts w:ascii="arial" w:eastAsia="arial" w:hAnsi="arial" w:cs="arial"/>
          <w:color w:val="000000"/>
          <w:sz w:val="20"/>
          <w:lang w:val="en-US" w:eastAsia="en-US" w:bidi="ar-SA"/>
        </w:rPr>
        <w:t xml:space="preserve"> has provided useful guidance in distinguishing "mere employees" or servants from those employees who, whatever their title, owe a higher duty. Laskin J., as he then was, made the distinction at p. 381-82 when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Like Grant J., the trial judge, I do not think it matters whether O'Malley and Zarzycki were properly appointed as directors of Canaero or whether they did or did not act as directors. What is not in doubt is that they acted respectively as president and executive vice-president of Canaero for about two years prior to their resignations. To paraphrase the findings of the trial judge in this respect, they acted in those positions and their remuneration and responsibilities verified their status as senior officers of Canaero. They were "top management" and not mere employees whose duty to their employer, unless enlarged by contract, consisted only of respect for trade secrets and for confidentiality of customer lists. Theirs was a larger, more exacting duty which, unless modified by statute or by contract (and there is nothing of this sort here), was similar to that owed to a corporate employer by its directors. I adopt what is said on this point by Gower, </w:t>
      </w:r>
      <w:r>
        <w:rPr>
          <w:rFonts w:ascii="arial" w:eastAsia="arial" w:hAnsi="arial" w:cs="arial"/>
          <w:i/>
          <w:color w:val="000000"/>
          <w:sz w:val="20"/>
          <w:lang w:val="en-US" w:eastAsia="en-US" w:bidi="ar-SA"/>
        </w:rPr>
        <w:t>Principles of Modern Company Law</w:t>
      </w:r>
      <w:r>
        <w:rPr>
          <w:rFonts w:ascii="arial" w:eastAsia="arial" w:hAnsi="arial" w:cs="arial"/>
          <w:color w:val="000000"/>
          <w:sz w:val="20"/>
          <w:lang w:val="en-US" w:eastAsia="en-US" w:bidi="ar-SA"/>
        </w:rPr>
        <w:t>, 3rd ed., 1969, at p. 518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these duties, except in so far as they depend on statutory provisions expressly limited to directors, are not so restricted but apply equally to any officials of the company who are authorized to act on its behalf, and in particular to those acting in a managerial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distinction taken between agents and servants of an employer is apt here, and I am unable to appreciate the basis upon which the Ontario Court of Appeal concluded that O'Malley and Zarzycki were mere employees, that is servants of Canaero rather than agents. Although they were subject to supervision of the officers of the controlling company, </w:t>
      </w:r>
      <w:r>
        <w:rPr>
          <w:rFonts w:ascii="arial" w:eastAsia="arial" w:hAnsi="arial" w:cs="arial"/>
          <w:color w:val="000000"/>
          <w:sz w:val="20"/>
          <w:u w:val="single"/>
          <w:lang w:val="en-US" w:eastAsia="en-US" w:bidi="ar-SA"/>
        </w:rPr>
        <w:t>their positions as senior officers of a subsidiary, which was a working organization, charged them with initiatives and with responsibilities far removed from the obedient role of servants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applying the top management test set out in </w:t>
      </w:r>
      <w:r>
        <w:rPr>
          <w:rFonts w:ascii="arial" w:eastAsia="arial" w:hAnsi="arial" w:cs="arial"/>
          <w:b/>
          <w:i/>
          <w:color w:val="000000"/>
          <w:sz w:val="20"/>
          <w:lang w:val="en-US" w:eastAsia="en-US" w:bidi="ar-SA"/>
        </w:rPr>
        <w:t>Canadian Aero</w:t>
      </w:r>
      <w:r>
        <w:rPr>
          <w:rFonts w:ascii="arial" w:eastAsia="arial" w:hAnsi="arial" w:cs="arial"/>
          <w:color w:val="000000"/>
          <w:sz w:val="20"/>
          <w:lang w:val="en-US" w:eastAsia="en-US" w:bidi="ar-SA"/>
        </w:rPr>
        <w:t xml:space="preserve">, courts have focused on the powers and functions of the employee. As might be expected from the emphasis on "initiative and responsibility" in </w:t>
      </w:r>
      <w:r>
        <w:rPr>
          <w:rFonts w:ascii="arial" w:eastAsia="arial" w:hAnsi="arial" w:cs="arial"/>
          <w:b/>
          <w:i/>
          <w:color w:val="000000"/>
          <w:sz w:val="20"/>
          <w:lang w:val="en-US" w:eastAsia="en-US" w:bidi="ar-SA"/>
        </w:rPr>
        <w:t>Canadian Aero</w:t>
      </w:r>
      <w:r>
        <w:rPr>
          <w:rFonts w:ascii="arial" w:eastAsia="arial" w:hAnsi="arial" w:cs="arial"/>
          <w:color w:val="000000"/>
          <w:sz w:val="20"/>
          <w:lang w:val="en-US" w:eastAsia="en-US" w:bidi="ar-SA"/>
        </w:rPr>
        <w:t xml:space="preserve"> and on the ability of the agent to "alter the principal's legal position", there is, as Ellis notes at 16-8, "some judicial sentiment toward restricting the interpretation of "top management" to very senior persons exercising a substantial amount of autonomous power". Titles, on the other hand, are almost irrelevant, since the title of "manager" or "vice-president" can have as many meanings as does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For example, in </w:t>
      </w:r>
      <w:r>
        <w:rPr>
          <w:rFonts w:ascii="arial" w:eastAsia="arial" w:hAnsi="arial" w:cs="arial"/>
          <w:b/>
          <w:i/>
          <w:color w:val="000000"/>
          <w:sz w:val="20"/>
          <w:lang w:val="en-US" w:eastAsia="en-US" w:bidi="ar-SA"/>
        </w:rPr>
        <w:t>Empire Stevedores (1973) Ltd. v. Sparringa</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(1978), 19 O.R. (2d) 610</w:t>
        </w:r>
      </w:hyperlink>
      <w:r>
        <w:rPr>
          <w:rFonts w:ascii="arial" w:eastAsia="arial" w:hAnsi="arial" w:cs="arial"/>
          <w:color w:val="000000"/>
          <w:sz w:val="20"/>
          <w:lang w:val="en-US" w:eastAsia="en-US" w:bidi="ar-SA"/>
        </w:rPr>
        <w:t xml:space="preserve"> (H.C.), the plaintiff sought an injunction after the defendant, who was nominally a vice-president during his final years with the plaintiff, left the company, purchased another stevedoring company and successfully bid against Empire for a number of contracts. The court declined to issue the injunction sought by Empire and noted that, despite his title, the defendant remained a "walking boss", whose duties were limited to supervision of the performance of the plaintiff's contracts. Among the factors identified by the court in doubting that he qualified as "top management" were that he was not able to bid on jobs by himself, did not play a significant role in the planning or financial side of the plaintiff's business, and indeed, could not even make minor variations in equipment contracts and that, as the defendant stated in his affidavit, he did not have "any known prospects of advancement within Empire to an off-the-dock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Our Court of Appeal came to a similar conclusion regarding Paul Darc, the erstwhile chief operating officer and chief financial officer of the plaintiff company in </w:t>
      </w:r>
      <w:r>
        <w:rPr>
          <w:rFonts w:ascii="arial" w:eastAsia="arial" w:hAnsi="arial" w:cs="arial"/>
          <w:b/>
          <w:i/>
          <w:color w:val="000000"/>
          <w:sz w:val="20"/>
          <w:lang w:val="en-US" w:eastAsia="en-US" w:bidi="ar-SA"/>
        </w:rPr>
        <w:t>3464920 Canada Inc. v. Strother</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(2005), 38 B.C.L.R. (4th) 159</w:t>
        </w:r>
      </w:hyperlink>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2005 BCCA 35</w:t>
        </w:r>
      </w:hyperlink>
      <w:r>
        <w:rPr>
          <w:rFonts w:ascii="arial" w:eastAsia="arial" w:hAnsi="arial" w:cs="arial"/>
          <w:color w:val="000000"/>
          <w:sz w:val="20"/>
          <w:lang w:val="en-US" w:eastAsia="en-US" w:bidi="ar-SA"/>
        </w:rPr>
        <w:t>. It declined to interfere with the trial judge's finding that Mr. Darc was not a fiduciary, citing the following comments from the trial decision at paragraph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Darc's] duties related to internal accounting and administrative matters. He held the title of Chief Financial Officer and managed a small staff, but he was not a director, he held no equity, and Monarch was a small company where impressive titles were readily available. He had no cheque signing authority. He was not the company's contact with either the studios from which production was obtained or its agents who sold its tax shelters to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Valco Cincinnati v. Dibe</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(1987) 35 B.L.R. 281</w:t>
        </w:r>
      </w:hyperlink>
      <w:r>
        <w:rPr>
          <w:rFonts w:ascii="arial" w:eastAsia="arial" w:hAnsi="arial" w:cs="arial"/>
          <w:color w:val="000000"/>
          <w:sz w:val="20"/>
          <w:lang w:val="en-US" w:eastAsia="en-US" w:bidi="ar-SA"/>
        </w:rPr>
        <w:t>, the defendant had been the branch manager and sole Canadian employee of the plaintiff American company; the court looked at the ability of the alleged fiduciary to exercise control and to alter the legal position of the company. Callon J. of the Ontario High Court of Justice noted that while the defendant solicited business while employed by the plaintiff, head office retained control over pricing and credit approval, the selection of products to be made available and most of the decisions about day to day operation, including the make, model and features of the company car driven by the defendant. As such, Dibe was found to be a "mere employee" who did not owe a higher duty, either by virtue of being top management or as an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Another way of looking at this test is that "top management" is limited to those employees who have "the power and the ability to direct and guide the affairs of the company": </w:t>
      </w:r>
      <w:r>
        <w:rPr>
          <w:rFonts w:ascii="arial" w:eastAsia="arial" w:hAnsi="arial" w:cs="arial"/>
          <w:b/>
          <w:i/>
          <w:color w:val="000000"/>
          <w:sz w:val="20"/>
          <w:lang w:val="en-US" w:eastAsia="en-US" w:bidi="ar-SA"/>
        </w:rPr>
        <w:t>R. W. Hamilton Ltd. v. Aeroquip Corp.</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(1988), 65 O.R. (2d) 345</w:t>
        </w:r>
      </w:hyperlink>
      <w:r>
        <w:rPr>
          <w:rFonts w:ascii="arial" w:eastAsia="arial" w:hAnsi="arial" w:cs="arial"/>
          <w:color w:val="000000"/>
          <w:sz w:val="20"/>
          <w:lang w:val="en-US" w:eastAsia="en-US" w:bidi="ar-SA"/>
        </w:rPr>
        <w:t xml:space="preserve"> (H.C.J.). In </w:t>
      </w:r>
      <w:r>
        <w:rPr>
          <w:rFonts w:ascii="arial" w:eastAsia="arial" w:hAnsi="arial" w:cs="arial"/>
          <w:b/>
          <w:i/>
          <w:color w:val="000000"/>
          <w:sz w:val="20"/>
          <w:lang w:val="en-US" w:eastAsia="en-US" w:bidi="ar-SA"/>
        </w:rPr>
        <w:t>Alberts v. Mountjoy</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(1977), 16 O.R. (2d) 682</w:t>
        </w:r>
      </w:hyperlink>
      <w:r>
        <w:rPr>
          <w:rFonts w:ascii="arial" w:eastAsia="arial" w:hAnsi="arial" w:cs="arial"/>
          <w:color w:val="000000"/>
          <w:sz w:val="20"/>
          <w:lang w:val="en-US" w:eastAsia="en-US" w:bidi="ar-SA"/>
        </w:rPr>
        <w:t>, the Ontario High Court found that the defendant Mountjoy had such powers and ability and was thus top management of the plaintiff insurance business and did owe it a fiduciary duty. At pp. 685-86, Estey C.J.H.C. (as he then was) contrasted the duties of Mountjoy with those of his co-defendant Butts: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Mountjoy was the undoubted general manager or chief executive of the plaintiff. In fact the plaintiff at all relevant times until its acquisition by Sinclair and Cockburn appears to have been operated by absentee owners through the defendant Mountjoy who, in so far as day-to-day operational matters are concerned, in effect managed the business as a sole proprietor. That is not to say he had authority to hire and fire or interfere with the capital assets of the business, but it is clear that operationally he reported to nobody.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Butt, on the other hand, was a salesman or an account supervisor whose duties were much less responsible than Mountjoy to whom he reported. His salary was about one-half that of Mountjoy and there is no evidence he received anything like the very substantial year-end bonus paid to Mountjoy.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Another part of the "top management" test has, as Ellis notes, been widened to include the adoption of the "key personnel" test. "Key personnel" looks at the relative role the employee plays in the enterprise as opposed to the control and authority that come with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Barton Insurance Brokers v. Irwin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our Court of Appeal rejected the argument that the defendant, whose job title was "general office supervisor", was a "key employee" and thus barred from soliciting the clients of her former employer. The court noted that she was on salary, earning about $36,000 per annum, did not have the power to hire and fire, had never been a corporate officer, director or shareholder, and required approval from her superior for any significant expenditure. Hall J.A. considered the decision in </w:t>
      </w:r>
      <w:r>
        <w:rPr>
          <w:rFonts w:ascii="arial" w:eastAsia="arial" w:hAnsi="arial" w:cs="arial"/>
          <w:b/>
          <w:i/>
          <w:color w:val="000000"/>
          <w:sz w:val="20"/>
          <w:lang w:val="en-US" w:eastAsia="en-US" w:bidi="ar-SA"/>
        </w:rPr>
        <w:t>Tree Savers International Ltd. v. Savoy</w:t>
      </w:r>
      <w:r>
        <w:rPr>
          <w:rFonts w:ascii="arial" w:eastAsia="arial" w:hAnsi="arial" w:cs="arial"/>
          <w:color w:val="000000"/>
          <w:sz w:val="20"/>
          <w:lang w:val="en-US" w:eastAsia="en-US" w:bidi="ar-SA"/>
        </w:rPr>
        <w:t xml:space="preserve"> (1991), </w:t>
      </w:r>
      <w:hyperlink r:id="rId491" w:history="1">
        <w:r>
          <w:rPr>
            <w:rFonts w:ascii="arial" w:eastAsia="arial" w:hAnsi="arial" w:cs="arial"/>
            <w:i/>
            <w:color w:val="0077CC"/>
            <w:sz w:val="20"/>
            <w:u w:val="single"/>
            <w:shd w:val="clear" w:color="auto" w:fill="FFFFFF"/>
            <w:lang w:val="en-US" w:eastAsia="en-US" w:bidi="ar-SA"/>
          </w:rPr>
          <w:t>81 Alta. L.R. (2d) 325</w:t>
        </w:r>
      </w:hyperlink>
      <w:r>
        <w:rPr>
          <w:rFonts w:ascii="arial" w:eastAsia="arial" w:hAnsi="arial" w:cs="arial"/>
          <w:color w:val="000000"/>
          <w:sz w:val="20"/>
          <w:lang w:val="en-US" w:eastAsia="en-US" w:bidi="ar-SA"/>
        </w:rPr>
        <w:t xml:space="preserve"> (Q.B.), aff'd on the "key employee" point at (1992), </w:t>
      </w:r>
      <w:hyperlink r:id="rId492" w:history="1">
        <w:r>
          <w:rPr>
            <w:rFonts w:ascii="arial" w:eastAsia="arial" w:hAnsi="arial" w:cs="arial"/>
            <w:i/>
            <w:color w:val="0077CC"/>
            <w:sz w:val="20"/>
            <w:u w:val="single"/>
            <w:shd w:val="clear" w:color="auto" w:fill="FFFFFF"/>
            <w:lang w:val="en-US" w:eastAsia="en-US" w:bidi="ar-SA"/>
          </w:rPr>
          <w:t>84 Alta. L.R. (2d) 384</w:t>
        </w:r>
      </w:hyperlink>
      <w:r>
        <w:rPr>
          <w:rFonts w:ascii="arial" w:eastAsia="arial" w:hAnsi="arial" w:cs="arial"/>
          <w:color w:val="000000"/>
          <w:sz w:val="20"/>
          <w:lang w:val="en-US" w:eastAsia="en-US" w:bidi="ar-SA"/>
        </w:rPr>
        <w:t xml:space="preserve"> (C.A.), as well the case of </w:t>
      </w:r>
      <w:r>
        <w:rPr>
          <w:rFonts w:ascii="arial" w:eastAsia="arial" w:hAnsi="arial" w:cs="arial"/>
          <w:b/>
          <w:i/>
          <w:color w:val="000000"/>
          <w:sz w:val="20"/>
          <w:lang w:val="en-US" w:eastAsia="en-US" w:bidi="ar-SA"/>
        </w:rPr>
        <w:t>Anderson, Smyth &amp; Kelly Customs Brokers Ltd. v. World Wide Customs Brokers Ltd.</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[1996] 7 W.W.R. 736</w:t>
        </w:r>
      </w:hyperlink>
      <w:r>
        <w:rPr>
          <w:rFonts w:ascii="arial" w:eastAsia="arial" w:hAnsi="arial" w:cs="arial"/>
          <w:color w:val="000000"/>
          <w:sz w:val="20"/>
          <w:lang w:val="en-US" w:eastAsia="en-US" w:bidi="ar-SA"/>
        </w:rPr>
        <w:t>, another decision of the Alberta Court of Appeal. In that case, the defendant Kelly was an officer, director and shareholder in Anderson, the plaintiff customs broker, as well as the manager of its Edmonton office, before jumping ship and joining World Wide in 1989. The trial judge found that Kelly was "an integral part of the Plaintiff's Edmonton operation", and characterized him as a "key employee" but declined to find that he owed a fiduciary duty to the company. The Alberta Court of Appeal held this to be an error and held that as an employee - quite apart from his position as director and officer - he was a fiduciary. Among the factors it cited was that he was the manager and only non-clerical employee of Anderson's Edmonton operations and was thus in a position to unilaterally exercise his delegated authority to affect the appellant's legal and economic interests. The court summarized the underlying principles at paragraph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put it another way, in his capacity as a director and officer and manager of the Appellant's Edmonton office, Kelly possessed the kind of authority typically found in a relationship of dependency or vulnerability. It was the kind of relationship in which equity will intervene to protect the dependant or vulnerable party by acting on the conscience of the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other words, while the Court relied on the designation of Kelly as a "key employee" who could "unilaterally exercise his delegated authority to affect the Appellant's legal and economic interests", its decision was based not solely on the finding that he fell into that category, but on the same underlying principles articulated by Wilson J.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summary, the application of the categorical approach of "top management" or "key employee" to determine if a person is a fiduciary is, in my view, little different, in substance, to the principled approach described in the Supreme Court of Canada cases that I have cited.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Allegations against So of Breach of Fiduciary Duty or Breach of the Duty of Loyalty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January 21, 2000, Mr So incorporated North Pacific and started to do trading for himself. To finance the operation, he sold his apartment and borrowed money from friends and on his credit card. He bought containers of scrap metal and sold them to purchasers in China. After Mr. Mak arrived in 2000, and then Mr. Lin in 2001, Mr. Mak was responsible for most finding most of the containers in which the plaintiffs would trade. Mr. So said that Mega Metals and West Can Recycling were the only dealers that he had in common with Can-Pac (although there appear to be a few others). Mr. So testified that he never bid on a container that Can-Pac bid on, which evidence I accept. However, Mr. So was less than forthcoming in 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So's business in North Pacific was very profitable, particularly in 2001, 2003 and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counsel's argument that Mr. So was a fiduciary can be summarized as follows: he was employed to manage Pan Pacific, had access to all confidential business records, had unlimited signing authority and signed hundreds of thousands of dollars of cheques, had helped establish the business, and was trusted by the founder and his successor, Mr Lin, neither of whom spoke English, to provide interpretation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my view, whether applying the categorical approaches such as "top management" or "key employee", or the principled approach articulated in cases such as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or considering the factors that are described in all of those approaches, Mr. So was not a fiduciary. I will return to the question of whether Mr. So was a fiduciary in connection with the negotiations for the Mitchell Island property, but my conclusion is that he was not a fiduciary generally while he was employed by the plaintiff companies. Mr. So was certainly not "top management". His duties were largely clerical and administrative. He prepared summaries of transactions and reported to Mr. Lin on the status of the bank account, including the line of credit. He had authority to sign cheques, but that was curtailed with the arrival of Mr. Lin. Even if he could sign cheques, he was not authorized to enter into transactions on his own, he could not hire or fire employees, he could not fix prices for the purchase or the sale of scrap metal. He did not have the position of officer or director, and his duties appeared to be, for a time, securing suppliers to sell containers. I should add that, on the evidence, Mr. So was not involved in trading for the companies or had limited involvement in that aspect of the plaintiffs' business after Mr. Mak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While his role declined during Mr. Lin's tenure, he appears to have been previously a mere employee with a grander title. He did not have the substantial discretion or "the power and ability to direct and guide the affairs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do not think Mr. So was a "key employee". In reaching this conclusion, I have considered the amount of money that he earned, which was a decreasing sum, the limits placed on his ability to write cheques after Mr. Lin arrived, and the fact the he lacked the power to hire or fire employees, set prices, negotiate or sign business contracts or direct the business of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Moreover, looking at the "rough and ready" guide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as it has been referred to, the elements that would make him a fiduciary are absent. Mr. So did not have the power or discretion to affect the companies' legal or practical interests, nor was it demonstrated that the company was particularly vulnerable or at the mercy of Mr.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Accordingly applying the various tests that I have set out above, I have concluded that Mr. So was not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Nevertheless, as I described earlier, there is a duty of loyalty which is implied in Mr. So's oral contract of employment. The law indicates that an employee who engages in a competing business, without consent, is in breach of his implied obligation of loyalty. Therefore Mr. So, in carrying on the business of North Pacific to trade in containers for his own account while he was employed by Pan Pacific was in breach of that contractual term. Conflicts of interest could reasonably have arisen and he was failing to devote his attention entirely to his employer's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So argues that the plaintiffs agreed to allow him to trade on his own account and relies on discussions that he said he had with Mr. Cheng shortly before Mr. Cheng's death. Did the plaintiffs consent to Mr. So competing with them in the trading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So said that agreement with Mr. Cheng came about because he was suffering from asthma and was thinking of leaving. He said Mr. Cheng suggested that he could do some trading for himself and, as a result, he stayed. Mr. Gurney, for Mr. So, argues Mr. Cheng agreed that Mr. So could bid on containers which the plaintiffs were not able to bid on or did not bid on. He says that there was never a case where Mr. So bid on a container from a supplier who asked for a bid from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Although I expect that there may have been some discussion between Mr. Cheng and Mr. So about trading, I do not find, on a balance of probabilities, that there was an agreement that allowed Mr. So to trade, as he did, in scrap metal through his company North Pacific while he was employed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If there was discussion, it does not appear to have resulted in a clear agreement that the defendant could trade on his own account while he was employed. Mr. So described conflicting versions of the alleged agreement with Mr. Cheng in his cross-examination. At best, Mr. So's evidence suggests a discussion of an arrangement whereby the plaintiff would have the first opportunity at any container available and, if the plaintiff passed, then Mr. So could buy the container. Mr. So said that, initially, he did not take advantage of this because he did not have any money. However, if there was ever an agreement or a binding consent that allowed Mr. So to trade on his own account, then that agreement included an option for Pan Pacific to buy first. After the death of Mr. Cheng, that option would have been Mr. Lin's to exercise, yet Mr. So never told Mr. Lin of the existence of his purported agreement with Mr. Cheng, nor did he purport to trade only in containers that the plaintiff was not interested. In my view, that indicates that the discussions never resulted in a firm agreement that Mr. So could trade on his own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Accordingly, I find that the plaintiff did not consent to Mr. So trading on his own account while he was employed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Therefore, while I find that Mr. So was not a fiduciary, I do find that he was in breach of his duty of loyalty as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plaintiffs seek disgorgement of the profits that Mr. So made through his company, North Pacific, while he was employed by the plaintiffs. In seeking this remedy, the plaintiffs rest their case on the claim that Mr. So - and by extension, his company, North Pacific - owed them a fiduciary duty. According to the evidence of the plaintiff's expert, Mr. Toby Symes, North Pacific's estimated net profit from January 21, 2000 to May 19, 2004 was $1,001,295. That reflected a loss in the year 2000 of $62,537 by North Pacific, and then a profit in each year thereafter. That evidence was not challenged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However, since the plaintiffs have not established that Mr. So was a fiduciary when he was trading and making any profits, the equitable remedy is not available to them. Nor can they elect to receive a disgorgement of profits rather than proving damages; that remedy is only available to an employer in relation to an employee who has breached his duty of loyalty and, in doing so, has made use of trade secrets or confidential information. In this case, the plaintiffs have not shown that Mr. So used confidential information or trade secrets in trading on his own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This leaves the question of whether the plaintiffs shown that they have suffered damages by reason of the trading done by Mr. So in breach of his contract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Gurney argues that Mr. Lin acknowledged that the extent to which Can-Pac could bid on a container depended on a number of factors, including the availability of money, the limits of the company's overdraft, the price bid by the seller, freight costs, the price which he could obtain from his daughter in China, which was a different entity, and the type of product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Although Mr. So may have earned profits through his company, those earnings were accrued during the period after Mr. Lin took over management of the operations and Mr. So was not trading for Can-Pac. The plaintiffs have not shown that either Pan Pacific or Can-Pac has suffered a loss by reason of Mr. So's operating his own business while employed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Nevertheless, Can-Pac is entitled to nominal damages for Mr. So's breach of contract and I award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Allegation against Mr. Mak of Breach of Fiduciary Duty and Contractual Duty of Loyalty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Mak started Apec Metals in April 2001, while employed by the plaintiffs. The business was financed by his wife's parents and essentially was the trading in shredded residue. He testified that none of the sellers or buyers that he dealt with had anything to do with Can-Pac or Pan Pacific. He testified that after October or November 2001, Mr Lin was only interested in purchasing containers of what he called mixed load or straight load and did not have an interest in shredded residue unless he was able to personally inspect the load. Mr. Mak was successful in his trading through Apec Metals and, like Mr. So, was less than forthcoming in terms of his required production of documents in this litigation. Although his wife participated in the business, Mr. Mak, carried on the trading business through Apec Metals while employed at Can-Pac and to some extent during the hours that he was supposed to be working at Can-Pac.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Similar issues arise with Mr. Mak. Was he a fiduciary? If not, did he breach his contractual duty of loyalty owed to his employer? Did the plaintiffs consent to his trading? If not, is the plaintiff entitled to a disgorgement of profits on some basis or is it entitled to damages and, if so, on what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have reached similar conclusions with respect to Mr. Mak as I did with Mr. So. I find that he was not a fiduciary. I find as well that he carried on a trading business in shredded residue through Apec Metals while employed by the plaintiffs and did so without the consent of his employer. Accordingly, I find that he was in breach of his contractual duty of loyalty to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Mak was not a fiduciary. He did not have management responsibilities; he could not contract on behalf of or direct the business of the company. His job was to find sellers for scrap metal by looking through the Yellow Pages and through the internet. He took transactions that were offered or available to Mr. Lin, who would approve one or two out of every ten. Mr. Mak did not arrange the shipping nor did he sell the containers to China or set the prices. He had less authority than Mr. So and did not have access to information that could arguably be confidential, such as bank records. Nor did he have authority to make business decisions binding the plaintiff companies or hire and fire employees. He was certainly not top management, a key employee, or someone to whom Can-Pac was vulnerable.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did, however, operate Apec Metals, a business that competed with his employer, or at least engaged in a similar business. Unless he had his employer's consent to do so, this amounts to a breach of the contractual duty of loyalty.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Mak asserted that he did have his employer's consent to trade in shredded residue. He alleged two conversations with Mr. Lin where this consent is alleged to have been given. One conversation, he says, took place at the end of 2002 and the second followed a visit by Mr. Lin to Calgary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As to the first, Mr. Mak said that he and Mr. Lin were driving to Immigration and that Mr. Lin said he no longer wanted to trade in shredded residue and asked Mr. Mak if he did. Mr. Mak testified that he said that he did and that Mr. Lin did not object. The subject came up again when Mr. Lin returned from a trip to Calgary, where a dealer employed by a company called Calgary Metal told Mr. Lin that someone from Pan Pacific - identified as Mr. Mak - had come to buy things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Lin testified that after learning of this transaction he called Mr. Mak into his office and, when confronted with this information, Mr. Mak said that he had helped his friend buy one or two containers. Mr Lin said he then told Mr. Mak he should not do it again and that Mr. Mak agreed he would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Mak's version of this conversation was that Mr. Lin asked him if he bought residue from Calgary Metal, that he said he did, and Mr. Lin offered no objection. Mr. Mak said on cross-examination that he told Mr. Lin that he did do a little trading, but did not say that he bought shredded residue from companies other than Calgary Metals.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Even if I were to accept Mr. Mak's version of these conversations, I do not find that the plaintiffs consented to Mr. Mak engaging in the purchase of scrap metal while employed by Can-Pac. However, I generally prefer Mr. Lin's version of these discussions. I find there was no consent given by the plaintiffs authorizing Mr. Mak to trade in shredded residue.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Again, however, the question arises whether the plaintiffs have established that they have suffered any loss by reason of Mr. Mak's breach of contract in trading in shredded residue through Apec Metals while employed by Can-Pac.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plaintiffs have attempted to calculate the profit that has been earned by Apec Metals. This was quite a speculative exercise because Mr. Mak has not filed tax returns or prepared financial statements for Apec Metals. Mr. Toby Symes, the expert witness, attempted to use sales and purchase invoices and bank statements of Apec Metals to estimate Apec Metals' profits. According to his evidence, Apec Metals earned profits of $120,929 from incorporation to May 19, 2004 and $117,171 after May 19, 2004 for a total profit of $238,100. Mr, Symes's report showed a loss of $399,835 for Apec in 2003 but he concluded, because of the composition of the bank deposits, that he likely had not received all of the invoices. In the written argument, the plaintiffs suggest that the figure of profit for 2004 is more reliable guide as to the profit of Apec Metals. Mr. Lahay says that when, what he argues is a reasonable estimated profit of $500,000 for 2003 is added to the figures for 2002 and 2004, the total is profit for Apec Metals is more than $900,000, which the plaintiffs say is a more reasonable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amount of profits earned by Apec Metals is not relevant because the plaintiffs have not demonstrated that they are entitled to the remedy of disgorgement of profits; the defendant Mr. Mak is not a fiduciary. Further, the plaintiffs have not shown that the defendant profited by misuse of confidential information or breach of trade secrets. While he ought not to have been trading for his own account without his employer's permission, it has not been shown to me that there is any basis in breach of contract for disgorgement of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fact, the evidence indicates that Mr. Mak was trading in shredded residue, an area of the scrap metal business the plaintiff was not interested in pursuing, at least after the fall of 2001, because of its risk and thin profit margin. Mr. Lin would trade in shredded residue if he could personally inspect the product, as he did in the case of one supplier, Richmond Steel, but I am persuaded that Can-Pac did not have a particular interest in that part of the business and therefore suffered no loss by Mr. Mak engaging in this activity. Even if that is wrong, I do not think that the plaintiffs have proven that they suffered any loss by reason of the business that the defendant Mak was engaged in on the side. Again, I conclude that the plaintiffs have not proven damages and are only entitled to nominal damages of $1,000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If I am wrong in this conclusion and the plaintiff is entitled to the remedy of disgorgement of profits, then I would refer that issue to the registrar for determination. My reasons for that are that the evidence as to profits is simply too speculative and imprecise to make a determination of the profits of Apec Metals, particularly given the shortcomings in the defendant's 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PROPERTY TRANSACTION AT MITCHELL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now turn to the claim in connection with the Mitchell Island property. I provided some background at paragraph 21-26.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property transaction is challenged on the basis that Mr. So allegedly was a fiduciary of the plaintiff and a director of the company used to purchase the land. The plaintiffs say that all of the defendants (in addition to Mr. So) would be liable on the basis of third party accessory liability. The numbered company is liable, the plaintiffs say, either through the knowledge of a director, Mr. So, or through principles of knowing receipt or knowing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plaintiffs assert that, regardless of whether or not Mr. So's position generally with Pan Pacific imposed upon him a fiduciary duty, his direct involvement in the negotiations to purchase the property, when added to his duties and other functions, created a fiduciary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plaintiffs seek the transfer of the title of the property to Pan Pacific either for the price of $900,000 or $950,000 on the basis that the property is held on a constructive trust by the numbered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plaintiffs say the only question is the price that should be paid for the property; $900,000, which is the price that Mr. Belzberg said that he was willing to accept and that Mr. Lin said he would have grabbed had it been communicated to him by Mr. So, or $950,000, which is the price paid by the numbered company. The plaintiffs took a similar approach to this claim as they did with the claims related to the competing or parallel businesses, which is to say they made no attempt to prove damages, but sought a remedy for breach of fiduciary duty, namely, disgorgement of any benefit. They also seek an accounting of the rents and other income received by the numbered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defendants, on the other hand, say that the numbered company did not wrongfully purchase the Mitchell Island property in breach of any duty to the plaintiff Pan Pacific. The defendants say that by the time they purchased the property in September 2003, the negotiations between Mr. Lin and Mr. Belzberg had terminated and the plaintiff was no longer actively pursuing the opportunity to purchase. They say the plaintiff demonstrated no further active interest until Mr. Zhu contacted Mr. Belzberg after the defendants purchased the property. After resuming contact, the plaintiff made offers of $1.1 million and, later, in May 2004, of $1.3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defendants say that they can only be held liable if they were fiduciaries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the Mitchell Island property was a maturing business opportunity or, to put it another way, a corporate opportunity that the plaintiff was actively pursuing. Mr. Gurney says that at the time of the purchase by the defendants - the sale closed on September 15, 2003 - the Mitchell Island property was neither of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concerning the Mitchell Island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December 2002, Mr. Lin gave instructions to Mr. So, who was acting as an interpreter, to communicate with Mr. Belzberg for the renewal of the lease of the property at 13900 Mitchell Road. On December 10, 2002, Jayberg Enterprises delivered a proposal and on February 19, 2003 the lease was extended for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Shortly thereafter, Mr. Lin asked Mr. So to ask the landlord, Mr. Belzberg, if he was interested in selling the property. There was an initial meeting attended by Mr. Lin, Mr. So and Mr. Belzberg. Mr. So acted as interpreter between Mr. Lin and Mr. Belzberg. Mr. Belzberg indicated that he was interested in selling and that the purchase price was $1.2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So suggested to Mr. Lin that they obtain an appraisal. This was done and the appraisal indicated a market value of $840,000.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a subsequent discussion between Messrs. Lin and Belzberg, with Mr. So again acting as an interpreter, the price of $950,000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 memorandum dated March 12, 2003 was prepared by Mr. Wen, the assistant to the president, Mr. Lin. This memorandum proposed a total price of $950,000, with the seller providing a $600,000 financial loan with a floating rate and ten-year term, and the purchaser paying $350,000 by cash ($200,000 in the first year and $150,000 in the second year). The memorandum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sides agree the purchasing will be acted after the environmental examination passed. The cost of this examination will be paid by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Seller; if all required examination passed.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50% by Seller and 50% by Purchaser if the examination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financial terms of the transaction were designed either to evade capital gains tax or lower the property purchase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Belzberg prepared a formal agreement, which was signed by both parties on March 14, 2003. It provided for a purchase price of $600,000 and an additional fee of $350,000 cash, part at closing and part a year later, and it contained the provision that it was subject to: "satisfactory environmental study to be paid by vendor if the sale completes, and half each with the vendor and purchaser if the sale does not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environmental study, a requirement which was apparently suggested by Pan Pacific's bankers, was done and a so-called stage 2 report was prepared. That report, dated April 28, 2003, indicated that there was contamination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results of stage 2 PSI, EBA considers further environmental investigation is required to determine the extent of soil and groundwater contamination, both horizontally and vertically, and to determine the source of the petroleum hydrocarbon and metal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So explained the contents of the report to Mr. Lin, saying it indicated the property was slightly contaminated. There was really no suggestion that Mr. So misrepresented the contents of the environmental assessment to Mr. 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An important meeting then ensued between Mr. Belzberg, Mr. So and Mr. Lin. This meeting took place near the end of April or the beginning of May 2003 at the office of Pan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communications at the meeting were through Mr.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Lin testified that he told Mr. Belzberg that the report had been delivered and that it found there was certain pollution at the site. He said requested that Mr. Belzberg make the appropriate adjustment to the price, but that he, Mr Lin, did not suggest an amount. He testified that Mr. So reported that Mr. Belzberg indicated that the adjustment would not be a lot, that there would be a minor adjustment, and that Mr. Belzberg would give a reply after some consideration. Mr. Lin said that there was no mention of a timeframe. In other words, from Mr. Lin's evidence, the meeting ended and Mr. Belzberg was to consider the situation and get back to Mr. Lin as to what, if any, adjustment he would make the agreed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Lin testified that he did not recall saying that he was prepared to pay $850,000. On discovery, he said he asked Mr. Belzberg if he would come down $80,000 to $100,000. Mr. Lin said that Mr. Belzberg did not mention a reduced figure - and did not say that he would sell at $900,000 - and that Mr. So said they should let Mr. Belzberg go and consider the matter. Mr. Lin said if Mr. Belzberg had told him he would sell for $900,000 that he would have grabbed it and would have been overjoyed. Mr. Lin denied that Mr. Belzberg left the meeting "not too pleased".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Both Mr. So and Mr. Belzberg offered significantly different accounts of what happened at that meeting in late April or early May when the negotiations faltered.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So testified that he told Mr. Lin that the environmental assessment had found that the property was slightly contaminated and that Mr. Lin asked him to get Mr. Belzberg in for a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So testified that following discussion took place at the meeting, at which he acted as interpreter. First, Mr. Lin informed Mr. Belzberg that the property was contaminated and he wanted the price lowered. He then asked Mr. So to tell Mr. Belzberg that he, Mr Lin, thought the price should be $850,000. Mr. So conveyed this offer to Mr. Belzberg, who did not like the price and made a counter-offer at $900,000, adding that if that price was okay, they had a deal today. According to Mr. So, Mr. Lin said no to Mr. Belzberg's counter-offer. Mr. So said that nothing else was discussed and that Mr. Belzberg left the meeting very unhappy.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On cross-examination, Mr. So agreed that when they all left the room Mr. Lin and Mr. Belzberg were $50,000 apart. Mr. So denied that Mr. Belzberg said he would think about lowering his price. Mr. So reiterated that Mr. Belzberg said at the meeting that he would lower his price to $900,000 and if that was acceptable there was a deal on the spot.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So said that after the meeting he stopped dealing with Mr. Belzberg and did not know what, if any, negotiations continued between Mr. Belzberg and Mr. Lin. The plaintiffs did not suggest that Mr. Lin brought or tried to bring Mr. So back into any further discussions with Mr. Belzberg over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Belzberg testified that this meeting in late April or early May was not a particularly friendly meeting and that he made one last ditch offer. He said that Mr. Lin offered $850,000 and he responded at $900,000. He could not recall the exact way things happened but he said there was one last ditch effort on his part, but that he regretted it (reducing his price) and when it did not result in a transaction he testified that he did not want any further dealings with Mr. 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Belzberg said on his way out he told Mr. So to tell his employer to leave him alone. On cross-examination, Mr. Belzberg said that after the subject agreement ended, there was no way he was going to sell the property to Mr. Lin. He suggested that his dealings with Mr. Lin were totally different than the satisfactory dealings he said he had with Mr. Cheng, but did not elaborate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find that the meeting ended as Mr. Belzberg testified. The negotiations between Pan Pacific and Jayberg essentially terminated at the meeting in late April or very early May 2003. After Mr. Belzberg had offered to sell for $900,000 and Mr. Lin rejected that offer, I find that there was no expectation between Mr. Lin and Mr. Belzberg that the negotiations would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do not accept the evidence of Mr. Lin that he was awaiting Mr. Belzberg's position. Rather, I find that after a discussion of the contamination indicated by the environmental report, Mr. Lin had turned down Mr. Belzberg's reduced offer and the matter was left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There were no further immediate discussions between the parties. In fact, after the meeting, Mr. Lin asked Mr. So to check out the property across the street and after Mr. So did that, it appeared to be the end of Mr. So's dealings on the question of acquiring a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expect that it became known at the plant that the purchase had foundered and Mr. Lin was reluctant to buy because of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June, Pan Pacific delivered its cheque for half of the cost of the environmental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According to Mr. Lin, Pan Pacific had not heard back from Mr. Belzberg by the time Mr. Zhu started to work for him in August 2003. He says he asked Mr. Zhu to look up Mr. Belzberg when he came to collect the rent and get him to give him an exact answer. In other words, after about four months of waiting to hear back from Mr. Belzberg, Mr. Lin said that he reinitiated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find that Mr. Zhu contacted Mr. Belzberg some time after the middle of September. According to Mr. Zhu, Mr. Belzberg did not give a direct response but simply asked for time to consider it. Mr. Lin subsequently instructed his employees to make further offers. In 2003, he told Mr. Zhu to tell Mr. Belzberg that he was prepared to pay $1.1 million. On May 6, 2004, Mr. Wen wrote to Mr. Belzberg to say that Pan Pacific was prepared to pay $1.3 million. Mr. Lin said that Mr. Belzberg did not respond to these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How did the defendants become involved in the purchase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According to the evidence of Mr. Belzberg and Mr. Mak, Mr. Mak contacted Mr. Belzberg in July 2003 and asked if the property was for sale. According to Mr. Belzberg, Mr. Mak had asked him for his business card when he went to Pan Pacific to collect the rent. That first encounter appears to have taken place about two months after the conditional agreement between Pan Pacific and Jayberg ended at the end of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Mak said he learned from Mr. Lin at a casual meeting at Pan Pacific that Mr. Lin was not buying the property as it was contaminated. Mr. Chan also gave evidence that he was aware that a soils investigation was being done, and said that he heard from Mr. Lin that Pan Pacific was not buying the property because it was found to be contaminated. Mr. Ken Wang, an employee of Pan Pacific since 1995, said he never heard Mr. Lin say that he was not interested in buying the property, but he was aware that Mr. Lin had said that the property had a soil pollution problem. Mr. Lin denied telling the employees that he did not want to purchase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find that it was general knowledge at Pan Pacific that the original purchase had collapsed because of the contamination issue but it was not shown in the evidence that Mr. Lin clearly expressed to his employees that he would have no interest in trying to purchase the property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Mak and Mr. Belzberg met at a restaurant in July, 2003. According to Mr. Belzberg, Mr. Mak said he was acting for himself, his father-in-law, and his company Apec Metals. This was consistent with Mr. Mak's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According to Mr. Mak, Mr. Belzberg showed him the environmental assessment, the lease for Pan Pacific and the lease with the other tenant. Mr. Belzberg's price was $950,000. Mr. Mak indicated that he would be interested and would buy the property, but that he would have to find a lawyer. Mr. Belzberg said he would give him time to do that. From the evidence, it appears that an understanding was reached at the first or second meeting between Mr. Belzberg and Mr. Mak that Mr. Mak would buy the property for the agreed price of $950,000.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Mak said that he then spoke to Mr. Chan, who he understood had money in the stock market. Although Mr. Mak said he didn't necessarily need Mr. Chan to finance the purchase, he told him that he and Mr. Belzberg had agreed to terms, and that if he wanted to join the purchase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Mak and Mr. Chan met with Mr. Belzberg. Mr. Chan was asked on cross-examination if he inquired of Mr. Mak whether Pan Pacific was still interested in buying the property. He said he did not think he said that during the meeting, although he had indicated on discovery that he had. Mr. Chan said that he had heard that the property was contaminated and that Mr. Lin was no longer interested. I find that Mr. Chan asked Mr. Mak if Pan Pacific was still interested and according to Mr. Chan, Mr. Mak told him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According to the evidence, Mr. Chan spoke to Mr. So a couple of days later and got him involved in the transaction as a third investor. Mr. Chan testified that he asked Mr. Mak about bringing in Mr. So and that Mr. Mak said that was okay. After Mr. Chan spoke to Mr. So, Mr. Mak spoke to Mr. So and he came into the purchase a few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All three of them then met with Mr. Belzberg.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agreement to purchase the property was signed on August 8, 2003 and the transaction completed in the middle of September 2003. The defendants incorporated a numbered company, 882003 Enterprises Ltd. and to complete the transaction they paid $350,000 cash and entered into a mortgage for $600,000 with Jayberg Enterprises. The transaction was structured the same way as the deal reached in April with Pan Pacific and it was obviously structured that way either to avoid capital gains tax or registration costs in connection with the transaction. Mr. Belzberg, who I find suggested this arrangement, acknowledged that he should not have done it that way, but testified that he paid all income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find that each of the three purchasers paid an equal share of the cash payment from sources that were independent of the other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Chan says that because of the purchasers' lack of experience and because they did not know a property manager, they asked Mr. Belzberg to manage the property and continue to receive the rent. The defendants testified that this was Mr. Chan's idea. The plaintiffs suggest that real purpose of this arrangement was to prevent Mr. Lin from learning that the property had been purchased by a company owned by the three employees. Although the individual defendants denied this, none of them told their employer that they had purchased the property. Rent continued to be paid to Mr. Belzberg's company. Although Pan Pacific renewed its efforts to purchase the property after the middle of September, Mr. Belzberg did not reply to Pan Pacific. His instructions from the defendants were that they were not interested in 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find that Mr. Mak made some enquiries of Mr. Belzberg as to whether or nor Pan Pacific was still interested before he proceeded with negotiations. There appears to have been no further overtures from Pan Pacific to Mr. Belzberg until after Mr. Mak, and then Mr. Chan and Mr. So, reached an agreement with Jayberg. While it is difficult to be precise about Pan Pacific's continued interest, it does not appear that Mr. So received any instructions to contact Mr. Belzberg or had any further involvement in a possible purchase by Pan Pacific. In the summer of 2003, when Mr. Mak and Mr. Belzberg reached an agreement in principle, Mr. Lin was looking at least at one other property across the street. Mr. Lin was not in negotiations with Mr. Belzberg nor is there any evidence that he was discussing his possible future plans about the Mitchell Island property with Mr.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As I understood the plaintiffs' argument, they say I should be suspicious of the defendants' evidence as to how the purchase came about because Mr. So could have been the real instigator, with the others joining in to cover up the actual role that he played. I find, however, that the purchase came about in the manner testified to by the defendants and by Mr. Belzberg. Mr. Mak, who had the financial backing to purchase the property, first contacted Mr. Belzberg and they reached an agreement, at least in principle. Mr. Mak brought in Mr. Chan, who then suggested Mr. So as a third partner or shareholder. This was the consistent evidence of the defendants and of Mr. Belzberg. Significantly, this evidence was not challenged on cross-examination of any of these witnesses. The fact that the three purchasers were independent and not a front for Mr. So was supported by the fact that each paid his share of the cash payment of $350,000. I found Mr. Belzberg to be a credible witness. I accept that their purchase came about the way the defendants describe.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What are the applicable principles to consider in determining whether the defendants or any of them are liable for their involvement in the acquisition of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defendants were all employees of Pan Pacific and Can-Pac at the time they bought the property, which their employer was leasing and using for its business. They failed to disclose the purchase to their employer and had Mr. Belzberg's company continue to collect the rent after the purchase. I find their explanation of why Mr. Belzberg's company continued to collect the rent to be disingenuous.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the circumstances, the employees breached their duty of loyalty to the employer by purchasing a property that their employer still leased and at one time had considered buying, without at least informing the employer that they intended to do so. If this was a wrongful dismissal case, that breach would likely have provided grounds for all of the employees' 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However, the plaintiffs' argument on this aspect of the case rests almost entirely on the allegation that Mr. So breached a fiduciary duty owed to the plaintiffs, a higher and stricter duty than the duty of loyalty owed by a mere employee. It was likely argued that way because the plaintiffs were unable to prove any damages suffered by them by reason of the purchase. In the absence of such evidence, Pan Pacific has advanced its case on Mr. So's alleged breach of fiduciary duty and seeks the equitable remedy of a declaration of constructive trust, as well as an accounting of the rents paid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Was Mr. So a fiduciary to his employer in connection with the transaction, and if so, why, and for what period of time? Finally, if Mr. So has liability, are the other defendants liable and if so on what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fiduciary conflict rule as it arises with respect to corporate opportunities usurped by directors or other senior officers is stated by </w:t>
      </w:r>
      <w:r>
        <w:rPr>
          <w:rFonts w:ascii="arial" w:eastAsia="arial" w:hAnsi="arial" w:cs="arial"/>
          <w:i/>
          <w:color w:val="000000"/>
          <w:sz w:val="20"/>
          <w:lang w:val="en-US" w:eastAsia="en-US" w:bidi="ar-SA"/>
        </w:rPr>
        <w:t>Snell's Equity</w:t>
      </w:r>
      <w:r>
        <w:rPr>
          <w:rFonts w:ascii="arial" w:eastAsia="arial" w:hAnsi="arial" w:cs="arial"/>
          <w:color w:val="000000"/>
          <w:sz w:val="20"/>
          <w:lang w:val="en-US" w:eastAsia="en-US" w:bidi="ar-SA"/>
        </w:rPr>
        <w:t xml:space="preserve"> 31st Ed. John McGee Q.C. at 7-116 to 7-117:</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CORPORATE OPPORTUNITIES. A director or other senior officer of a company is disqualified "from usurping for himself or diverting to another person or company with whom or with which he is associated a maturing business opportunity which his company is actively pursuing." This is best understood as an application of a combination of the fiduciary conflict rule and the fiduciary profit rule. Thus, in </w:t>
      </w:r>
      <w:r>
        <w:rPr>
          <w:rFonts w:ascii="arial" w:eastAsia="arial" w:hAnsi="arial" w:cs="arial"/>
          <w:b/>
          <w:i/>
          <w:color w:val="000000"/>
          <w:sz w:val="20"/>
          <w:lang w:val="en-US" w:eastAsia="en-US" w:bidi="ar-SA"/>
        </w:rPr>
        <w:t>I.D.C. v. Cooley</w:t>
      </w:r>
      <w:r>
        <w:rPr>
          <w:rFonts w:ascii="arial" w:eastAsia="arial" w:hAnsi="arial" w:cs="arial"/>
          <w:color w:val="000000"/>
          <w:sz w:val="20"/>
          <w:lang w:val="en-US" w:eastAsia="en-US" w:bidi="ar-SA"/>
        </w:rPr>
        <w:t>, for example, a director acted in breach of fiduciary duty when he obtained for himself a contract with a third party which he had been trying, but unsuccessfully so, to obtain for his company. Roskill J. explained that this placed the director in a position of conflict between his personal interest in obtaining the contract for himself and his duty to inform the company of the information which was clearly of interest to it. Directors of a company acted in breach of fiduciary duty when they negotiated a contract of behalf of themselves, rather than the company, while still directors and in the same manner as they had done previously on behalf of the company. And directors were held liable for breach of fiduciary duty when they took for themselves an opportunity which it would have been worthwhile for the company to exploit: the directors were obligated to advise the company of the opportunity and therefore had a conflict between duty and interest when they took the opportunity for themselves.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rule regarding corporate opportunities is an application of the fiduciary conflict and profit rules, it is not necessary to show that the opportunity was one which the company was actively pursuing or one in the company's line of business, provided it is one which the director was duty-bound to disclose to the company such that there was a conflict between duty and interest. Nor is it necessary that the opportunity be treated as company property. Under the fiduciary conflict rule, the director will be in breach of fiduciary duty in such cases even if the information came to him in a private capacity, rather than in his capacity as a director, provided the director ought to have disclosed the information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Canadian Aero</w:t>
      </w:r>
      <w:r>
        <w:rPr>
          <w:rFonts w:ascii="arial" w:eastAsia="arial" w:hAnsi="arial" w:cs="arial"/>
          <w:color w:val="000000"/>
          <w:sz w:val="20"/>
          <w:lang w:val="en-US" w:eastAsia="en-US" w:bidi="ar-SA"/>
        </w:rPr>
        <w:t xml:space="preserve"> the court referred to a fiduciary taking for himself a "maturing business opportunity which his company is actively pursuing". Other cases, such as </w:t>
      </w:r>
      <w:r>
        <w:rPr>
          <w:rFonts w:ascii="arial" w:eastAsia="arial" w:hAnsi="arial" w:cs="arial"/>
          <w:b/>
          <w:i/>
          <w:color w:val="000000"/>
          <w:sz w:val="20"/>
          <w:lang w:val="en-US" w:eastAsia="en-US" w:bidi="ar-SA"/>
        </w:rPr>
        <w:t>Alnor Services Ltd. v. Sawyer</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(1990), 31 C.C.E.L. 34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Cranewood Financial Corp. v. Norisawa</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[2001] B.C.J. No. 1566</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2001 BCSC 1126</w:t>
        </w:r>
      </w:hyperlink>
      <w:r>
        <w:rPr>
          <w:rFonts w:ascii="arial" w:eastAsia="arial" w:hAnsi="arial" w:cs="arial"/>
          <w:color w:val="000000"/>
          <w:sz w:val="20"/>
          <w:lang w:val="en-US" w:eastAsia="en-US" w:bidi="ar-SA"/>
        </w:rPr>
        <w:t>, refer to "ripening business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To the extent that these terms suggest that fiduciaries are only barred from taking opportunities that the corporation is actively pursuing, they are probably misleading. The question of whether a fiduciary has breached his duty by taking a particular opportunity is a question of fact that can turn on many factors, some of which are set out by Laskin J. in </w:t>
      </w:r>
      <w:r>
        <w:rPr>
          <w:rFonts w:ascii="arial" w:eastAsia="arial" w:hAnsi="arial" w:cs="arial"/>
          <w:b/>
          <w:i/>
          <w:color w:val="000000"/>
          <w:sz w:val="20"/>
          <w:lang w:val="en-US" w:eastAsia="en-US" w:bidi="ar-SA"/>
        </w:rPr>
        <w:t>Canadian Aero</w:t>
      </w:r>
      <w:r>
        <w:rPr>
          <w:rFonts w:ascii="arial" w:eastAsia="arial" w:hAnsi="arial" w:cs="arial"/>
          <w:color w:val="000000"/>
          <w:sz w:val="20"/>
          <w:lang w:val="en-US" w:eastAsia="en-US" w:bidi="ar-SA"/>
        </w:rPr>
        <w:t xml:space="preserve"> at p. 620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standards of loyalty, good faith and avoidance of a conflict of duty and self-interest to which the conduct of a director or senior officer must conform, must be tested in each case by many factors which it would be reckless to attempt to enumerate exhaustively. Among them are the factor of position or office held, the nature of the corporate opportunity, its ripeness, its specificness and the director's or managerial officer's relation to it, the amount of knowledge possessed, the circumstances in which it was obtained and whether it was special or, indeed, even private, the factor of time in the continuation of fiduciary duty where the alleged breach occurs after termination of the relationship with the company, and the circumstances under which the relationship was terminated, that is whether by retirement or resignation or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law indicates that to show a causal connection, the beneficiary of the fiduciary duty does not have to prove that but for the breach he or she would have taken up the opportunity in question and would have made the profit in question. In that respect, I refer to Madam Justice Newbury's decision in </w:t>
      </w:r>
      <w:r>
        <w:rPr>
          <w:rFonts w:ascii="arial" w:eastAsia="arial" w:hAnsi="arial" w:cs="arial"/>
          <w:b/>
          <w:i/>
          <w:color w:val="000000"/>
          <w:sz w:val="20"/>
          <w:lang w:val="en-US" w:eastAsia="en-US" w:bidi="ar-SA"/>
        </w:rPr>
        <w:t>3464920 Canada v. Strother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paragraph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Canada, similar reasoning has been applied on numerous occasions: see especially </w:t>
      </w:r>
      <w:r>
        <w:rPr>
          <w:rFonts w:ascii="arial" w:eastAsia="arial" w:hAnsi="arial" w:cs="arial"/>
          <w:b/>
          <w:i/>
          <w:color w:val="000000"/>
          <w:sz w:val="20"/>
          <w:lang w:val="en-US" w:eastAsia="en-US" w:bidi="ar-SA"/>
        </w:rPr>
        <w:t>Canadian Aero Service Ltd. v. O'Malley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Canadian Aero</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[1974] S.C.R. 592</w:t>
        </w:r>
      </w:hyperlink>
      <w:r>
        <w:rPr>
          <w:rFonts w:ascii="arial" w:eastAsia="arial" w:hAnsi="arial" w:cs="arial"/>
          <w:color w:val="000000"/>
          <w:sz w:val="20"/>
          <w:lang w:val="en-US" w:eastAsia="en-US" w:bidi="ar-SA"/>
        </w:rPr>
        <w:t xml:space="preserve">, at 608-611, and </w:t>
      </w:r>
      <w:r>
        <w:rPr>
          <w:rFonts w:ascii="arial" w:eastAsia="arial" w:hAnsi="arial" w:cs="arial"/>
          <w:b/>
          <w:i/>
          <w:color w:val="000000"/>
          <w:sz w:val="20"/>
          <w:lang w:val="en-US" w:eastAsia="en-US" w:bidi="ar-SA"/>
        </w:rPr>
        <w:t>Abbey Glen Property Corp. v. Stumborg</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(1975) 65 D.L.R. (3d) 235</w:t>
        </w:r>
      </w:hyperlink>
      <w:r>
        <w:rPr>
          <w:rFonts w:ascii="arial" w:eastAsia="arial" w:hAnsi="arial" w:cs="arial"/>
          <w:color w:val="000000"/>
          <w:sz w:val="20"/>
          <w:lang w:val="en-US" w:eastAsia="en-US" w:bidi="ar-SA"/>
        </w:rPr>
        <w:t xml:space="preserve"> (Alta. S.C.(T.D.)), aff'd </w:t>
      </w:r>
      <w:hyperlink r:id="rId497" w:history="1">
        <w:r>
          <w:rPr>
            <w:rFonts w:ascii="arial" w:eastAsia="arial" w:hAnsi="arial" w:cs="arial"/>
            <w:i/>
            <w:color w:val="0077CC"/>
            <w:sz w:val="20"/>
            <w:u w:val="single"/>
            <w:shd w:val="clear" w:color="auto" w:fill="FFFFFF"/>
            <w:lang w:val="en-US" w:eastAsia="en-US" w:bidi="ar-SA"/>
          </w:rPr>
          <w:t>(1978) 85 D.L.R. (3d) 35</w:t>
        </w:r>
      </w:hyperlink>
      <w:r>
        <w:rPr>
          <w:rFonts w:ascii="arial" w:eastAsia="arial" w:hAnsi="arial" w:cs="arial"/>
          <w:color w:val="000000"/>
          <w:sz w:val="20"/>
          <w:lang w:val="en-US" w:eastAsia="en-US" w:bidi="ar-SA"/>
        </w:rPr>
        <w:t xml:space="preserve"> (App. Div.). In his text, supra, Professor McGuinness summarizes these and other authorities as showing that "the true basis of the fiduciary's liability is not that the fiduciary has seized a corporate opportunity or a maturing business prospect (for if the transaction is not available to the corporation, it cannot be said to have matured, or to be a corporate opportunity), but rather [that] the fiduciary has permitted self-interest to conflict with the duties that are owed to the corporation." (At 750.) After citing </w:t>
      </w:r>
      <w:r>
        <w:rPr>
          <w:rFonts w:ascii="arial" w:eastAsia="arial" w:hAnsi="arial" w:cs="arial"/>
          <w:b/>
          <w:i/>
          <w:color w:val="000000"/>
          <w:sz w:val="20"/>
          <w:lang w:val="en-US" w:eastAsia="en-US" w:bidi="ar-SA"/>
        </w:rPr>
        <w:t>Chan v. Zacharia</w:t>
      </w:r>
      <w:r>
        <w:rPr>
          <w:rFonts w:ascii="arial" w:eastAsia="arial" w:hAnsi="arial" w:cs="arial"/>
          <w:color w:val="000000"/>
          <w:sz w:val="20"/>
          <w:lang w:val="en-US" w:eastAsia="en-US" w:bidi="ar-SA"/>
        </w:rPr>
        <w:t xml:space="preserve"> (1984) 154 C.L.R. 178 (H.C.A.), McGuinness continues: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the court will not inquire and is not in a position to ascertain whether the person to whom the fiduciary duty is owed has actually lost or not lost by reason of the breach of duty. Instead, the court will look to see whether an improper profit has been made by the fiduciary, and if so it will require the fiduciary to account for that profit. It follows that like all fiduciaries, a director or officer of a corporation has a duty to account to the corporation for any profit made in breach of the director's or officer's fiduciary duties to the corporation. The liability to account does not depend upon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fraud or bad faith on the part of the director. [at 746;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Henfrey &amp; Co.</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149 D.L.R. (3d) 736</w:t>
        </w:r>
      </w:hyperlink>
      <w:r>
        <w:rPr>
          <w:rFonts w:ascii="arial" w:eastAsia="arial" w:hAnsi="arial" w:cs="arial"/>
          <w:color w:val="000000"/>
          <w:sz w:val="20"/>
          <w:lang w:val="en-US" w:eastAsia="en-US" w:bidi="ar-SA"/>
        </w:rPr>
        <w:t xml:space="preserve">, at 745-47, </w:t>
      </w:r>
      <w:r>
        <w:rPr>
          <w:rFonts w:ascii="arial" w:eastAsia="arial" w:hAnsi="arial" w:cs="arial"/>
          <w:b/>
          <w:i/>
          <w:color w:val="000000"/>
          <w:sz w:val="20"/>
          <w:lang w:val="en-US" w:eastAsia="en-US" w:bidi="ar-SA"/>
        </w:rPr>
        <w:t>Jacks v. Davis</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(1982) 141 D.L.R. (3d) 355</w:t>
        </w:r>
      </w:hyperlink>
      <w:r>
        <w:rPr>
          <w:rFonts w:ascii="arial" w:eastAsia="arial" w:hAnsi="arial" w:cs="arial"/>
          <w:color w:val="000000"/>
          <w:sz w:val="20"/>
          <w:lang w:val="en-US" w:eastAsia="en-US" w:bidi="ar-SA"/>
        </w:rPr>
        <w:t xml:space="preserve"> (B.C.C.A.), and Professor McCamus's article, </w:t>
      </w:r>
      <w:r>
        <w:rPr>
          <w:rFonts w:ascii="arial" w:eastAsia="arial" w:hAnsi="arial" w:cs="arial"/>
          <w:i/>
          <w:color w:val="000000"/>
          <w:sz w:val="20"/>
          <w:lang w:val="en-US" w:eastAsia="en-US" w:bidi="ar-SA"/>
        </w:rPr>
        <w:t>Remedies for Breach of Fiduciary Duty</w:t>
      </w:r>
      <w:r>
        <w:rPr>
          <w:rFonts w:ascii="arial" w:eastAsia="arial" w:hAnsi="arial" w:cs="arial"/>
          <w:color w:val="000000"/>
          <w:sz w:val="20"/>
          <w:lang w:val="en-US" w:eastAsia="en-US" w:bidi="ar-SA"/>
        </w:rPr>
        <w:t xml:space="preserve"> in the 1990 Special Lectures of the Law Society of Upper Canada. He notes (at 60) that relief by way of the disgorgement remedy is not limited to those cases in which "unjust enrichment by subtraction from the plaintiff" has occurred, but that it is also available where "unjust enrichment by doing wrong to the plaintiff" has been shown, citing the well-known analysis of P.B.H. Birks in </w:t>
      </w:r>
      <w:r>
        <w:rPr>
          <w:rFonts w:ascii="arial" w:eastAsia="arial" w:hAnsi="arial" w:cs="arial"/>
          <w:i/>
          <w:color w:val="000000"/>
          <w:sz w:val="20"/>
          <w:lang w:val="en-US" w:eastAsia="en-US" w:bidi="ar-SA"/>
        </w:rPr>
        <w:t>An Introduction to the Law of Restitution (1985)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While the term "maturing" may be appropriate in the case of </w:t>
      </w:r>
      <w:r>
        <w:rPr>
          <w:rFonts w:ascii="arial" w:eastAsia="arial" w:hAnsi="arial" w:cs="arial"/>
          <w:b/>
          <w:i/>
          <w:color w:val="000000"/>
          <w:sz w:val="20"/>
          <w:lang w:val="en-US" w:eastAsia="en-US" w:bidi="ar-SA"/>
        </w:rPr>
        <w:t>Canadian Aero</w:t>
      </w:r>
      <w:r>
        <w:rPr>
          <w:rFonts w:ascii="arial" w:eastAsia="arial" w:hAnsi="arial" w:cs="arial"/>
          <w:color w:val="000000"/>
          <w:sz w:val="20"/>
          <w:lang w:val="en-US" w:eastAsia="en-US" w:bidi="ar-SA"/>
        </w:rPr>
        <w:t xml:space="preserve">, where the fiduciaries usurped an opportunity for which they had negotiated on behalf of the company but had not yet come to fruition, the corporate opportunity doctrine has a much wider scope. In </w:t>
      </w:r>
      <w:r>
        <w:rPr>
          <w:rFonts w:ascii="arial" w:eastAsia="arial" w:hAnsi="arial" w:cs="arial"/>
          <w:b/>
          <w:i/>
          <w:color w:val="000000"/>
          <w:sz w:val="20"/>
          <w:lang w:val="en-US" w:eastAsia="en-US" w:bidi="ar-SA"/>
        </w:rPr>
        <w:t>Regal (Hastings) Ltd. v. Gulliver</w:t>
      </w:r>
      <w:r>
        <w:rPr>
          <w:rFonts w:ascii="arial" w:eastAsia="arial" w:hAnsi="arial" w:cs="arial"/>
          <w:color w:val="000000"/>
          <w:sz w:val="20"/>
          <w:lang w:val="en-US" w:eastAsia="en-US" w:bidi="ar-SA"/>
        </w:rPr>
        <w:t xml:space="preserve">, [1942] 1 All E.R. 378, the House of Lords held directors of a company to a strict standard. Despite the fact that the corporation could not have availed itself of the opportunity because of a lack of funds, the Lords found that the directors had breached their duty to the corporation and required them to disgorge their profits. This approach has been followed in cases such as </w:t>
      </w:r>
      <w:r>
        <w:rPr>
          <w:rFonts w:ascii="arial" w:eastAsia="arial" w:hAnsi="arial" w:cs="arial"/>
          <w:b/>
          <w:i/>
          <w:color w:val="000000"/>
          <w:sz w:val="20"/>
          <w:lang w:val="en-US" w:eastAsia="en-US" w:bidi="ar-SA"/>
        </w:rPr>
        <w:t>Redekop v. Robco Construction Ltd.</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(1978), 7 B.C.L.R. 268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Abbey Glen Property Corp. v. Stumborg</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(1975) 65 D.L.R. (3d) 235</w:t>
        </w:r>
      </w:hyperlink>
      <w:r>
        <w:rPr>
          <w:rFonts w:ascii="arial" w:eastAsia="arial" w:hAnsi="arial" w:cs="arial"/>
          <w:color w:val="000000"/>
          <w:sz w:val="20"/>
          <w:lang w:val="en-US" w:eastAsia="en-US" w:bidi="ar-SA"/>
        </w:rPr>
        <w:t xml:space="preserve"> (Alta.), in which the court found that directors must account to the corporation for shares they have purchased, even though the third party selling the shares insisted that they take the shares personally and declined to sell to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Supreme Court of Canada offered a more relaxed approach to fiduciary duty in </w:t>
      </w:r>
      <w:r>
        <w:rPr>
          <w:rFonts w:ascii="arial" w:eastAsia="arial" w:hAnsi="arial" w:cs="arial"/>
          <w:b/>
          <w:i/>
          <w:color w:val="000000"/>
          <w:sz w:val="20"/>
          <w:lang w:val="en-US" w:eastAsia="en-US" w:bidi="ar-SA"/>
        </w:rPr>
        <w:t>Peso Silver Mines Ltd v. Cropper</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[1966] S.C.R. 673</w:t>
        </w:r>
      </w:hyperlink>
      <w:r>
        <w:rPr>
          <w:rFonts w:ascii="arial" w:eastAsia="arial" w:hAnsi="arial" w:cs="arial"/>
          <w:color w:val="000000"/>
          <w:sz w:val="20"/>
          <w:lang w:val="en-US" w:eastAsia="en-US" w:bidi="ar-SA"/>
        </w:rPr>
        <w:t>. There, the plaintiff corporation considered and rejected an opportunity to acquire a number of mining claims, after which the defendant, a director of Peso, formed a new corporation to acquire the claims. In allowing the defendant's appeal, the Court found that Peso ceased to have an interest in the claims when it rejected the offer (and the court noted that the trial judge had made "affirmative findings of fact that he and his co-directors acted in good faith, solely in the interests of the appellant and with sound business reasons in rejecting the offer") and further, that when the party that had approached Peso about the claims subsequently approached Cropper, it did so "not in his capacity as a director of the appellant but as an individual member of the public whom [he] was seeking to interest as a co-adventurer".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While the decision in </w:t>
      </w:r>
      <w:r>
        <w:rPr>
          <w:rFonts w:ascii="arial" w:eastAsia="arial" w:hAnsi="arial" w:cs="arial"/>
          <w:b/>
          <w:i/>
          <w:color w:val="000000"/>
          <w:sz w:val="20"/>
          <w:lang w:val="en-US" w:eastAsia="en-US" w:bidi="ar-SA"/>
        </w:rPr>
        <w:t>Peso Silver</w:t>
      </w:r>
      <w:r>
        <w:rPr>
          <w:rFonts w:ascii="arial" w:eastAsia="arial" w:hAnsi="arial" w:cs="arial"/>
          <w:color w:val="000000"/>
          <w:sz w:val="20"/>
          <w:lang w:val="en-US" w:eastAsia="en-US" w:bidi="ar-SA"/>
        </w:rPr>
        <w:t xml:space="preserve"> has been criticized and questioned by commentators, some of whom have suggested that it has been implicitly over-ruled by </w:t>
      </w:r>
      <w:r>
        <w:rPr>
          <w:rFonts w:ascii="arial" w:eastAsia="arial" w:hAnsi="arial" w:cs="arial"/>
          <w:b/>
          <w:i/>
          <w:color w:val="000000"/>
          <w:sz w:val="20"/>
          <w:lang w:val="en-US" w:eastAsia="en-US" w:bidi="ar-SA"/>
        </w:rPr>
        <w:t>Canadian Aero</w:t>
      </w:r>
      <w:r>
        <w:rPr>
          <w:rFonts w:ascii="arial" w:eastAsia="arial" w:hAnsi="arial" w:cs="arial"/>
          <w:color w:val="000000"/>
          <w:sz w:val="20"/>
          <w:lang w:val="en-US" w:eastAsia="en-US" w:bidi="ar-SA"/>
        </w:rPr>
        <w:t xml:space="preserve">, the rejection of an opportunity by the board has been recognized as a defence in a number of cases, including </w:t>
      </w:r>
      <w:r>
        <w:rPr>
          <w:rFonts w:ascii="arial" w:eastAsia="arial" w:hAnsi="arial" w:cs="arial"/>
          <w:b/>
          <w:i/>
          <w:color w:val="000000"/>
          <w:sz w:val="20"/>
          <w:lang w:val="en-US" w:eastAsia="en-US" w:bidi="ar-SA"/>
        </w:rPr>
        <w:t>Cariboo Press (1969) Ltd. v. O'Connor,</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[1996] B.C.J. No. 275</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Moore Int. (Canada) Inc v. Carter</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(1982), 40 B.C.L.R. 322</w:t>
        </w:r>
      </w:hyperlink>
      <w:r>
        <w:rPr>
          <w:rFonts w:ascii="arial" w:eastAsia="arial" w:hAnsi="arial" w:cs="arial"/>
          <w:color w:val="000000"/>
          <w:sz w:val="20"/>
          <w:lang w:val="en-US" w:eastAsia="en-US" w:bidi="ar-SA"/>
        </w:rPr>
        <w:t xml:space="preserve"> (S.C.), aff'd </w:t>
      </w:r>
      <w:hyperlink r:id="rId503" w:history="1">
        <w:r>
          <w:rPr>
            <w:rFonts w:ascii="arial" w:eastAsia="arial" w:hAnsi="arial" w:cs="arial"/>
            <w:i/>
            <w:color w:val="0077CC"/>
            <w:sz w:val="20"/>
            <w:u w:val="single"/>
            <w:shd w:val="clear" w:color="auto" w:fill="FFFFFF"/>
            <w:lang w:val="en-US" w:eastAsia="en-US" w:bidi="ar-SA"/>
          </w:rPr>
          <w:t>(1984), 56 B.C.L.R. 207</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Martin v. Columbia Metals Corporation Ltd</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(1980), 12 B.L.R. 72</w:t>
        </w:r>
      </w:hyperlink>
      <w:r>
        <w:rPr>
          <w:rFonts w:ascii="arial" w:eastAsia="arial" w:hAnsi="arial" w:cs="arial"/>
          <w:color w:val="000000"/>
          <w:sz w:val="20"/>
          <w:lang w:val="en-US" w:eastAsia="en-US" w:bidi="ar-SA"/>
        </w:rPr>
        <w:t xml:space="preserve"> (Ont.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question is this: if, as I have found, Mr. So was not a fiduciary generally as an employee of Pan Pacific, was he nevertheless a fiduciary in relation to the possible purchase by the plaintiff of the Mitchell Road property? If he was, was the possible purchase a maturing prospect or corporate opportunity that he could not participate in without his employer's consent? Put another way, did Mr. So allow his self-interest to conflict with his fiduciary duty, if one was owed? If so, what is the appropriate remedy and what, if any, is the liability of the numbered company or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Was Mr. So a fiduciary in connection with the purchase of the Mitchell Island property? That is the central issue because the plaintiffs' argument is that the liability of Mr. So, the other defendants and the numbered company flow from a finding that Mr. So was in breach of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plaintiffs argue that Mr. So's direct involvement, as an interpreter, in the negotiations to purchase the property, on Mr. Lin's behalf, simply added to the duties he owed to his principal. Was he a fiduciary because of his direct involvement in the negotiations to purchase the property, and the fact that he acted as an interpreter in those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arguments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plaintiffs argue that determining the existence of a fiduciary relationship is a matter of examining the specific facts and circumstances in each relationship and even if the relationship might not ordinarily lead to such a conclusion, in this case, Mr. So's additional responsibility as interpreter gives rise to a fiduciary duty. The plaintiffs say that in Mr. So's capacity as an interpreter, Mr. Lin trusted him and was dependent on him. Mr Lahay argued that Mr. So, as interpreter, received confidential information, including the appraisal, the environmental study and the sales documents. He was aware of the positions taken by Mr. Belzberg in the negotiations. It was irrelevant, he argues, that Mr. So was not actually involved in negotiating for Pan Pacific at the time of his purchase, because his connection with the property arose from a fiduciary relationship, giving rise to a duty that continued even after his immediate role in the negotiations ended. As a result, the plaintiffs say, Mr. So was faced with a conflict between his fiduciary duty and his self-interest and preferred his self-interest - and breached his duty - when he took advantage of the corporate opportunity that properly belonged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Gurney argues that Mr. So was not a fiduciary, either generally or in his capacity as an employee who did interpreting. He says that he was not the negotiator but was just a go-between and nothing he did as an interpreter is challenged. He had no discretion or influence over Pan Pacific and Mr. Lin was not vulnerable to him, particularly as the negotiations in which he was involved with Mr. Belzberg were finished before the interest and purchase by the numbered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Mr. Gurney argues that Mr. So's relationship with Pan Pacific is not in one of the normal categories of fiduciaries. He argues that, on the facts of this case and applying the guide from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there is not the requisite vulnerability, discretion or ability to exercise power to affect Pan Pacific's legal or practical interests. He says Mr. So did not have a continuing role as an interpreter and there was no obligation to bring to the employer's attention the fact that the owner would sell the property for $950,000. In any event, he argues, this information was something that the Pan Pacific already knew.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Gurney argues that at the time of Mr. So's involvement in the purchase, the possible purchase was not being pursued by the plaintiff, who had abandoned its pursuit of the property and looked into other opportunities after the collapse of the negotiations in early May. He says that there is no evidence to suggest that Mr. So had any involvement with the property on behalf of Pan Pacific after the negotiations collapsed at the end of April or in early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question whether a person is a fiduciary or whether he had a fiduciary obligation in relation to any particular transaction or at any particular time is a question of fact in the circumstances. The particular facts of this case are, of course, critical to the determination of whether Mr. So owed a fiduciary duty and was in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Counsel has not presented me with any reported case that deals with the issue of whether a person in the role of an interpreter also has fiduciary responsibilities, nor have I been able to find such a case. Whether an employee who interprets for an employer is also a fiduciary depends on the circumstances and an application of the principles I have described earlier. While there may be circumstances when an interpreter is negotiating, or has access to confidential information, or his employer is particularly vulnerable, that he is held to be a fiduciary, this, I find, is not one of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While I have concluded that while Mr. So owed a duty of loyalty as an employee to Pan Pacific, in the circumstances, I do not find that he was a fiduciary either generally or in connection with the purchase of the Mitchell Island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As an interpreter, Mr. So would be under an obligation to act honestly and provide full and proper translations to his employer. However, he was not the negotiator and he did not have any scope for the exercise of discretion, nor could he affect the beneficiary's legal or practical interests. Given that Mr. So did not have any particular discretion, neither Mr. Lin nor Pan Pacific were particularly vulnerable or at Mr. So's mercy. I recognize that as an employee who is interpreting he had an obligation to be honest and to not withhold information but I do not find that Mr. So became a fiduciary on that basis, nor do I find that he acted dishonestly or withheld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Given my conclusion that Mr. So, in the circumstances, was not a fiduciary, and Mr. Mak was not a fiduciary, it follows that the claim against the numbered company and the individual defendants in breach of fiduciary duty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If I am wrong on that point, and Mr. So did owe a fiduciary duty, did Mr. So improperly secure a corporate opportunity in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This involves a consideration of a number of factors, some of which were described in </w:t>
      </w:r>
      <w:r>
        <w:rPr>
          <w:rFonts w:ascii="arial" w:eastAsia="arial" w:hAnsi="arial" w:cs="arial"/>
          <w:b/>
          <w:i/>
          <w:color w:val="000000"/>
          <w:sz w:val="20"/>
          <w:lang w:val="en-US" w:eastAsia="en-US" w:bidi="ar-SA"/>
        </w:rPr>
        <w:t>Canadian Aero</w:t>
      </w:r>
      <w:r>
        <w:rPr>
          <w:rFonts w:ascii="arial" w:eastAsia="arial" w:hAnsi="arial" w:cs="arial"/>
          <w:color w:val="000000"/>
          <w:sz w:val="20"/>
          <w:lang w:val="en-US" w:eastAsia="en-US" w:bidi="ar-SA"/>
        </w:rPr>
        <w:t>: "the position or office held, the nature of the corporate opportunity, its ripeness, its specificness and the director's or managerial officer's relation to it, the amount of knowledge possessed, the circumstances in which it was obtained and whether it was special or, indeed, even private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Some of the relevant factors are these. The property was an opportunity that the plaintiff had pursued but was no longer pursuing by the end of April. The evidence is that the opportunity came to Mr. So after Mr. Mak had secured an agreement in principle to purchase the property. He did not take advantage of confidential information, as the environmental assessment and other documents were provided to Mr. Mak by Mr. Belzberg. The offer that was made by the numbered company was equal to the price initially sought by the owner, greater than both the appraised value of the property and greater than the amount the owner said he would accept when he the negotiations ended with Pan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My conclusion is that even if Mr. So was a fiduciary he did not, in the circumstances, take advantage of a maturing corporate opportunity through his position as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Finally, if I am wrong on that point and Mr. So was a fiduciary who breached his duty by taking a corporate opportunity, what would be the extent of his liability and that of the other defendants, including the numbered company? For the following reasons, I would have found that Mr. So was only liable to the extent of his interest in the purchasing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plaintiffs' counsel argues that if Mr. So is liable, then the other defendants are liable on the basis of the principle of "knowing receipt" as described in </w:t>
      </w:r>
      <w:r>
        <w:rPr>
          <w:rFonts w:ascii="arial" w:eastAsia="arial" w:hAnsi="arial" w:cs="arial"/>
          <w:b/>
          <w:i/>
          <w:color w:val="000000"/>
          <w:sz w:val="20"/>
          <w:lang w:val="en-US" w:eastAsia="en-US" w:bidi="ar-SA"/>
        </w:rPr>
        <w:t>Citadel General Assurance Co. v. Lloyd's Bank Canada</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[1997] 3 S.C.R. 805</w:t>
        </w:r>
      </w:hyperlink>
      <w:r>
        <w:rPr>
          <w:rFonts w:ascii="arial" w:eastAsia="arial" w:hAnsi="arial" w:cs="arial"/>
          <w:color w:val="000000"/>
          <w:sz w:val="20"/>
          <w:lang w:val="en-US" w:eastAsia="en-US" w:bidi="ar-SA"/>
        </w:rPr>
        <w:t>. In that case, the Supreme Court of Canada found that a stranger to a trust can be liable as an accessory if he receives or applies trust property for his own benefit and does so with knowledge, actual or constructive, that its receipt has resulted from a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There are cases which have extended the concept of third party accessory liability in knowing receipt from cases of breach of trust to cases of breach of fiduciary duty: </w:t>
      </w:r>
      <w:r>
        <w:rPr>
          <w:rFonts w:ascii="arial" w:eastAsia="arial" w:hAnsi="arial" w:cs="arial"/>
          <w:b/>
          <w:i/>
          <w:color w:val="000000"/>
          <w:sz w:val="20"/>
          <w:lang w:val="en-US" w:eastAsia="en-US" w:bidi="ar-SA"/>
        </w:rPr>
        <w:t>Waxman v. Waxman (</w:t>
      </w:r>
      <w:r>
        <w:rPr>
          <w:rFonts w:ascii="arial" w:eastAsia="arial" w:hAnsi="arial" w:cs="arial"/>
          <w:color w:val="000000"/>
          <w:sz w:val="20"/>
          <w:lang w:val="en-US" w:eastAsia="en-US" w:bidi="ar-SA"/>
        </w:rPr>
        <w:t xml:space="preserve">2004), </w:t>
      </w:r>
      <w:hyperlink r:id="rId506" w:history="1">
        <w:r>
          <w:rPr>
            <w:rFonts w:ascii="arial" w:eastAsia="arial" w:hAnsi="arial" w:cs="arial"/>
            <w:i/>
            <w:color w:val="0077CC"/>
            <w:sz w:val="20"/>
            <w:u w:val="single"/>
            <w:shd w:val="clear" w:color="auto" w:fill="FFFFFF"/>
            <w:lang w:val="en-US" w:eastAsia="en-US" w:bidi="ar-SA"/>
          </w:rPr>
          <w:t>44 B.L.R. (3d) 165</w:t>
        </w:r>
      </w:hyperlink>
      <w:r>
        <w:rPr>
          <w:rFonts w:ascii="arial" w:eastAsia="arial" w:hAnsi="arial" w:cs="arial"/>
          <w:color w:val="000000"/>
          <w:sz w:val="20"/>
          <w:lang w:val="en-US" w:eastAsia="en-US" w:bidi="ar-SA"/>
        </w:rPr>
        <w:t xml:space="preserve"> (Ont. C.A.) and </w:t>
      </w:r>
      <w:r>
        <w:rPr>
          <w:rFonts w:ascii="arial" w:eastAsia="arial" w:hAnsi="arial" w:cs="arial"/>
          <w:b/>
          <w:i/>
          <w:color w:val="000000"/>
          <w:sz w:val="20"/>
          <w:lang w:val="en-US" w:eastAsia="en-US" w:bidi="ar-SA"/>
        </w:rPr>
        <w:t>Ruwenzori Enterprises Ltd. v. Walji</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(2004), 8 E.T.R. (3d) 209</w:t>
        </w:r>
      </w:hyperlink>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2004 BCSC 741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As to the knowledge requirement, La Forest J. explained, at paragraph 49 of </w:t>
      </w:r>
      <w:r>
        <w:rPr>
          <w:rFonts w:ascii="arial" w:eastAsia="arial" w:hAnsi="arial" w:cs="arial"/>
          <w:b/>
          <w:i/>
          <w:color w:val="000000"/>
          <w:sz w:val="20"/>
          <w:lang w:val="en-US" w:eastAsia="en-US" w:bidi="ar-SA"/>
        </w:rPr>
        <w:t>Citadel</w:t>
      </w:r>
      <w:r>
        <w:rPr>
          <w:rFonts w:ascii="arial" w:eastAsia="arial" w:hAnsi="arial" w:cs="arial"/>
          <w:color w:val="000000"/>
          <w:sz w:val="20"/>
          <w:lang w:val="en-US" w:eastAsia="en-US" w:bidi="ar-SA"/>
        </w:rPr>
        <w:t>, that actual knowledge is not required for a third party to be held liable in knowing receipt: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[R]elief will be granted where a stranger to the trust, having received trust property for his or her own benefit and having knowledge of facts which would put a reasonable person on inquiry, actually fails to inquire as to the possible misapplication of trust property. It is this lack of inquiry that renders the recipient's enrichment unjust.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Lahay argues that the individual defendants had knowledge of facts that were sufficient to put a reasonable person on notice or inquiry. Did the defendants have constructive knowledge that Mr. So owed a fiduciary duty and was in breach of that duty by participating in the purchase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Before I consider Mr. Mak and Mr. Chan's knowledge of Mr. So's circumstances, I think it worthwhile to consider the issue of receipt. On the facts that I have found, the transaction was brought to Mr. So by Messrs. Mak and Chan, not the other way around. Moreover, the defendants acquired the property from the owner and apparently paid market value for it. Even if Mr. So did owe the plaintiffs a fiduciary duty, I do not think it could be said that the defendants received property of the plaintiffs in breach of that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On the issue of knowledge, I find that, even if the circumstances could be described as suspicious so as to put the defendants on inquiry, it is very doubtful that a reasonable person knowing the facts and put in the position of Mr. Mak and Mr. Chan would consider that Mr. So was a fiduciary. Given that he did not fall into the traditional categories of fiduciaries and that any fiduciary obligation would have arisen from the novel proposition that an interpreter can, in some circumstances, become a fiduciary, I do not think a reasonable person in the shoes of Messrs. Mak or Chan would have concluded on the facts available to them that he was a fiduciary acting in breach of his duties by taking part in the purchase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Although not argued by the plaintiffs, it might have been contended that the individual defendants are liable on the basis of the principles in </w:t>
      </w:r>
      <w:r>
        <w:rPr>
          <w:rFonts w:ascii="arial" w:eastAsia="arial" w:hAnsi="arial" w:cs="arial"/>
          <w:b/>
          <w:i/>
          <w:color w:val="000000"/>
          <w:sz w:val="20"/>
          <w:lang w:val="en-US" w:eastAsia="en-US" w:bidi="ar-SA"/>
        </w:rPr>
        <w:t>Alberts v. Mountjoy</w:t>
      </w:r>
      <w:r>
        <w:rPr>
          <w:rFonts w:ascii="arial" w:eastAsia="arial" w:hAnsi="arial" w:cs="arial"/>
          <w:color w:val="000000"/>
          <w:sz w:val="20"/>
          <w:lang w:val="en-US" w:eastAsia="en-US" w:bidi="ar-SA"/>
        </w:rPr>
        <w:t xml:space="preserve">. There the non-fiduciaries who join with a fiduciary in breaching his duty were treated as if they were fiduciaries themselves. If Mr. Mak and Mr. Chan had worked with Mr. So to buy the property and if Mr. So was a fiduciary by virtue of his work as an interpreter, then the law treats Mr. Mak and Mr. Chan as Mr. So's agents. The court in </w:t>
      </w:r>
      <w:r>
        <w:rPr>
          <w:rFonts w:ascii="arial" w:eastAsia="arial" w:hAnsi="arial" w:cs="arial"/>
          <w:b/>
          <w:i/>
          <w:color w:val="000000"/>
          <w:sz w:val="20"/>
          <w:lang w:val="en-US" w:eastAsia="en-US" w:bidi="ar-SA"/>
        </w:rPr>
        <w:t>Mountjoy</w:t>
      </w:r>
      <w:r>
        <w:rPr>
          <w:rFonts w:ascii="arial" w:eastAsia="arial" w:hAnsi="arial" w:cs="arial"/>
          <w:color w:val="000000"/>
          <w:sz w:val="20"/>
          <w:lang w:val="en-US" w:eastAsia="en-US" w:bidi="ar-SA"/>
        </w:rPr>
        <w:t xml:space="preserve"> cited </w:t>
      </w:r>
      <w:r>
        <w:rPr>
          <w:rFonts w:ascii="arial" w:eastAsia="arial" w:hAnsi="arial" w:cs="arial"/>
          <w:b/>
          <w:i/>
          <w:color w:val="000000"/>
          <w:sz w:val="20"/>
          <w:lang w:val="en-US" w:eastAsia="en-US" w:bidi="ar-SA"/>
        </w:rPr>
        <w:t>Canada Bonded Attorney &amp; Legal Directory Ltd. v. Leonard-Parmiter Ltd</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(1918), 42 O.L.R. 141</w:t>
        </w:r>
      </w:hyperlink>
      <w:r>
        <w:rPr>
          <w:rFonts w:ascii="arial" w:eastAsia="arial" w:hAnsi="arial" w:cs="arial"/>
          <w:color w:val="000000"/>
          <w:sz w:val="20"/>
          <w:lang w:val="en-US" w:eastAsia="en-US" w:bidi="ar-SA"/>
        </w:rPr>
        <w:t>, where Riddell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Parmiter becoming associated with Leonard, any act of his in the premises would be for the benefit pro tanto of Leonard, and would be in substance the act of Leonard's agent; consequently, he cannot be permitted to do what Leonard could not--nor may the new company, which is aware of all the circumstances of the case and cannot (under existing circumstances) be permitted to do what Leonard could not: </w:t>
      </w:r>
      <w:r>
        <w:rPr>
          <w:rFonts w:ascii="arial" w:eastAsia="arial" w:hAnsi="arial" w:cs="arial"/>
          <w:b/>
          <w:i/>
          <w:color w:val="000000"/>
          <w:sz w:val="20"/>
          <w:lang w:val="en-US" w:eastAsia="en-US" w:bidi="ar-SA"/>
        </w:rPr>
        <w:t>Goldsoll v. Goldman,</w:t>
      </w:r>
      <w:r>
        <w:rPr>
          <w:rFonts w:ascii="arial" w:eastAsia="arial" w:hAnsi="arial" w:cs="arial"/>
          <w:color w:val="000000"/>
          <w:sz w:val="20"/>
          <w:lang w:val="en-US" w:eastAsia="en-US" w:bidi="ar-SA"/>
        </w:rPr>
        <w:t xml:space="preserve"> [1914] 2 Ch. 603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 think that </w:t>
      </w:r>
      <w:r>
        <w:rPr>
          <w:rFonts w:ascii="arial" w:eastAsia="arial" w:hAnsi="arial" w:cs="arial"/>
          <w:b/>
          <w:i/>
          <w:color w:val="000000"/>
          <w:sz w:val="20"/>
          <w:lang w:val="en-US" w:eastAsia="en-US" w:bidi="ar-SA"/>
        </w:rPr>
        <w:t>Mountjoy</w:t>
      </w:r>
      <w:r>
        <w:rPr>
          <w:rFonts w:ascii="arial" w:eastAsia="arial" w:hAnsi="arial" w:cs="arial"/>
          <w:color w:val="000000"/>
          <w:sz w:val="20"/>
          <w:lang w:val="en-US" w:eastAsia="en-US" w:bidi="ar-SA"/>
        </w:rPr>
        <w:t xml:space="preserve"> is distinguishable on the facts of this case. Here the acts of Mr. Mak and Mr. Chan in purchasing were not done as the agents of Mr. So and if Mr. So was a fiduciary, I would not hold them liable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the circumstances I do not think that the individual defendants can be liable on the basis of knowing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dismiss the claim for breach of fiduciary duty against the defendants in connection with the purchase of the property. The plaintiffs have established a breach of the contractual duty of loyalty and are entitled to nominal damages of $1,000 against each of the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parties have liberty to speak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2" style="position:absolute;z-index:2518343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Phillips v. Stratton, [2007] B.C.J. No. 1940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September 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M050013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1940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1298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53 C.C.L.I. (4th) 134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161 A.C.W.S. (3d) 393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2016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Cyril Phillips, Plaintiff, and Dustin Lee Stratton, Defendant, and Insurance Corporation of British Columbia and the Fort Nelson Hotel, 330770 B.C. Ltd. and 330770 B.C. Ltd. doing business as the Fort Nelson Hotel,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3"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1" w:name="Keywords_23"/>
      <w:bookmarkEnd w:id="171"/>
      <w:r>
        <w:rPr>
          <w:rFonts w:ascii="arial" w:eastAsia="arial" w:hAnsi="arial" w:cs="arial"/>
          <w:b/>
          <w:color w:val="000000"/>
          <w:sz w:val="20"/>
          <w:lang w:val="en-US" w:eastAsia="en-US" w:bidi="ar-SA"/>
        </w:rPr>
        <w:t>Civil procedure — Pleadings — Striking out pleadings or allegations — Motion by plaintiff to strike amendments to Insurance Corporation's pleadings dismissed — Impugned pleadings involved apportionment of liability between hotel, defendant and Insurance Corporation — Plaintiff was seriously injured when struck by defendant's vehicle — Both plaintiff and defendant were drinking at hotel prior to accident — Pleadings by Insurance Corporation regarding apportionment of liability not struck.</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Discovery — Production and inspection of documents — Privileged documents — Documents prepared for the purpose of settlement — Application by Insurance Corporation for disclosure of amount of settlement reached between plaintiff and hotel, and of hotel's policy of insurance coverage, dismissed — Plaintiff not required to disclose amount of settlement paid by hotel where defendant was drinking prior to striking plaintiff with his car — Settlement amount was not relevant to Insurance Corporation at this stage, but could be disclosed to judge following judgment.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2" w:name="Case Summary_22"/>
            <w:bookmarkEnd w:id="1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Insurance Corporation for disclosure of amount of settlement reached between Phillips and Fort Nelson hotel, and of hotel's policy of insurance coverage -- Motion by Phillips to strike amendments to Corporation's pleadings and counterclaim by Phillips for amendments to pleadings -- Phillips seriously injured when struck by Stratton's vehicle -- Both Phillips and Stratton were drinking at hotel prior to accident -- Stratton convicted of impaired driving causing bodily harm -- Settlement agreement between Philips and hotel prevented Phillips from claiming against Stratton or Corporation for anything that was fault of hotel -- Pleadings impugned by Phillips involved apportionment of liability between hotel, Stratton and Corporation -- HELD: Application by Insurance Corporation dismissed -- Motion to strike amended pleadings dismissed -- Double recovery not issue where there was no subrogated claim -- Double recovery would not result after trial judgment -- Settlement amount not relevant at this stage of proceedings -- Settlement amount could be disclosed to trial judge after judgment and apportionment of liability -- Settlement agreement was privileged -- Pleadings requesting apportionment of liability entitled to stand.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3" w:name="Counsel_23"/>
      <w:bookmarkEnd w:id="1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4"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D.F. Corrin.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Insurance Corporation of British Columbia: A.M. Mersey &amp; M. von Niessen.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Fort Nelson Hotel and 330770 B.C. Ltd.: M. Libby.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4" w:name="Judgment_22"/>
      <w:bookmarkEnd w:id="174"/>
      <w:r>
        <w:pict>
          <v:line id="_x0000_s1145" style="position:absolute;z-index:2517852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5" w:name="BENNETT J. (orally)"/>
            <w:bookmarkEnd w:id="175"/>
            <w:r>
              <w:rPr>
                <w:rFonts w:ascii="arial" w:eastAsia="arial" w:hAnsi="arial" w:cs="arial"/>
                <w:b/>
                <w:color w:val="000000"/>
                <w:sz w:val="30"/>
                <w:lang w:val="en-US" w:eastAsia="en-US" w:bidi="ar-SA"/>
              </w:rPr>
              <w:t>BENNETT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19th, 2004, Mr. Phillips, the plaintiff, was seriously injured when he was struck by a motor vehicle driven by Mr. Stratton. Both men had been drinking at the Fort Nelson Hotel before the accident. I understand Mr. Stratton was found guilty of impaired driving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Phillips was so severely injured he is represented by a committee. He has entered into a settlement agreement with the Fort Nelson Hotel, which was approved by Mr. Justice Groberman on June 29th,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Insurance Corporation of British Columbia, ("ICBC"), seeks disclosure of the amount of the settlement and the policy of the insurance coverage from the Fort Nelson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matter is set for trial by judge alone on September 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also brings a motion to strike amendments to ICBC's pleadings and a counterclaim for amendments to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Disclosure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in the Fort Nelson Hotel entered into what is referred to as a </w:t>
      </w:r>
      <w:r>
        <w:rPr>
          <w:rFonts w:ascii="arial" w:eastAsia="arial" w:hAnsi="arial" w:cs="arial"/>
          <w:b/>
          <w:i/>
          <w:color w:val="000000"/>
          <w:sz w:val="20"/>
          <w:lang w:val="en-US" w:eastAsia="en-US" w:bidi="ar-SA"/>
        </w:rPr>
        <w:t>B.C. Ferries</w:t>
      </w:r>
      <w:r>
        <w:rPr>
          <w:rFonts w:ascii="arial" w:eastAsia="arial" w:hAnsi="arial" w:cs="arial"/>
          <w:color w:val="000000"/>
          <w:sz w:val="20"/>
          <w:lang w:val="en-US" w:eastAsia="en-US" w:bidi="ar-SA"/>
        </w:rPr>
        <w:t xml:space="preserve"> settlement (see </w:t>
      </w:r>
      <w:r>
        <w:rPr>
          <w:rFonts w:ascii="arial" w:eastAsia="arial" w:hAnsi="arial" w:cs="arial"/>
          <w:b/>
          <w:i/>
          <w:color w:val="000000"/>
          <w:sz w:val="20"/>
          <w:lang w:val="en-US" w:eastAsia="en-US" w:bidi="ar-SA"/>
        </w:rPr>
        <w:t>B.C. Ferries Corporation v. T&amp;N, plc</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[1995] B.C.J. No. 2116</w:t>
        </w:r>
      </w:hyperlink>
      <w:r>
        <w:rPr>
          <w:rFonts w:ascii="arial" w:eastAsia="arial" w:hAnsi="arial" w:cs="arial"/>
          <w:color w:val="000000"/>
          <w:sz w:val="20"/>
          <w:lang w:val="en-US" w:eastAsia="en-US" w:bidi="ar-SA"/>
        </w:rPr>
        <w:t xml:space="preserve"> (C.A.)). The plaintiff's pleadings have been amended in accordance with that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expressly waives any and all right to recover from the Defendant Stratton, or any other party, any portion of the Plaintiff's loss that may be attributable to the fault, tort,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the breach of any equitable, common law or statutory duty of any of the Fort Nelson Hotel, 330770 B.C. Ltd. and 330770 B.C. Ltd. doing business as the Fort Nelson Hotel (the "Excluded Parties") and for that which the Defendant Stratton might reasonably be entitled to claim from any one or more of the Excluded Parties' contribution, indemnity or an apportionment, either at common law, in equity, pursuant to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amendments thereto, or any successor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amendment was granted by Mr. Justice Groberman on June 29th,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meaning of this waiver is that the plaintiff cannot claim against Mr. Stratton or ICBC for anything that is the fault of the Fort Nelson Hotel. This is the standard B.C. Ferries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ICBC claims that it should have access to the amount of the settlement to assist with its settlement negotiations with the plaintiff. Further, ICBC says that it needs the amount to avoid double recovery by the plaintiff. There are no subrogated claims by anyone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for the plaintiff agrees that the settlement must be disclosed; however, he says that the amount should be disclosed after judgment and apportionment of liability. He submits that otherwise the settlement is protected by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order to assess whether to allow disclosure it is necessary to review the many cases cited to me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commence the discussion with the decision </w:t>
      </w:r>
      <w:r>
        <w:rPr>
          <w:rFonts w:ascii="arial" w:eastAsia="arial" w:hAnsi="arial" w:cs="arial"/>
          <w:b/>
          <w:i/>
          <w:color w:val="000000"/>
          <w:sz w:val="20"/>
          <w:lang w:val="en-US" w:eastAsia="en-US" w:bidi="ar-SA"/>
        </w:rPr>
        <w:t>Rush &amp; Tomkins Ltd. v. Greater London Council and others</w:t>
      </w:r>
      <w:r>
        <w:rPr>
          <w:rFonts w:ascii="arial" w:eastAsia="arial" w:hAnsi="arial" w:cs="arial"/>
          <w:color w:val="000000"/>
          <w:sz w:val="20"/>
          <w:lang w:val="en-US" w:eastAsia="en-US" w:bidi="ar-SA"/>
        </w:rPr>
        <w:t>, [1988] 3 All ER 737 (HL), in which Lord Griffiths said at pp. 739-40: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without prejudice rule is a rule governing the admissibility of evidence and is founded on the public policy of encouraging litigants to settle their differences rather than litigate them to a finish. It is nowhere more clearly expressed than in the judgment of Oliver L.J. in </w:t>
      </w:r>
      <w:r>
        <w:rPr>
          <w:rFonts w:ascii="arial" w:eastAsia="arial" w:hAnsi="arial" w:cs="arial"/>
          <w:b/>
          <w:i/>
          <w:color w:val="000000"/>
          <w:sz w:val="20"/>
          <w:lang w:val="en-US" w:eastAsia="en-US" w:bidi="ar-SA"/>
        </w:rPr>
        <w:t>Cutts v. Head</w:t>
      </w:r>
      <w:r>
        <w:rPr>
          <w:rFonts w:ascii="arial" w:eastAsia="arial" w:hAnsi="arial" w:cs="arial"/>
          <w:color w:val="000000"/>
          <w:sz w:val="20"/>
          <w:lang w:val="en-US" w:eastAsia="en-US" w:bidi="ar-SA"/>
        </w:rPr>
        <w:t xml:space="preserve"> [1984] Ch 290 at 306: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rule rests, at least in part, upon public policy is clear from many authorities, and the convenient starting point of the inquiry is the nature of the underlying policy. It is that parties should be encouraged so far as possible to settle their disputes without resort to litigation and should not be discouraged by the knowledge that anything that is said in the course of such negotiations (and that includes, of course, as much the failure to reply to an offer as an actual reply) may be used to their prejudice in the course of the proceedings. They should, as it was expressed by Clauson J. in </w:t>
      </w:r>
      <w:r>
        <w:rPr>
          <w:rFonts w:ascii="arial" w:eastAsia="arial" w:hAnsi="arial" w:cs="arial"/>
          <w:b/>
          <w:i/>
          <w:color w:val="000000"/>
          <w:sz w:val="20"/>
          <w:lang w:val="en-US" w:eastAsia="en-US" w:bidi="ar-SA"/>
        </w:rPr>
        <w:t>Scott Paper Co. v. Drayton Paper Works Ltd.</w:t>
      </w:r>
      <w:r>
        <w:rPr>
          <w:rFonts w:ascii="arial" w:eastAsia="arial" w:hAnsi="arial" w:cs="arial"/>
          <w:color w:val="000000"/>
          <w:sz w:val="20"/>
          <w:lang w:val="en-US" w:eastAsia="en-US" w:bidi="ar-SA"/>
        </w:rPr>
        <w:t xml:space="preserve"> (1927) 44 R.P.C. 151 at 156, be encouraged freely and frankly to put their cards on the table ... The public policy justification, in truth, essentially rests on the desirability of preventing statements or offers made in the course of negotiations for settlement being brought before the court of trial as admissions on the question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Dixon v. British Columbia</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(1980), 128 D.L.R. (3d) 389</w:t>
        </w:r>
      </w:hyperlink>
      <w:r>
        <w:rPr>
          <w:rFonts w:ascii="arial" w:eastAsia="arial" w:hAnsi="arial" w:cs="arial"/>
          <w:color w:val="000000"/>
          <w:sz w:val="20"/>
          <w:lang w:val="en-US" w:eastAsia="en-US" w:bidi="ar-SA"/>
        </w:rPr>
        <w:t xml:space="preserve"> (B.C.C.A.), the court considered the issue of double recovery and concluded that a settlement that the plaintiff obtained in that case from the ferry authority should be taken into consideration when assessing the portion payable by the other defendant, BC Hydro. Again, no issue is taken with this principle by the plaintiff or Fort Nelson. The issue is timing of the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Similarly, in </w:t>
      </w:r>
      <w:r>
        <w:rPr>
          <w:rFonts w:ascii="arial" w:eastAsia="arial" w:hAnsi="arial" w:cs="arial"/>
          <w:b/>
          <w:i/>
          <w:color w:val="000000"/>
          <w:sz w:val="20"/>
          <w:lang w:val="en-US" w:eastAsia="en-US" w:bidi="ar-SA"/>
        </w:rPr>
        <w:t>Ataya Estate v. Mutual of Omaha Insurance Co.</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[1988] B.C.J. No. 3065</w:t>
        </w:r>
      </w:hyperlink>
      <w:r>
        <w:rPr>
          <w:rFonts w:ascii="arial" w:eastAsia="arial" w:hAnsi="arial" w:cs="arial"/>
          <w:color w:val="000000"/>
          <w:sz w:val="20"/>
          <w:lang w:val="en-US" w:eastAsia="en-US" w:bidi="ar-SA"/>
        </w:rPr>
        <w:t>, Spencer J. took into account a settlement made in order to reduce an award. Again, that settlement was revealed post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Supreme Court of Canada clarified the issue of double recovery in its decision of </w:t>
      </w:r>
      <w:r>
        <w:rPr>
          <w:rFonts w:ascii="arial" w:eastAsia="arial" w:hAnsi="arial" w:cs="arial"/>
          <w:b/>
          <w:i/>
          <w:color w:val="000000"/>
          <w:sz w:val="20"/>
          <w:lang w:val="en-US" w:eastAsia="en-US" w:bidi="ar-SA"/>
        </w:rPr>
        <w:t>Ratych v. Bloomer</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at para. 94, where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principles underlying our system of damages suggest that a plaintiff should receive full and fair compensation, calculated to place him or her in the same position as he or she would have been had the tort not been committed, in so far as this can be achieved by a monetary award. This principle suggests that in calculating damages under the pecuniary heads, the measure of the damages should be the plaintiff's actual loss. It is implicit in this that the plaintiff should not recover unless he can demonstrate a loss, and then only to the extent of that loss. Double recovery violates this principle. It follows that where a plaintiff sustains no wage loss as a result of a tort because his employer has continued to pay his salary while he was unable to work, he should not be entitled to recover damages on that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This brings me to the first of four leading decisions in this province on the issue of settlement privilege. In </w:t>
      </w:r>
      <w:r>
        <w:rPr>
          <w:rFonts w:ascii="arial" w:eastAsia="arial" w:hAnsi="arial" w:cs="arial"/>
          <w:b/>
          <w:i/>
          <w:color w:val="000000"/>
          <w:sz w:val="20"/>
          <w:lang w:val="en-US" w:eastAsia="en-US" w:bidi="ar-SA"/>
        </w:rPr>
        <w:t>Middelkamp v. Fraser Valley Real Estate Board</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(1992), 71 B.C.L.R. (2d) 276</w:t>
        </w:r>
      </w:hyperlink>
      <w:r>
        <w:rPr>
          <w:rFonts w:ascii="arial" w:eastAsia="arial" w:hAnsi="arial" w:cs="arial"/>
          <w:color w:val="000000"/>
          <w:sz w:val="20"/>
          <w:lang w:val="en-US" w:eastAsia="en-US" w:bidi="ar-SA"/>
        </w:rPr>
        <w:t xml:space="preserve"> (C.A.), a five-person court considered, amongst other things, the scope of settlement privilege. The court said the following at paras. 18 - 20: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Considering the enormous scope of production which is required by our almost slavish adherence to the </w:t>
      </w:r>
      <w:r>
        <w:rPr>
          <w:rFonts w:ascii="arial" w:eastAsia="arial" w:hAnsi="arial" w:cs="arial"/>
          <w:b/>
          <w:i/>
          <w:color w:val="000000"/>
          <w:sz w:val="20"/>
          <w:lang w:val="en-US" w:eastAsia="en-US" w:bidi="ar-SA"/>
        </w:rPr>
        <w:t>Peruvian Guano</w:t>
      </w:r>
      <w:r>
        <w:rPr>
          <w:rFonts w:ascii="arial" w:eastAsia="arial" w:hAnsi="arial" w:cs="arial"/>
          <w:color w:val="000000"/>
          <w:sz w:val="20"/>
          <w:lang w:val="en-US" w:eastAsia="en-US" w:bidi="ar-SA"/>
        </w:rPr>
        <w:t xml:space="preserve">, (1882) 11 Q.B.D. 55, principle, the questionable relevance and value of documents prepared for the settlement of disputes, and the public interest, I find myself in agreement with the House of Lords [in </w:t>
      </w:r>
      <w:r>
        <w:rPr>
          <w:rFonts w:ascii="arial" w:eastAsia="arial" w:hAnsi="arial" w:cs="arial"/>
          <w:b/>
          <w:i/>
          <w:color w:val="000000"/>
          <w:sz w:val="20"/>
          <w:lang w:val="en-US" w:eastAsia="en-US" w:bidi="ar-SA"/>
        </w:rPr>
        <w:t>Rush &amp; Tomkins</w:t>
      </w:r>
      <w:r>
        <w:rPr>
          <w:rFonts w:ascii="arial" w:eastAsia="arial" w:hAnsi="arial" w:cs="arial"/>
          <w:color w:val="000000"/>
          <w:sz w:val="20"/>
          <w:lang w:val="en-US" w:eastAsia="en-US" w:bidi="ar-SA"/>
        </w:rPr>
        <w:t xml:space="preserve">] that the public interest in the settlement of disputes generally requires "without prejudice" documents or communications created for, or communicated in the course of, settlement negotiations to be privileged. I would classify this as a "blanket,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common law, or class privilege" because it arises from settlement negotiations and protects the class of communications exchanged in the course of that worthwhile endeavour.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this privilege protects documents and communications created for such purpose both from production to other parties to the negotiations and to strangers, and extends as well to admissibility and whether or not settlement is reached. This is because, as I have said, a party communicating a proposal related to settlement, or responding to one, usually has no control over what the other side may do with such documents. Without such protection, the public interest in encouraging settlements will not be served.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recognize that there must be exceptions to this general rule. An obvious exception would be where the parties to a settlement agree that evidence will be furnished in connection with the litigation in which the application is made. In such cases, the public interest in the proper disposition of litigation assumes paramountcy and opposite parties are entitled to know about any arrangements which are made about evidence. Other exceptions could arise out of such matters as fraud, or where production may be required to meet a defence of laches, want of notice, passage of a limitation period or other similar matters which might displace the privilege. As we did not have argument on these matters I prefer to say nothing further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Blank v. Canada (Minister of Justice)</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[2006] 2 S.C.R. 319</w:t>
        </w:r>
      </w:hyperlink>
      <w:r>
        <w:rPr>
          <w:rFonts w:ascii="arial" w:eastAsia="arial" w:hAnsi="arial" w:cs="arial"/>
          <w:color w:val="000000"/>
          <w:sz w:val="20"/>
          <w:lang w:val="en-US" w:eastAsia="en-US" w:bidi="ar-SA"/>
        </w:rPr>
        <w:t>, addressed the issue of settlement privilege but in the context of when the privilege ends, which is not relevant in the discussion I have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next decision of importance chronologically is the decision in </w:t>
      </w:r>
      <w:r>
        <w:rPr>
          <w:rFonts w:ascii="arial" w:eastAsia="arial" w:hAnsi="arial" w:cs="arial"/>
          <w:b/>
          <w:i/>
          <w:color w:val="000000"/>
          <w:sz w:val="20"/>
          <w:lang w:val="en-US" w:eastAsia="en-US" w:bidi="ar-SA"/>
        </w:rPr>
        <w:t>B.C. Ferries</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B.C. Ferry Corporation sued for construction events relating to the installation of asbestos. A number of companies were issued third party notices. The plaintiff settled with a number of third parties and the settlement contained a waiver to any right to recover from the defendants any portion of loss which they claimed upon which the court might attribute to the fault of any respondent third party with whom such an agreement had been struck. The court held that, provided the wording of the waiver was included in the plaintiff's statement of claim, there would be no claim by the defendants for indemnity or contribution from settling parties as the plaintiff made no claim in that regard (see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the court held that the defendants were entitled to seek declaratory relief as to the degree of fault, if any, attributable to the third party (see paras. 30 - 31). I will return to this issue when I address the issue of the application to strike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Before I turn to the remaining BC cases, the </w:t>
      </w:r>
      <w:r>
        <w:rPr>
          <w:rFonts w:ascii="arial" w:eastAsia="arial" w:hAnsi="arial" w:cs="arial"/>
          <w:b/>
          <w:i/>
          <w:color w:val="000000"/>
          <w:sz w:val="20"/>
          <w:lang w:val="en-US" w:eastAsia="en-US" w:bidi="ar-SA"/>
        </w:rPr>
        <w:t>B.C. Children's Hospital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infra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Dos Santos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infra</w:t>
      </w:r>
      <w:r>
        <w:rPr>
          <w:rFonts w:ascii="arial" w:eastAsia="arial" w:hAnsi="arial" w:cs="arial"/>
          <w:color w:val="000000"/>
          <w:sz w:val="20"/>
          <w:lang w:val="en-US" w:eastAsia="en-US" w:bidi="ar-SA"/>
        </w:rPr>
        <w:t xml:space="preserve">, I will discuss two other authorities relied upon by the parties. The first is </w:t>
      </w:r>
      <w:r>
        <w:rPr>
          <w:rFonts w:ascii="arial" w:eastAsia="arial" w:hAnsi="arial" w:cs="arial"/>
          <w:b/>
          <w:i/>
          <w:color w:val="000000"/>
          <w:sz w:val="20"/>
          <w:lang w:val="en-US" w:eastAsia="en-US" w:bidi="ar-SA"/>
        </w:rPr>
        <w:t>Gnitrow Ltd. v. Cape plc</w:t>
      </w:r>
      <w:r>
        <w:rPr>
          <w:rFonts w:ascii="arial" w:eastAsia="arial" w:hAnsi="arial" w:cs="arial"/>
          <w:color w:val="000000"/>
          <w:sz w:val="20"/>
          <w:lang w:val="en-US" w:eastAsia="en-US" w:bidi="ar-SA"/>
        </w:rPr>
        <w:t xml:space="preserve"> (2000), 1 W.L.R. 2327 (C.A.). The issue again was the disclosure of a settlement agreement. This case involved an indemnity agreement. Pill L.J. said the following at pp. 2331-32: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confine such disclosure to the defendant. While a judge would normally be relied on not to be influenced by his knowledge of the terms of a settlement between a party to the action and one who is not a party, it is preferable not to permit the judge to see it until it is necessary for him to do so in order to ensure that there is no excess recovery by the claimant. The settlement may have been reached for commercial reasons, such as the saving of costs, and with the intention of achieving a global settlement covering all cases without the need for detailed analysis of the merits of each particular case or even each particular shipyard. The agreement may not accurately reflect the view even of its parties with respect to a particular case. I would liken the situation to that arising when a Part 36 payment has been made. C.P.R., rule 36.19(2) provides: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fact that a Part 36 payment has been made shall not be communicated to the trial judge until all questions of liability and the amount of money to be awarded have been decided.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extend that approach to cover the terms of this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conclusions are as follows:</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terms of the national agreement between the claimant's insurers and the Newalls which provide for the settlement as between them of claims arising out of operations at the Cowes shipyard should be disclosed to Cape, so far as they provide for the apportionment of such liability. That will enable Cape to make a Part 36 offer with knowledge relevant to that offer.</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should not be told the terms until he has made his apportionment of responsibility on the basis of evidence called, the terms not being relevant to that task. If necessary, the relevant terms can be shown to the judge when he has completed that task so that he can ensure that the claimant recovers no more than it has paid its employees.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confine my conclusion upon the application of this procedure to present circumstances, that is, where a claimant has settled for a fixed sum a specific claim against him and seeks only an indemnity or contribution with respect to the sum paid by him. Other situations will require separate consideration. The circumstances would be different, for example, if a claimant in an action for damages for personal injuries, where damages were at large, were to settle with one of two defendants. It could be a severe disincentive to negotiations generally if, by declining to negotiate, a party can routinely claim the advantage of knowing what other parties have agreed before condescending to negotiate for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in that case, the settlement privilege was set aside and the settlement was disclosed. However, it was a case where an indemnity was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Martin v. Listowel Memorial Hospital</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(2000), 51 O.R. (3d) 384</w:t>
        </w:r>
      </w:hyperlink>
      <w:r>
        <w:rPr>
          <w:rFonts w:ascii="arial" w:eastAsia="arial" w:hAnsi="arial" w:cs="arial"/>
          <w:color w:val="000000"/>
          <w:sz w:val="20"/>
          <w:lang w:val="en-US" w:eastAsia="en-US" w:bidi="ar-SA"/>
        </w:rPr>
        <w:t xml:space="preserve"> (Ont. C.A.), the plaintiff initially sued the hospital; three attending physicians and two ambulance drivers were subsequently joined as parties. The action against one of the doctors was dismissed, and the other two brought a third party claim against a nurse. The plaintiffs reached a settlement with the two physicians and the action proceeded against the hospital and ambulance attendants. The terms of the settlement were not disclosed. The trial judge found the physicians and the nurse to have been negligent and thus liable for the plaintiff's injuries, and the hospital was found vicariously liable for the nurse and the ambulance attendants. The judge refused to apportion liability and found all the defendants equally at fault. The amount of settlement was never released. The Court of Appeal held that the trial judge erred in failing to apportion liability, and the court said the following about secret settlements at paras. 53 - 54: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recent article entitled </w:t>
      </w:r>
      <w:r>
        <w:rPr>
          <w:rFonts w:ascii="arial" w:eastAsia="arial" w:hAnsi="arial" w:cs="arial"/>
          <w:i/>
          <w:color w:val="000000"/>
          <w:sz w:val="20"/>
          <w:lang w:val="en-US" w:eastAsia="en-US" w:bidi="ar-SA"/>
        </w:rPr>
        <w:t>Settlement of Complex Liability Lawsuits</w:t>
      </w:r>
      <w:r>
        <w:rPr>
          <w:rFonts w:ascii="arial" w:eastAsia="arial" w:hAnsi="arial" w:cs="arial"/>
          <w:color w:val="000000"/>
          <w:sz w:val="20"/>
          <w:lang w:val="en-US" w:eastAsia="en-US" w:bidi="ar-SA"/>
        </w:rPr>
        <w:t xml:space="preserve">, [2000] 22 Advocates Quarterly, 265, the authors suggest that the courts should be involved in reviewing the fairness of all partial settlements and their consequences for all parties. This would be done at a hearing where all parties, including the non-settling defendants are present. It therefore would eliminate "secret settlements" in multi-party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The issue of who is released and who remains a party to the action can be resolved with a full understanding of the consequences for the settling and non-settling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our view, this proposal is one which ought to be implemented, particularly in cases involving infants. It ensures that all parties who are potentially liable either to the plaintiff or to indemnify others found at fault, participate in the partial resolution, and that the interests of all involved are fully explored so that a party who elects to accept the risks of the settlement, including a court on behalf of an infant, does so with full understanding by everyone of the consequences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turn now to the decision in </w:t>
      </w:r>
      <w:r>
        <w:rPr>
          <w:rFonts w:ascii="arial" w:eastAsia="arial" w:hAnsi="arial" w:cs="arial"/>
          <w:b/>
          <w:i/>
          <w:color w:val="000000"/>
          <w:sz w:val="20"/>
          <w:lang w:val="en-US" w:eastAsia="en-US" w:bidi="ar-SA"/>
        </w:rPr>
        <w:t>B.C. Children's Hospital v. Air Products Canada Ltd.</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(2001), 91 B.C.L.R. (3d) 295</w:t>
        </w:r>
      </w:hyperlink>
      <w:r>
        <w:rPr>
          <w:rFonts w:ascii="arial" w:eastAsia="arial" w:hAnsi="arial" w:cs="arial"/>
          <w:color w:val="000000"/>
          <w:sz w:val="20"/>
          <w:lang w:val="en-US" w:eastAsia="en-US" w:bidi="ar-SA"/>
        </w:rPr>
        <w:t xml:space="preserve"> (S.C.), appeal allowed in part, </w:t>
      </w:r>
      <w:hyperlink r:id="rId524" w:history="1">
        <w:r>
          <w:rPr>
            <w:rFonts w:ascii="arial" w:eastAsia="arial" w:hAnsi="arial" w:cs="arial"/>
            <w:i/>
            <w:color w:val="0077CC"/>
            <w:sz w:val="20"/>
            <w:u w:val="single"/>
            <w:shd w:val="clear" w:color="auto" w:fill="FFFFFF"/>
            <w:lang w:val="en-US" w:eastAsia="en-US" w:bidi="ar-SA"/>
          </w:rPr>
          <w:t>2003 BCCA 177</w:t>
        </w:r>
      </w:hyperlink>
      <w:r>
        <w:rPr>
          <w:rFonts w:ascii="arial" w:eastAsia="arial" w:hAnsi="arial" w:cs="arial"/>
          <w:color w:val="000000"/>
          <w:sz w:val="20"/>
          <w:lang w:val="en-US" w:eastAsia="en-US" w:bidi="ar-SA"/>
        </w:rPr>
        <w:t xml:space="preserve">. A number of hospitals sued the defendants for damages arising from the fixing of gas prices. The plaintiff settled with a number of the defendants and the agreement was to remain confidential. The chambers judge concluded that the blanket privilege in </w:t>
      </w:r>
      <w:r>
        <w:rPr>
          <w:rFonts w:ascii="arial" w:eastAsia="arial" w:hAnsi="arial" w:cs="arial"/>
          <w:b/>
          <w:i/>
          <w:color w:val="000000"/>
          <w:sz w:val="20"/>
          <w:lang w:val="en-US" w:eastAsia="en-US" w:bidi="ar-SA"/>
        </w:rPr>
        <w:t>Middelkamp</w:t>
      </w:r>
      <w:r>
        <w:rPr>
          <w:rFonts w:ascii="arial" w:eastAsia="arial" w:hAnsi="arial" w:cs="arial"/>
          <w:color w:val="000000"/>
          <w:sz w:val="20"/>
          <w:lang w:val="en-US" w:eastAsia="en-US" w:bidi="ar-SA"/>
        </w:rPr>
        <w:t xml:space="preserve"> did not apply to the settlement amount. However, she refused to disclose the amount of settlement on the basis of relevance. She did release some aspects of the settlement which she found to be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of Appeal identified that the main objective was to have the amount of the settlement disclosed. The majority of the Court of Appeal held that the blanket privilege did apply to all aspects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majority held, at paras. 26 - 32: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lang w:val="en-US" w:eastAsia="en-US" w:bidi="ar-SA"/>
        </w:rPr>
        <w:t>Middelkamp</w:t>
      </w:r>
      <w:r>
        <w:rPr>
          <w:rFonts w:ascii="arial" w:eastAsia="arial" w:hAnsi="arial" w:cs="arial"/>
          <w:color w:val="000000"/>
          <w:sz w:val="20"/>
          <w:lang w:val="en-US" w:eastAsia="en-US" w:bidi="ar-SA"/>
        </w:rPr>
        <w:t xml:space="preserve"> did not involve an actual settlement document but concerned pre-settlement negotiations, I am of the view that the reasoning in the case, adopting and approving the reasoning in the case of </w:t>
      </w:r>
      <w:r>
        <w:rPr>
          <w:rFonts w:ascii="arial" w:eastAsia="arial" w:hAnsi="arial" w:cs="arial"/>
          <w:b/>
          <w:i/>
          <w:color w:val="000000"/>
          <w:sz w:val="20"/>
          <w:lang w:val="en-US" w:eastAsia="en-US" w:bidi="ar-SA"/>
        </w:rPr>
        <w:t>Rush &amp; Tompkins Ltd.</w:t>
      </w:r>
      <w:r>
        <w:rPr>
          <w:rFonts w:ascii="arial" w:eastAsia="arial" w:hAnsi="arial" w:cs="arial"/>
          <w:color w:val="000000"/>
          <w:sz w:val="20"/>
          <w:lang w:val="en-US" w:eastAsia="en-US" w:bidi="ar-SA"/>
        </w:rPr>
        <w:t xml:space="preserve">, is generally supportive of the proposition that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documentation relating to negotiation and settlement in a situation like the present case, (multi-party litigation), is privileged from production to an applicant in the position of the appellant. In </w:t>
      </w:r>
      <w:r>
        <w:rPr>
          <w:rFonts w:ascii="arial" w:eastAsia="arial" w:hAnsi="arial" w:cs="arial"/>
          <w:b/>
          <w:i/>
          <w:color w:val="000000"/>
          <w:sz w:val="20"/>
          <w:lang w:val="en-US" w:eastAsia="en-US" w:bidi="ar-SA"/>
        </w:rPr>
        <w:t>Middelkamp</w:t>
      </w:r>
      <w:r>
        <w:rPr>
          <w:rFonts w:ascii="arial" w:eastAsia="arial" w:hAnsi="arial" w:cs="arial"/>
          <w:color w:val="000000"/>
          <w:sz w:val="20"/>
          <w:lang w:val="en-US" w:eastAsia="en-US" w:bidi="ar-SA"/>
        </w:rPr>
        <w:t xml:space="preserve">, the defendant respondents had reached an agreement with the Director of Investigation under the </w:t>
      </w:r>
      <w:r>
        <w:rPr>
          <w:rFonts w:ascii="arial" w:eastAsia="arial" w:hAnsi="arial" w:cs="arial"/>
          <w:b/>
          <w:i/>
          <w:color w:val="000000"/>
          <w:sz w:val="20"/>
          <w:lang w:val="en-US" w:eastAsia="en-US" w:bidi="ar-SA"/>
        </w:rPr>
        <w:t>Competition Act</w:t>
      </w:r>
      <w:r>
        <w:rPr>
          <w:rFonts w:ascii="arial" w:eastAsia="arial" w:hAnsi="arial" w:cs="arial"/>
          <w:color w:val="000000"/>
          <w:sz w:val="20"/>
          <w:lang w:val="en-US" w:eastAsia="en-US" w:bidi="ar-SA"/>
        </w:rPr>
        <w:t xml:space="preserve"> resolving criminal proceedings commenced by the Director. In subsequent litigation that seems to have been similar to the litigation in the case at bar, production was sought by the plaintiffs of documentation relating to the settlement. Because in that case, the agreed statement of facts and the prohibition order granted by a Federal Court judge was filed in court proceedings, that documentation was public. The respondents resisted production of the documents that had led to the agreed statement of facts and the prohibition order on the grounds that these documents had been exchanged on a without prejudice basis between the defendant Board and the Department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Middelkamp</w:t>
      </w:r>
      <w:r>
        <w:rPr>
          <w:rFonts w:ascii="arial" w:eastAsia="arial" w:hAnsi="arial" w:cs="arial"/>
          <w:color w:val="000000"/>
          <w:sz w:val="20"/>
          <w:lang w:val="en-US" w:eastAsia="en-US" w:bidi="ar-SA"/>
        </w:rPr>
        <w:t xml:space="preserve">, the Court convened as a five person court to consider the correctness of the earlier judgment of this Court in </w:t>
      </w:r>
      <w:r>
        <w:rPr>
          <w:rFonts w:ascii="arial" w:eastAsia="arial" w:hAnsi="arial" w:cs="arial"/>
          <w:b/>
          <w:i/>
          <w:color w:val="000000"/>
          <w:sz w:val="20"/>
          <w:lang w:val="en-US" w:eastAsia="en-US" w:bidi="ar-SA"/>
        </w:rPr>
        <w:t>Derco Industries Ltd. v. A.R. Grimwood Ltd.</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(1984), 57 B.C.L.R. 395</w:t>
        </w:r>
      </w:hyperlink>
      <w:r>
        <w:rPr>
          <w:rFonts w:ascii="arial" w:eastAsia="arial" w:hAnsi="arial" w:cs="arial"/>
          <w:color w:val="000000"/>
          <w:sz w:val="20"/>
          <w:lang w:val="en-US" w:eastAsia="en-US" w:bidi="ar-SA"/>
        </w:rPr>
        <w:t xml:space="preserve"> (C.A.). In that case, production was ordered of a settlement agreement and the documents exchanged in negotiations leading to the settlement. At p. 280, Chief Justice McEachern noted that the </w:t>
      </w:r>
      <w:r>
        <w:rPr>
          <w:rFonts w:ascii="arial" w:eastAsia="arial" w:hAnsi="arial" w:cs="arial"/>
          <w:b/>
          <w:i/>
          <w:color w:val="000000"/>
          <w:sz w:val="20"/>
          <w:lang w:val="en-US" w:eastAsia="en-US" w:bidi="ar-SA"/>
        </w:rPr>
        <w:t>Derco</w:t>
      </w:r>
      <w:r>
        <w:rPr>
          <w:rFonts w:ascii="arial" w:eastAsia="arial" w:hAnsi="arial" w:cs="arial"/>
          <w:color w:val="000000"/>
          <w:sz w:val="20"/>
          <w:lang w:val="en-US" w:eastAsia="en-US" w:bidi="ar-SA"/>
        </w:rPr>
        <w:t xml:space="preserve"> case had been a severely circumscribed decision given under some pressure of time because the trial of the case was imminent. Chief Justice McEachern expressed his conclusion on the matter at p. 281-282: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judgment of this court in </w:t>
      </w:r>
      <w:r>
        <w:rPr>
          <w:rFonts w:ascii="arial" w:eastAsia="arial" w:hAnsi="arial" w:cs="arial"/>
          <w:b/>
          <w:i/>
          <w:color w:val="000000"/>
          <w:sz w:val="20"/>
          <w:lang w:val="en-US" w:eastAsia="en-US" w:bidi="ar-SA"/>
        </w:rPr>
        <w:t>Derco</w:t>
      </w:r>
      <w:r>
        <w:rPr>
          <w:rFonts w:ascii="arial" w:eastAsia="arial" w:hAnsi="arial" w:cs="arial"/>
          <w:color w:val="000000"/>
          <w:sz w:val="20"/>
          <w:lang w:val="en-US" w:eastAsia="en-US" w:bidi="ar-SA"/>
        </w:rPr>
        <w:t xml:space="preserve">, the House of Lords in </w:t>
      </w:r>
      <w:r>
        <w:rPr>
          <w:rFonts w:ascii="arial" w:eastAsia="arial" w:hAnsi="arial" w:cs="arial"/>
          <w:b/>
          <w:i/>
          <w:color w:val="000000"/>
          <w:sz w:val="20"/>
          <w:lang w:val="en-US" w:eastAsia="en-US" w:bidi="ar-SA"/>
        </w:rPr>
        <w:t>Rush &amp; Tompkins</w:t>
      </w: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 xml:space="preserve"> Rush &amp; Tompkins Ltd. v. Greater London Council</w:t>
      </w:r>
      <w:r>
        <w:rPr>
          <w:rFonts w:ascii="arial" w:eastAsia="arial" w:hAnsi="arial" w:cs="arial"/>
          <w:color w:val="000000"/>
          <w:sz w:val="20"/>
          <w:lang w:val="en-US" w:eastAsia="en-US" w:bidi="ar-SA"/>
        </w:rPr>
        <w:t xml:space="preserve">, [1988] 3 All E.R. 737], and the Alberta Court of Queen's Bench in </w:t>
      </w:r>
      <w:r>
        <w:rPr>
          <w:rFonts w:ascii="arial" w:eastAsia="arial" w:hAnsi="arial" w:cs="arial"/>
          <w:b/>
          <w:i/>
          <w:color w:val="000000"/>
          <w:sz w:val="20"/>
          <w:lang w:val="en-US" w:eastAsia="en-US" w:bidi="ar-SA"/>
        </w:rPr>
        <w:t>Ed Miller Sales</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[1990] A.J. No. 232</w:t>
        </w:r>
      </w:hyperlink>
      <w:r>
        <w:rPr>
          <w:rFonts w:ascii="arial" w:eastAsia="arial" w:hAnsi="arial" w:cs="arial"/>
          <w:color w:val="000000"/>
          <w:sz w:val="20"/>
          <w:lang w:val="en-US" w:eastAsia="en-US" w:bidi="ar-SA"/>
        </w:rPr>
        <w:t xml:space="preserve">, have both declined to follow </w:t>
      </w:r>
      <w:r>
        <w:rPr>
          <w:rFonts w:ascii="arial" w:eastAsia="arial" w:hAnsi="arial" w:cs="arial"/>
          <w:b/>
          <w:i/>
          <w:color w:val="000000"/>
          <w:sz w:val="20"/>
          <w:lang w:val="en-US" w:eastAsia="en-US" w:bidi="ar-SA"/>
        </w:rPr>
        <w:t>Derco</w:t>
      </w:r>
      <w:r>
        <w:rPr>
          <w:rFonts w:ascii="arial" w:eastAsia="arial" w:hAnsi="arial" w:cs="arial"/>
          <w:color w:val="000000"/>
          <w:sz w:val="20"/>
          <w:lang w:val="en-US" w:eastAsia="en-US" w:bidi="ar-SA"/>
        </w:rPr>
        <w:t xml:space="preserve">, preferring the view of the Ontario Court of Appeal in </w:t>
      </w:r>
      <w:r>
        <w:rPr>
          <w:rFonts w:ascii="arial" w:eastAsia="arial" w:hAnsi="arial" w:cs="arial"/>
          <w:b/>
          <w:i/>
          <w:color w:val="000000"/>
          <w:sz w:val="20"/>
          <w:lang w:val="en-US" w:eastAsia="en-US" w:bidi="ar-SA"/>
        </w:rPr>
        <w:t>Waxman</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[1968] O.J. No. 1174</w:t>
        </w:r>
      </w:hyperlink>
      <w:r>
        <w:rPr>
          <w:rFonts w:ascii="arial" w:eastAsia="arial" w:hAnsi="arial" w:cs="arial"/>
          <w:color w:val="000000"/>
          <w:sz w:val="20"/>
          <w:lang w:val="en-US" w:eastAsia="en-US" w:bidi="ar-SA"/>
        </w:rPr>
        <w:t xml:space="preserve">. Also since </w:t>
      </w:r>
      <w:r>
        <w:rPr>
          <w:rFonts w:ascii="arial" w:eastAsia="arial" w:hAnsi="arial" w:cs="arial"/>
          <w:b/>
          <w:i/>
          <w:color w:val="000000"/>
          <w:sz w:val="20"/>
          <w:lang w:val="en-US" w:eastAsia="en-US" w:bidi="ar-SA"/>
        </w:rPr>
        <w:t>Rush &amp; Tompkins</w:t>
      </w:r>
      <w:r>
        <w:rPr>
          <w:rFonts w:ascii="arial" w:eastAsia="arial" w:hAnsi="arial" w:cs="arial"/>
          <w:color w:val="000000"/>
          <w:sz w:val="20"/>
          <w:lang w:val="en-US" w:eastAsia="en-US" w:bidi="ar-SA"/>
        </w:rPr>
        <w:t xml:space="preserve">, the learned editors of </w:t>
      </w:r>
      <w:r>
        <w:rPr>
          <w:rFonts w:ascii="arial" w:eastAsia="arial" w:hAnsi="arial" w:cs="arial"/>
          <w:b/>
          <w:i/>
          <w:color w:val="000000"/>
          <w:sz w:val="20"/>
          <w:lang w:val="en-US" w:eastAsia="en-US" w:bidi="ar-SA"/>
        </w:rPr>
        <w:t>Phipson</w:t>
      </w:r>
      <w:r>
        <w:rPr>
          <w:rFonts w:ascii="arial" w:eastAsia="arial" w:hAnsi="arial" w:cs="arial"/>
          <w:color w:val="000000"/>
          <w:sz w:val="20"/>
          <w:lang w:val="en-US" w:eastAsia="en-US" w:bidi="ar-SA"/>
        </w:rPr>
        <w:t xml:space="preserve"> have altered their views to conform to the recent jurisprudence.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Keeping in mind that </w:t>
      </w:r>
      <w:r>
        <w:rPr>
          <w:rFonts w:ascii="arial" w:eastAsia="arial" w:hAnsi="arial" w:cs="arial"/>
          <w:b/>
          <w:i/>
          <w:color w:val="000000"/>
          <w:sz w:val="20"/>
          <w:lang w:val="en-US" w:eastAsia="en-US" w:bidi="ar-SA"/>
        </w:rPr>
        <w:t>Derco</w:t>
      </w:r>
      <w:r>
        <w:rPr>
          <w:rFonts w:ascii="arial" w:eastAsia="arial" w:hAnsi="arial" w:cs="arial"/>
          <w:color w:val="000000"/>
          <w:sz w:val="20"/>
          <w:lang w:val="en-US" w:eastAsia="en-US" w:bidi="ar-SA"/>
        </w:rPr>
        <w:t xml:space="preserve"> is a severely qualified judgment, and also the subsequent jurisprudence, I think it is appropriate that we should endeavour to pronounce, as decisively as possible, upon this important question of practice.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Considering the enormous scope of production which is required by our almost slavish adherence to the </w:t>
      </w:r>
      <w:r>
        <w:rPr>
          <w:rFonts w:ascii="arial" w:eastAsia="arial" w:hAnsi="arial" w:cs="arial"/>
          <w:b/>
          <w:i/>
          <w:color w:val="000000"/>
          <w:sz w:val="20"/>
          <w:lang w:val="en-US" w:eastAsia="en-US" w:bidi="ar-SA"/>
        </w:rPr>
        <w:t>Peruvian Guano</w:t>
      </w:r>
      <w:r>
        <w:rPr>
          <w:rFonts w:ascii="arial" w:eastAsia="arial" w:hAnsi="arial" w:cs="arial"/>
          <w:color w:val="000000"/>
          <w:sz w:val="20"/>
          <w:lang w:val="en-US" w:eastAsia="en-US" w:bidi="ar-SA"/>
        </w:rPr>
        <w:t xml:space="preserve"> principle, the questionable relevance and value of documents prepared for the settlement of disputes, and the public interest, I find myself in agreement with the House of Lords that the public interest in the settlement of disputes generally requires "without prejudice" documents or communications created for, or communicated in the course of, settlement negotiations to be privileged. I would classify this as a "'blanket',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common law, or 'class'" privilege because it arises from settlement negotiations and protects the class of communications exchanged in the course of that worthwhile endeavour.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Locke J.A. concurred in the result but based his conclusion that production ought not to be ordered in such cases on the basis of the public interest in providing for the settlement of litigation. He said that production ought not to be ordered in future cases if the court was persuaded that the disclosure would work to inhibit the parties from settling that action or any other actions. The difference between the judgments was that Chief Justice McEachern, speaking for the majority, felt that a blanket privilege should be held to exist applicable in all cases whereas Locke J.A. appears to have concluded that the matter could be dealt with on a case by case basis. Although some difference may be perceived in the reasoning of the majority and Locke J.A., it seems to me that the reasoning in both judgments is strongly supportive of a general policy of non-production of all documentation relating to settlement negotiations. Chief Justice McEachern said at p. 282: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judgment this privilege protects documents and communications created for such purposes both from production to other parties to the negotiations and to strangers, and extends as well to admissibility, and whether or not a settlement is reached. This is because, as I have said, a party communicating a proposal related to settlement, or responding to one, usually has no control over what the other side may do with such documents. Without such protection, the public interest in encouraging settlements will not be served.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Locke J.A. observed at pp. 298-299: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so it is seen that the overwhelming current of authority is in favour of endorsing the protection from production with the aim of curtailing or shortening litigation. This has been the underlying object. I have laboriously canvassed all these cases to show that the principle has always been accepted from the earliest times. There has been much litigation, but it has all been to define the scope of the doctrine: Does it apply to arbitrations? Does it apply to opinion evidence? Does it apply to lawyers as well as clients? Does it apply when there has been a concluded settlement? and so on. Never has the principle, which is really one example of applying the principle of economy of means, been doubted.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later times much intellectual power has been expended in attempting to state the true theoretical basis for the doctrine. </w:t>
      </w:r>
      <w:r>
        <w:rPr>
          <w:rFonts w:ascii="arial" w:eastAsia="arial" w:hAnsi="arial" w:cs="arial"/>
          <w:b/>
          <w:i/>
          <w:color w:val="000000"/>
          <w:sz w:val="20"/>
          <w:lang w:val="en-US" w:eastAsia="en-US" w:bidi="ar-SA"/>
        </w:rPr>
        <w:t>Hoghton v. Hoghton</w:t>
      </w:r>
      <w:r>
        <w:rPr>
          <w:rFonts w:ascii="arial" w:eastAsia="arial" w:hAnsi="arial" w:cs="arial"/>
          <w:color w:val="000000"/>
          <w:sz w:val="20"/>
          <w:lang w:val="en-US" w:eastAsia="en-US" w:bidi="ar-SA"/>
        </w:rPr>
        <w:t xml:space="preserve"> (1852) 15 Beav. 278, </w:t>
      </w:r>
      <w:r>
        <w:rPr>
          <w:rFonts w:ascii="arial" w:eastAsia="arial" w:hAnsi="arial" w:cs="arial"/>
          <w:b/>
          <w:i/>
          <w:color w:val="000000"/>
          <w:sz w:val="20"/>
          <w:lang w:val="en-US" w:eastAsia="en-US" w:bidi="ar-SA"/>
        </w:rPr>
        <w:t>Underwood v. Cox</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[1912] O.J. No. 131</w:t>
        </w:r>
      </w:hyperlink>
      <w:r>
        <w:rPr>
          <w:rFonts w:ascii="arial" w:eastAsia="arial" w:hAnsi="arial" w:cs="arial"/>
          <w:color w:val="000000"/>
          <w:sz w:val="20"/>
          <w:lang w:val="en-US" w:eastAsia="en-US" w:bidi="ar-SA"/>
        </w:rPr>
        <w:t xml:space="preserve">, one judge in </w:t>
      </w:r>
      <w:r>
        <w:rPr>
          <w:rFonts w:ascii="arial" w:eastAsia="arial" w:hAnsi="arial" w:cs="arial"/>
          <w:b/>
          <w:i/>
          <w:color w:val="000000"/>
          <w:sz w:val="20"/>
          <w:lang w:val="en-US" w:eastAsia="en-US" w:bidi="ar-SA"/>
        </w:rPr>
        <w:t>Schetky v. Cochrane</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[1918] B.C.J. No. 89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Scott Paper</w:t>
      </w:r>
      <w:r>
        <w:rPr>
          <w:rFonts w:ascii="arial" w:eastAsia="arial" w:hAnsi="arial" w:cs="arial"/>
          <w:color w:val="000000"/>
          <w:sz w:val="20"/>
          <w:lang w:val="en-US" w:eastAsia="en-US" w:bidi="ar-SA"/>
        </w:rPr>
        <w:t xml:space="preserve"> in 1927, </w:t>
      </w:r>
      <w:r>
        <w:rPr>
          <w:rFonts w:ascii="arial" w:eastAsia="arial" w:hAnsi="arial" w:cs="arial"/>
          <w:b/>
          <w:i/>
          <w:color w:val="000000"/>
          <w:sz w:val="20"/>
          <w:lang w:val="en-US" w:eastAsia="en-US" w:bidi="ar-SA"/>
        </w:rPr>
        <w:t>Waxman</w:t>
      </w:r>
      <w:r>
        <w:rPr>
          <w:rFonts w:ascii="arial" w:eastAsia="arial" w:hAnsi="arial" w:cs="arial"/>
          <w:color w:val="000000"/>
          <w:sz w:val="20"/>
          <w:lang w:val="en-US" w:eastAsia="en-US" w:bidi="ar-SA"/>
        </w:rPr>
        <w:t xml:space="preserve"> in 1968 and </w:t>
      </w:r>
      <w:r>
        <w:rPr>
          <w:rFonts w:ascii="arial" w:eastAsia="arial" w:hAnsi="arial" w:cs="arial"/>
          <w:b/>
          <w:i/>
          <w:color w:val="000000"/>
          <w:sz w:val="20"/>
          <w:lang w:val="en-US" w:eastAsia="en-US" w:bidi="ar-SA"/>
        </w:rPr>
        <w:t>Rush &amp; Tompkins</w:t>
      </w:r>
      <w:r>
        <w:rPr>
          <w:rFonts w:ascii="arial" w:eastAsia="arial" w:hAnsi="arial" w:cs="arial"/>
          <w:color w:val="000000"/>
          <w:sz w:val="20"/>
          <w:lang w:val="en-US" w:eastAsia="en-US" w:bidi="ar-SA"/>
        </w:rPr>
        <w:t xml:space="preserve"> in 1988 have all placed it in the ground of public interest.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agree with this. It has to my mind the immense advantage of enabling one to balance competing interests not on forms of words but on intrinsic strengths. One is enabled to apply principle to the kaleidoscope of circumstance.</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The present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poses the problem of production at the demands of a third party. </w:t>
      </w:r>
      <w:r>
        <w:rPr>
          <w:rFonts w:ascii="arial" w:eastAsia="arial" w:hAnsi="arial" w:cs="arial"/>
          <w:b/>
          <w:i/>
          <w:color w:val="000000"/>
          <w:sz w:val="20"/>
          <w:lang w:val="en-US" w:eastAsia="en-US" w:bidi="ar-SA"/>
        </w:rPr>
        <w:t>Warrick (1867), L.R. 4 Eq. 254, Teign Valley, Stretton v. Stubbs, Schetky, Derco, Waxman, Ed Miller Sales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Rush</w:t>
      </w:r>
      <w:r>
        <w:rPr>
          <w:rFonts w:ascii="arial" w:eastAsia="arial" w:hAnsi="arial" w:cs="arial"/>
          <w:color w:val="000000"/>
          <w:sz w:val="20"/>
          <w:lang w:val="en-US" w:eastAsia="en-US" w:bidi="ar-SA"/>
        </w:rPr>
        <w:t xml:space="preserve"> have each dealt with it. </w:t>
      </w:r>
      <w:r>
        <w:rPr>
          <w:rFonts w:ascii="arial" w:eastAsia="arial" w:hAnsi="arial" w:cs="arial"/>
          <w:b/>
          <w:i/>
          <w:color w:val="000000"/>
          <w:sz w:val="20"/>
          <w:lang w:val="en-US" w:eastAsia="en-US" w:bidi="ar-SA"/>
        </w:rPr>
        <w:t>Teign Valley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Stretton v. Stubbs</w:t>
      </w:r>
      <w:r>
        <w:rPr>
          <w:rFonts w:ascii="arial" w:eastAsia="arial" w:hAnsi="arial" w:cs="arial"/>
          <w:color w:val="000000"/>
          <w:sz w:val="20"/>
          <w:lang w:val="en-US" w:eastAsia="en-US" w:bidi="ar-SA"/>
        </w:rPr>
        <w:t xml:space="preserve"> upon which </w:t>
      </w:r>
      <w:r>
        <w:rPr>
          <w:rFonts w:ascii="arial" w:eastAsia="arial" w:hAnsi="arial" w:cs="arial"/>
          <w:b/>
          <w:i/>
          <w:color w:val="000000"/>
          <w:sz w:val="20"/>
          <w:lang w:val="en-US" w:eastAsia="en-US" w:bidi="ar-SA"/>
        </w:rPr>
        <w:t>Schetky</w:t>
      </w:r>
      <w:r>
        <w:rPr>
          <w:rFonts w:ascii="arial" w:eastAsia="arial" w:hAnsi="arial" w:cs="arial"/>
          <w:color w:val="000000"/>
          <w:sz w:val="20"/>
          <w:lang w:val="en-US" w:eastAsia="en-US" w:bidi="ar-SA"/>
        </w:rPr>
        <w:t xml:space="preserve"> substantially depended have been discredited. While </w:t>
      </w:r>
      <w:r>
        <w:rPr>
          <w:rFonts w:ascii="arial" w:eastAsia="arial" w:hAnsi="arial" w:cs="arial"/>
          <w:b/>
          <w:i/>
          <w:color w:val="000000"/>
          <w:sz w:val="20"/>
          <w:lang w:val="en-US" w:eastAsia="en-US" w:bidi="ar-SA"/>
        </w:rPr>
        <w:t>Derco</w:t>
      </w:r>
      <w:r>
        <w:rPr>
          <w:rFonts w:ascii="arial" w:eastAsia="arial" w:hAnsi="arial" w:cs="arial"/>
          <w:color w:val="000000"/>
          <w:sz w:val="20"/>
          <w:lang w:val="en-US" w:eastAsia="en-US" w:bidi="ar-SA"/>
        </w:rPr>
        <w:t xml:space="preserve"> reached an independent conclusion, it was specifically not founded on any one theoretical basis, and has not been followed by two appellate courts.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 all respect I cannot in law see one reason why this province, alone in the Commonwealth, should not recognize the overriding importance of this protection from the eyes of a third party. To refuse it is to inhibit and penalize one who wishes to settle. It is easy to envisage a building owner loath to compromise the minor claim of a small subcontractor, because of concern an admission of fact would be held against him in another major subcontractors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the cases emphasize that no bars should be placed in the way of one who wishes to compromise, and to allow the production is by definition to inhibit. Such barriers to settlement should only be permitted if the other competing interest absolutely demands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examining the conflict between privilege and disclosure it must be recalled that British Columbia already has the widest of discovery laws: far greater than England, and wider in scope than Ontario. Therefore,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the need for production to do justice is the less. One assumes that England has done justice, and that with a poverty-stricken discovery compared to the engines available in British Columbia, where abuses are often worked in the name of completeness: see McEachern C.J.S.C. in </w:t>
      </w:r>
      <w:r>
        <w:rPr>
          <w:rFonts w:ascii="arial" w:eastAsia="arial" w:hAnsi="arial" w:cs="arial"/>
          <w:b/>
          <w:i/>
          <w:color w:val="000000"/>
          <w:sz w:val="20"/>
          <w:lang w:val="en-US" w:eastAsia="en-US" w:bidi="ar-SA"/>
        </w:rPr>
        <w:t>Peter Kiewit et al. v. B.C. Hydro and Power Authority et al.</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(1982), 36 B.C.L.R. 58</w:t>
        </w:r>
      </w:hyperlink>
      <w:r>
        <w:rPr>
          <w:rFonts w:ascii="arial" w:eastAsia="arial" w:hAnsi="arial" w:cs="arial"/>
          <w:color w:val="000000"/>
          <w:sz w:val="20"/>
          <w:lang w:val="en-US" w:eastAsia="en-US" w:bidi="ar-SA"/>
        </w:rPr>
        <w:t xml:space="preserve"> criticizing the invariant application of the </w:t>
      </w:r>
      <w:r>
        <w:rPr>
          <w:rFonts w:ascii="arial" w:eastAsia="arial" w:hAnsi="arial" w:cs="arial"/>
          <w:b/>
          <w:i/>
          <w:color w:val="000000"/>
          <w:sz w:val="20"/>
          <w:lang w:val="en-US" w:eastAsia="en-US" w:bidi="ar-SA"/>
        </w:rPr>
        <w:t>Guano</w:t>
      </w:r>
      <w:r>
        <w:rPr>
          <w:rFonts w:ascii="arial" w:eastAsia="arial" w:hAnsi="arial" w:cs="arial"/>
          <w:color w:val="000000"/>
          <w:sz w:val="20"/>
          <w:lang w:val="en-US" w:eastAsia="en-US" w:bidi="ar-SA"/>
        </w:rPr>
        <w:t xml:space="preserve"> rule to all large litigations.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the guiding principle and one promising the greatest good for the greatest number of disputants is to shield these documents from production.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appellants relied on the case of </w:t>
      </w:r>
      <w:r>
        <w:rPr>
          <w:rFonts w:ascii="arial" w:eastAsia="arial" w:hAnsi="arial" w:cs="arial"/>
          <w:b/>
          <w:i/>
          <w:color w:val="000000"/>
          <w:sz w:val="20"/>
          <w:lang w:val="en-US" w:eastAsia="en-US" w:bidi="ar-SA"/>
        </w:rPr>
        <w:t>Gnitrow Ltd. v. Cape Plc</w:t>
      </w:r>
      <w:r>
        <w:rPr>
          <w:rFonts w:ascii="arial" w:eastAsia="arial" w:hAnsi="arial" w:cs="arial"/>
          <w:color w:val="000000"/>
          <w:sz w:val="20"/>
          <w:lang w:val="en-US" w:eastAsia="en-US" w:bidi="ar-SA"/>
        </w:rPr>
        <w:t xml:space="preserve">, [2000] 1 W.L.R. 2327, a recent judgment of the English Court of Appeal. That case involved asbestos litigation. The shipyard operator was sued by employees for asbestos related personal injury claims. Having settled the claims through its insurers, the shipyard sought contribution from the defendant, an independent contractor which had operated at the shipyards at the material times. This defendant successfully applied for a stay of the claim until the claimant operator disclosed the terms of the agreement reached between the claimant's insurers and a second independent contractor as to the latter's contribution in the shipyard asbestos cases. </w:t>
      </w:r>
      <w:r>
        <w:rPr>
          <w:rFonts w:ascii="arial" w:eastAsia="arial" w:hAnsi="arial" w:cs="arial"/>
          <w:b/>
          <w:i/>
          <w:color w:val="000000"/>
          <w:sz w:val="20"/>
          <w:lang w:val="en-US" w:eastAsia="en-US" w:bidi="ar-SA"/>
        </w:rPr>
        <w:t>Rush &amp; Tompkins</w:t>
      </w:r>
      <w:r>
        <w:rPr>
          <w:rFonts w:ascii="arial" w:eastAsia="arial" w:hAnsi="arial" w:cs="arial"/>
          <w:color w:val="000000"/>
          <w:sz w:val="20"/>
          <w:lang w:val="en-US" w:eastAsia="en-US" w:bidi="ar-SA"/>
        </w:rPr>
        <w:t xml:space="preserve"> was referred to in the </w:t>
      </w:r>
      <w:r>
        <w:rPr>
          <w:rFonts w:ascii="arial" w:eastAsia="arial" w:hAnsi="arial" w:cs="arial"/>
          <w:b/>
          <w:i/>
          <w:color w:val="000000"/>
          <w:sz w:val="20"/>
          <w:lang w:val="en-US" w:eastAsia="en-US" w:bidi="ar-SA"/>
        </w:rPr>
        <w:t>Gnitrow</w:t>
      </w:r>
      <w:r>
        <w:rPr>
          <w:rFonts w:ascii="arial" w:eastAsia="arial" w:hAnsi="arial" w:cs="arial"/>
          <w:color w:val="000000"/>
          <w:sz w:val="20"/>
          <w:lang w:val="en-US" w:eastAsia="en-US" w:bidi="ar-SA"/>
        </w:rPr>
        <w:t xml:space="preserve"> case. I consider that the </w:t>
      </w:r>
      <w:r>
        <w:rPr>
          <w:rFonts w:ascii="arial" w:eastAsia="arial" w:hAnsi="arial" w:cs="arial"/>
          <w:b/>
          <w:i/>
          <w:color w:val="000000"/>
          <w:sz w:val="20"/>
          <w:lang w:val="en-US" w:eastAsia="en-US" w:bidi="ar-SA"/>
        </w:rPr>
        <w:t>Gnitrow</w:t>
      </w:r>
      <w:r>
        <w:rPr>
          <w:rFonts w:ascii="arial" w:eastAsia="arial" w:hAnsi="arial" w:cs="arial"/>
          <w:color w:val="000000"/>
          <w:sz w:val="20"/>
          <w:lang w:val="en-US" w:eastAsia="en-US" w:bidi="ar-SA"/>
        </w:rPr>
        <w:t xml:space="preserve"> case is distinguishable on its facts from the case at bar because a relevant and distinguishing circumstance there was a relationship between what the claimant had paid its employees and the amount it would be permitted to recover from the defendant. The Court of Appeal observed that </w:t>
      </w:r>
      <w:r>
        <w:rPr>
          <w:rFonts w:ascii="arial" w:eastAsia="arial" w:hAnsi="arial" w:cs="arial"/>
          <w:b/>
          <w:i/>
          <w:color w:val="000000"/>
          <w:sz w:val="20"/>
          <w:lang w:val="en-US" w:eastAsia="en-US" w:bidi="ar-SA"/>
        </w:rPr>
        <w:t>Rush &amp; Tompkins</w:t>
      </w:r>
      <w:r>
        <w:rPr>
          <w:rFonts w:ascii="arial" w:eastAsia="arial" w:hAnsi="arial" w:cs="arial"/>
          <w:color w:val="000000"/>
          <w:sz w:val="20"/>
          <w:lang w:val="en-US" w:eastAsia="en-US" w:bidi="ar-SA"/>
        </w:rPr>
        <w:t xml:space="preserve"> presented a different situation. Pill L.J. said at p. 2332: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confine my conclusion upon the application of this procedure to present circumstances, that is where a claimant has settled for a fixed sum a specific claim against him and seeks only an indemnity or contribution with respect to the sum paid by him. Other situations will require separate consideration. The circumstances would be different, for example, if a claimant in an action for damages for personal injuries, where damages were at large, were to settle with one of two defendants. It could be a severe disincentive to negotiations generally if, by declining to negotiate, a party can routinely claim the advantage of knowing what other parties have agreed before condescending to negotiate for himself.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consider the </w:t>
      </w:r>
      <w:r>
        <w:rPr>
          <w:rFonts w:ascii="arial" w:eastAsia="arial" w:hAnsi="arial" w:cs="arial"/>
          <w:b/>
          <w:i/>
          <w:color w:val="000000"/>
          <w:sz w:val="20"/>
          <w:lang w:val="en-US" w:eastAsia="en-US" w:bidi="ar-SA"/>
        </w:rPr>
        <w:t>Gnitrow</w:t>
      </w:r>
      <w:r>
        <w:rPr>
          <w:rFonts w:ascii="arial" w:eastAsia="arial" w:hAnsi="arial" w:cs="arial"/>
          <w:color w:val="000000"/>
          <w:sz w:val="20"/>
          <w:lang w:val="en-US" w:eastAsia="en-US" w:bidi="ar-SA"/>
        </w:rPr>
        <w:t xml:space="preserve"> case applicable here where the plaintiffs are suing the remaining defendants, (the appellants and others), only for damages arising from their dealings with those defendants. I perceive no relationship between the sums they are suing the appellants for and the sums they have agreed to settle for with the A.L.C. defendants. That to my mind distinguishes </w:t>
      </w:r>
      <w:r>
        <w:rPr>
          <w:rFonts w:ascii="arial" w:eastAsia="arial" w:hAnsi="arial" w:cs="arial"/>
          <w:b/>
          <w:i/>
          <w:color w:val="000000"/>
          <w:sz w:val="20"/>
          <w:lang w:val="en-US" w:eastAsia="en-US" w:bidi="ar-SA"/>
        </w:rPr>
        <w:t>Gnitrow</w:t>
      </w:r>
      <w:r>
        <w:rPr>
          <w:rFonts w:ascii="arial" w:eastAsia="arial" w:hAnsi="arial" w:cs="arial"/>
          <w:color w:val="000000"/>
          <w:sz w:val="20"/>
          <w:lang w:val="en-US" w:eastAsia="en-US" w:bidi="ar-SA"/>
        </w:rPr>
        <w:t>. Because I see the respective claims of the respondents as separate and unrelated as against the various defendants, I doubt the proposition being argued by the appellants that there will be or could occur in this litigation any species of excessive or double recovery on the part of the respondents.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consider that the judgment of Chief Justice McEachern in </w:t>
      </w:r>
      <w:r>
        <w:rPr>
          <w:rFonts w:ascii="arial" w:eastAsia="arial" w:hAnsi="arial" w:cs="arial"/>
          <w:b/>
          <w:i/>
          <w:color w:val="000000"/>
          <w:sz w:val="20"/>
          <w:lang w:val="en-US" w:eastAsia="en-US" w:bidi="ar-SA"/>
        </w:rPr>
        <w:t>Middelkamp</w:t>
      </w:r>
      <w:r>
        <w:rPr>
          <w:rFonts w:ascii="arial" w:eastAsia="arial" w:hAnsi="arial" w:cs="arial"/>
          <w:color w:val="000000"/>
          <w:sz w:val="20"/>
          <w:lang w:val="en-US" w:eastAsia="en-US" w:bidi="ar-SA"/>
        </w:rPr>
        <w:t xml:space="preserve">, speaking for himself and three other members of the Court, supports the proposition that all settlement documents should have a "blanket" privilege from production. Locke J.A. did not necessarily endorse a blanket privilege but the tenor of his judgment endorses a near absolute denial of production of settlement documentation in order to promote what he perceived to be the public interest in the settlement of disputes. I consider both judgments militate against any order for production of the settlement agreement in the present case. It must be remembered that a five person court was convened in </w:t>
      </w:r>
      <w:r>
        <w:rPr>
          <w:rFonts w:ascii="arial" w:eastAsia="arial" w:hAnsi="arial" w:cs="arial"/>
          <w:b/>
          <w:i/>
          <w:color w:val="000000"/>
          <w:sz w:val="20"/>
          <w:lang w:val="en-US" w:eastAsia="en-US" w:bidi="ar-SA"/>
        </w:rPr>
        <w:t>Middelkamp</w:t>
      </w:r>
      <w:r>
        <w:rPr>
          <w:rFonts w:ascii="arial" w:eastAsia="arial" w:hAnsi="arial" w:cs="arial"/>
          <w:color w:val="000000"/>
          <w:sz w:val="20"/>
          <w:lang w:val="en-US" w:eastAsia="en-US" w:bidi="ar-SA"/>
        </w:rPr>
        <w:t xml:space="preserve"> to consider the correctness of earlier cases including </w:t>
      </w:r>
      <w:r>
        <w:rPr>
          <w:rFonts w:ascii="arial" w:eastAsia="arial" w:hAnsi="arial" w:cs="arial"/>
          <w:b/>
          <w:i/>
          <w:color w:val="000000"/>
          <w:sz w:val="20"/>
          <w:lang w:val="en-US" w:eastAsia="en-US" w:bidi="ar-SA"/>
        </w:rPr>
        <w:t>Derco</w:t>
      </w:r>
      <w:r>
        <w:rPr>
          <w:rFonts w:ascii="arial" w:eastAsia="arial" w:hAnsi="arial" w:cs="arial"/>
          <w:color w:val="000000"/>
          <w:sz w:val="20"/>
          <w:lang w:val="en-US" w:eastAsia="en-US" w:bidi="ar-SA"/>
        </w:rPr>
        <w:t xml:space="preserve">. That panel overruled </w:t>
      </w:r>
      <w:r>
        <w:rPr>
          <w:rFonts w:ascii="arial" w:eastAsia="arial" w:hAnsi="arial" w:cs="arial"/>
          <w:b/>
          <w:i/>
          <w:color w:val="000000"/>
          <w:sz w:val="20"/>
          <w:lang w:val="en-US" w:eastAsia="en-US" w:bidi="ar-SA"/>
        </w:rPr>
        <w:t>Derco</w:t>
      </w:r>
      <w:r>
        <w:rPr>
          <w:rFonts w:ascii="arial" w:eastAsia="arial" w:hAnsi="arial" w:cs="arial"/>
          <w:color w:val="000000"/>
          <w:sz w:val="20"/>
          <w:lang w:val="en-US" w:eastAsia="en-US" w:bidi="ar-SA"/>
        </w:rPr>
        <w:t xml:space="preserve"> and it is therefore no longer an authority in this jurisdiction. Hamilton J. in </w:t>
      </w:r>
      <w:r>
        <w:rPr>
          <w:rFonts w:ascii="arial" w:eastAsia="arial" w:hAnsi="arial" w:cs="arial"/>
          <w:b/>
          <w:i/>
          <w:color w:val="000000"/>
          <w:sz w:val="20"/>
          <w:lang w:val="en-US" w:eastAsia="en-US" w:bidi="ar-SA"/>
        </w:rPr>
        <w:t>Hudson Bay</w:t>
      </w:r>
      <w:r>
        <w:rPr>
          <w:rFonts w:ascii="arial" w:eastAsia="arial" w:hAnsi="arial" w:cs="arial"/>
          <w:color w:val="000000"/>
          <w:sz w:val="20"/>
          <w:lang w:val="en-US" w:eastAsia="en-US" w:bidi="ar-SA"/>
        </w:rPr>
        <w:t xml:space="preserve">, [1977] M.J. No. 398 and Lowry J. in </w:t>
      </w:r>
      <w:r>
        <w:rPr>
          <w:rFonts w:ascii="arial" w:eastAsia="arial" w:hAnsi="arial" w:cs="arial"/>
          <w:b/>
          <w:i/>
          <w:color w:val="000000"/>
          <w:sz w:val="20"/>
          <w:lang w:val="en-US" w:eastAsia="en-US" w:bidi="ar-SA"/>
        </w:rPr>
        <w:t>Belitchev</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[1998] B.C.J. No. 3152</w:t>
        </w:r>
      </w:hyperlink>
      <w:r>
        <w:rPr>
          <w:rFonts w:ascii="arial" w:eastAsia="arial" w:hAnsi="arial" w:cs="arial"/>
          <w:color w:val="000000"/>
          <w:sz w:val="20"/>
          <w:lang w:val="en-US" w:eastAsia="en-US" w:bidi="ar-SA"/>
        </w:rPr>
        <w:t>, appear to have treated it as an applicable precedent but I do not consider that is a correct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noted, the majority distinguished the </w:t>
      </w:r>
      <w:r>
        <w:rPr>
          <w:rFonts w:ascii="arial" w:eastAsia="arial" w:hAnsi="arial" w:cs="arial"/>
          <w:b/>
          <w:i/>
          <w:color w:val="000000"/>
          <w:sz w:val="20"/>
          <w:lang w:val="en-US" w:eastAsia="en-US" w:bidi="ar-SA"/>
        </w:rPr>
        <w:t>Gnitrow</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supr</w:t>
      </w:r>
      <w:r>
        <w:rPr>
          <w:rFonts w:ascii="arial" w:eastAsia="arial" w:hAnsi="arial" w:cs="arial"/>
          <w:color w:val="000000"/>
          <w:sz w:val="20"/>
          <w:lang w:val="en-US" w:eastAsia="en-US" w:bidi="ar-SA"/>
        </w:rPr>
        <w:t>a. In dissent, Huddart J.A. rejected the blanket approach to privilege but accepted a case-by-case determination. She said, at para. 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 without some doubts, I have come to the conclusion that a case-by-case determination of privilege such as that suggested by Locke J.A. in </w:t>
      </w:r>
      <w:r>
        <w:rPr>
          <w:rFonts w:ascii="arial" w:eastAsia="arial" w:hAnsi="arial" w:cs="arial"/>
          <w:b/>
          <w:i/>
          <w:color w:val="000000"/>
          <w:sz w:val="20"/>
          <w:lang w:val="en-US" w:eastAsia="en-US" w:bidi="ar-SA"/>
        </w:rPr>
        <w:t>Middelkamp</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while not appropriate for pre-settlement communications for the reasons explained by McEachern C.J.B.C. in that case, is the reasonable approach to determining whether a settlement agreement, or any part of it, should be produced. This would allow a balancing in each case of the two public interests at stake. It would allow the court to take account of the agreement's potential probative value in balancing the public interest in full discovery against the mischief caused to a settlement process it is in the public interest to encourage.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the fourth decision, </w:t>
      </w:r>
      <w:r>
        <w:rPr>
          <w:rFonts w:ascii="arial" w:eastAsia="arial" w:hAnsi="arial" w:cs="arial"/>
          <w:b/>
          <w:i/>
          <w:color w:val="000000"/>
          <w:sz w:val="20"/>
          <w:lang w:val="en-US" w:eastAsia="en-US" w:bidi="ar-SA"/>
        </w:rPr>
        <w:t>Dos Santos (Committee of) v. Sun Life Assurance Co. of Canada</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2005 BCCA 4</w:t>
        </w:r>
      </w:hyperlink>
      <w:r>
        <w:rPr>
          <w:rFonts w:ascii="arial" w:eastAsia="arial" w:hAnsi="arial" w:cs="arial"/>
          <w:color w:val="000000"/>
          <w:sz w:val="20"/>
          <w:lang w:val="en-US" w:eastAsia="en-US" w:bidi="ar-SA"/>
        </w:rPr>
        <w:t xml:space="preserve">, the court considered when the </w:t>
      </w:r>
      <w:r>
        <w:rPr>
          <w:rFonts w:ascii="arial" w:eastAsia="arial" w:hAnsi="arial" w:cs="arial"/>
          <w:b/>
          <w:i/>
          <w:color w:val="000000"/>
          <w:sz w:val="20"/>
          <w:lang w:val="en-US" w:eastAsia="en-US" w:bidi="ar-SA"/>
        </w:rPr>
        <w:t>Middelkamp</w:t>
      </w:r>
      <w:r>
        <w:rPr>
          <w:rFonts w:ascii="arial" w:eastAsia="arial" w:hAnsi="arial" w:cs="arial"/>
          <w:color w:val="000000"/>
          <w:sz w:val="20"/>
          <w:lang w:val="en-US" w:eastAsia="en-US" w:bidi="ar-SA"/>
        </w:rPr>
        <w:t xml:space="preserve"> exception would apply. In </w:t>
      </w:r>
      <w:r>
        <w:rPr>
          <w:rFonts w:ascii="arial" w:eastAsia="arial" w:hAnsi="arial" w:cs="arial"/>
          <w:b/>
          <w:i/>
          <w:color w:val="000000"/>
          <w:sz w:val="20"/>
          <w:lang w:val="en-US" w:eastAsia="en-US" w:bidi="ar-SA"/>
        </w:rPr>
        <w:t>Dos Santos</w:t>
      </w:r>
      <w:r>
        <w:rPr>
          <w:rFonts w:ascii="arial" w:eastAsia="arial" w:hAnsi="arial" w:cs="arial"/>
          <w:color w:val="000000"/>
          <w:sz w:val="20"/>
          <w:lang w:val="en-US" w:eastAsia="en-US" w:bidi="ar-SA"/>
        </w:rPr>
        <w:t xml:space="preserve">, the plaintiff reached a mediated settlement, part of which was a sum of money to be paid to Sun Life for payments received. Sun Life sought disclosure of the mediated settlement so it could assess what sum was paid in respect of loss of income. In </w:t>
      </w:r>
      <w:r>
        <w:rPr>
          <w:rFonts w:ascii="arial" w:eastAsia="arial" w:hAnsi="arial" w:cs="arial"/>
          <w:b/>
          <w:i/>
          <w:color w:val="000000"/>
          <w:sz w:val="20"/>
          <w:lang w:val="en-US" w:eastAsia="en-US" w:bidi="ar-SA"/>
        </w:rPr>
        <w:t>Dos Santos</w:t>
      </w:r>
      <w:r>
        <w:rPr>
          <w:rFonts w:ascii="arial" w:eastAsia="arial" w:hAnsi="arial" w:cs="arial"/>
          <w:color w:val="000000"/>
          <w:sz w:val="20"/>
          <w:lang w:val="en-US" w:eastAsia="en-US" w:bidi="ar-SA"/>
        </w:rPr>
        <w:t>, the court allowed the disclosure. The court defined a valid exception to blanket privilege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establish an exception in this case, the defendant must show that a competing public interest outweighs the public interest in encouraging settlement. An exception should only be found where the documents sought are both relevant, and necessary in the circumstances of the case to achieve either the agreement of the parties to the settlement, or another compelling or overriding interest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held that because the subrogated rights were at issue the defendant, who bears the onus in such application, met both the relevance and necessity requirement. The court in that case followed </w:t>
      </w:r>
      <w:r>
        <w:rPr>
          <w:rFonts w:ascii="arial" w:eastAsia="arial" w:hAnsi="arial" w:cs="arial"/>
          <w:b/>
          <w:i/>
          <w:color w:val="000000"/>
          <w:sz w:val="20"/>
          <w:lang w:val="en-US" w:eastAsia="en-US" w:bidi="ar-SA"/>
        </w:rPr>
        <w:t>Gnitrow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which was distinguished in the </w:t>
      </w:r>
      <w:r>
        <w:rPr>
          <w:rFonts w:ascii="arial" w:eastAsia="arial" w:hAnsi="arial" w:cs="arial"/>
          <w:b/>
          <w:i/>
          <w:color w:val="000000"/>
          <w:sz w:val="20"/>
          <w:lang w:val="en-US" w:eastAsia="en-US" w:bidi="ar-SA"/>
        </w:rPr>
        <w:t>B.C. Children's Hospital</w:t>
      </w:r>
      <w:r>
        <w:rPr>
          <w:rFonts w:ascii="arial" w:eastAsia="arial" w:hAnsi="arial" w:cs="arial"/>
          <w:color w:val="000000"/>
          <w:sz w:val="20"/>
          <w:lang w:val="en-US" w:eastAsia="en-US" w:bidi="ar-SA"/>
        </w:rPr>
        <w:t xml:space="preserve"> case, and said the following at paragraph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the defendant and the chambers judge (paragraph 34) that this distinction cannot be drawn in the case at bar [referring to the </w:t>
      </w:r>
      <w:r>
        <w:rPr>
          <w:rFonts w:ascii="arial" w:eastAsia="arial" w:hAnsi="arial" w:cs="arial"/>
          <w:b/>
          <w:i/>
          <w:color w:val="000000"/>
          <w:sz w:val="20"/>
          <w:lang w:val="en-US" w:eastAsia="en-US" w:bidi="ar-SA"/>
        </w:rPr>
        <w:t>Gnitrow</w:t>
      </w:r>
      <w:r>
        <w:rPr>
          <w:rFonts w:ascii="arial" w:eastAsia="arial" w:hAnsi="arial" w:cs="arial"/>
          <w:color w:val="000000"/>
          <w:sz w:val="20"/>
          <w:lang w:val="en-US" w:eastAsia="en-US" w:bidi="ar-SA"/>
        </w:rPr>
        <w:t xml:space="preserve"> distinction]. There was no potential for double recovery in </w:t>
      </w:r>
      <w:r>
        <w:rPr>
          <w:rFonts w:ascii="arial" w:eastAsia="arial" w:hAnsi="arial" w:cs="arial"/>
          <w:b/>
          <w:i/>
          <w:color w:val="000000"/>
          <w:sz w:val="20"/>
          <w:lang w:val="en-US" w:eastAsia="en-US" w:bidi="ar-SA"/>
        </w:rPr>
        <w:t>B.C. Children's Hospital</w:t>
      </w:r>
      <w:r>
        <w:rPr>
          <w:rFonts w:ascii="arial" w:eastAsia="arial" w:hAnsi="arial" w:cs="arial"/>
          <w:color w:val="000000"/>
          <w:sz w:val="20"/>
          <w:lang w:val="en-US" w:eastAsia="en-US" w:bidi="ar-SA"/>
        </w:rPr>
        <w:t xml:space="preserve"> since the plaintiffs in that case were suing the remaining defendants "only for damages arising from their dealings with those defendants." In the case at bar, there is a clear relationship between the sums the plaintiff seeks from the defendant and the sums the plaintiff may have already received in settlement with ICBC. </w:t>
      </w:r>
      <w:r>
        <w:rPr>
          <w:rFonts w:ascii="arial" w:eastAsia="arial" w:hAnsi="arial" w:cs="arial"/>
          <w:b/>
          <w:i/>
          <w:color w:val="000000"/>
          <w:sz w:val="20"/>
          <w:lang w:val="en-US" w:eastAsia="en-US" w:bidi="ar-SA"/>
        </w:rPr>
        <w:t>Gnitrow</w:t>
      </w:r>
      <w:r>
        <w:rPr>
          <w:rFonts w:ascii="arial" w:eastAsia="arial" w:hAnsi="arial" w:cs="arial"/>
          <w:color w:val="000000"/>
          <w:sz w:val="20"/>
          <w:lang w:val="en-US" w:eastAsia="en-US" w:bidi="ar-SA"/>
        </w:rPr>
        <w:t xml:space="preserve"> remains a persuasive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noted, the case at bar does not involve an indemnity agreement but involves the </w:t>
      </w:r>
      <w:r>
        <w:rPr>
          <w:rFonts w:ascii="arial" w:eastAsia="arial" w:hAnsi="arial" w:cs="arial"/>
          <w:b/>
          <w:i/>
          <w:color w:val="000000"/>
          <w:sz w:val="20"/>
          <w:lang w:val="en-US" w:eastAsia="en-US" w:bidi="ar-SA"/>
        </w:rPr>
        <w:t>B.C. Ferries</w:t>
      </w:r>
      <w:r>
        <w:rPr>
          <w:rFonts w:ascii="arial" w:eastAsia="arial" w:hAnsi="arial" w:cs="arial"/>
          <w:color w:val="000000"/>
          <w:sz w:val="20"/>
          <w:lang w:val="en-US" w:eastAsia="en-US" w:bidi="ar-SA"/>
        </w:rPr>
        <w:t xml:space="preserv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have been referred to a number of other trial-level decisions which I have read but to which I will not specifically refer.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question raised is whether ICBC has established relevance and necessity to come within the </w:t>
      </w:r>
      <w:r>
        <w:rPr>
          <w:rFonts w:ascii="arial" w:eastAsia="arial" w:hAnsi="arial" w:cs="arial"/>
          <w:b/>
          <w:i/>
          <w:color w:val="000000"/>
          <w:sz w:val="20"/>
          <w:lang w:val="en-US" w:eastAsia="en-US" w:bidi="ar-SA"/>
        </w:rPr>
        <w:t>Middelkamp</w:t>
      </w:r>
      <w:r>
        <w:rPr>
          <w:rFonts w:ascii="arial" w:eastAsia="arial" w:hAnsi="arial" w:cs="arial"/>
          <w:color w:val="000000"/>
          <w:sz w:val="20"/>
          <w:lang w:val="en-US" w:eastAsia="en-US" w:bidi="ar-SA"/>
        </w:rPr>
        <w:t xml:space="preserve"> exception. ICBC argues that they need to know what the settlement is now in order to ascertain what an appropriate settlement would be with the plaintiff in order to avoid double recovery. The plaintiff says that ICBC is seeking a tactical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Double recovery would not result after a trial judgment. The plaintiff acknowledges that the settlement is relevant after judgment. However, double recovery, when discussing settlement, is not an issue when there is no subrogated claim. Counsel for ICBC could give me no case where disclosure of a settlement agreement was ordered in the circumstances before me. He relied on the policy behind the importance of settling matters rather than pursuing them at trial, and on the dissent of Madam Justice Huddart in the </w:t>
      </w:r>
      <w:r>
        <w:rPr>
          <w:rFonts w:ascii="arial" w:eastAsia="arial" w:hAnsi="arial" w:cs="arial"/>
          <w:b/>
          <w:i/>
          <w:color w:val="000000"/>
          <w:sz w:val="20"/>
          <w:lang w:val="en-US" w:eastAsia="en-US" w:bidi="ar-SA"/>
        </w:rPr>
        <w:t>B.C. Children's Hospital</w:t>
      </w:r>
      <w:r>
        <w:rPr>
          <w:rFonts w:ascii="arial" w:eastAsia="arial" w:hAnsi="arial" w:cs="arial"/>
          <w:color w:val="000000"/>
          <w:sz w:val="20"/>
          <w:lang w:val="en-US" w:eastAsia="en-US" w:bidi="ar-SA"/>
        </w:rPr>
        <w:t xml:space="preserve"> case, as well as the </w:t>
      </w:r>
      <w:r>
        <w:rPr>
          <w:rFonts w:ascii="arial" w:eastAsia="arial" w:hAnsi="arial" w:cs="arial"/>
          <w:b/>
          <w:i/>
          <w:color w:val="000000"/>
          <w:sz w:val="20"/>
          <w:lang w:val="en-US" w:eastAsia="en-US" w:bidi="ar-SA"/>
        </w:rPr>
        <w:t>Dos Santos</w:t>
      </w:r>
      <w:r>
        <w:rPr>
          <w:rFonts w:ascii="arial" w:eastAsia="arial" w:hAnsi="arial" w:cs="arial"/>
          <w:color w:val="000000"/>
          <w:sz w:val="20"/>
          <w:lang w:val="en-US" w:eastAsia="en-US" w:bidi="ar-SA"/>
        </w:rPr>
        <w:t xml:space="preserve"> decision. As is obvious from the above case law, this policy is what founds settlement privilege in the first place. Secrecy encourages settlement, as parties settle for a variety of reasons and, as is noted in </w:t>
      </w:r>
      <w:r>
        <w:rPr>
          <w:rFonts w:ascii="arial" w:eastAsia="arial" w:hAnsi="arial" w:cs="arial"/>
          <w:b/>
          <w:i/>
          <w:color w:val="000000"/>
          <w:sz w:val="20"/>
          <w:lang w:val="en-US" w:eastAsia="en-US" w:bidi="ar-SA"/>
        </w:rPr>
        <w:t>Rush &amp; Tompkins</w:t>
      </w:r>
      <w:r>
        <w:rPr>
          <w:rFonts w:ascii="arial" w:eastAsia="arial" w:hAnsi="arial" w:cs="arial"/>
          <w:color w:val="000000"/>
          <w:sz w:val="20"/>
          <w:lang w:val="en-US" w:eastAsia="en-US" w:bidi="ar-SA"/>
        </w:rPr>
        <w:t>, even when liability is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B.C. Children's Hospital</w:t>
      </w:r>
      <w:r>
        <w:rPr>
          <w:rFonts w:ascii="arial" w:eastAsia="arial" w:hAnsi="arial" w:cs="arial"/>
          <w:color w:val="000000"/>
          <w:sz w:val="20"/>
          <w:lang w:val="en-US" w:eastAsia="en-US" w:bidi="ar-SA"/>
        </w:rPr>
        <w:t xml:space="preserve"> decision,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Neilson J. held that tactical relevance was not a basis for going behind settlement privilege (see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this case, the plaintiff does not claim the same losses from the other parties. By express waiver he only seeks recovery for that portion of conduct which caused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While it would be interesting for ICBC to know what dollar range the plaintiff was willing to accept from the Fort Nelson Hotel that does not mean that the settlement amount is relevant at this stage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conclude that the application for disclosure of the settlement amount is dismissed as being irrelevant on the understanding that there is no objection to the amount being disclosed to the trial judge after judgment and the apportionment of liability. This settlement agreement is privileged and does not fall within the exceptions as discussed in </w:t>
      </w:r>
      <w:r>
        <w:rPr>
          <w:rFonts w:ascii="arial" w:eastAsia="arial" w:hAnsi="arial" w:cs="arial"/>
          <w:b/>
          <w:i/>
          <w:color w:val="000000"/>
          <w:sz w:val="20"/>
          <w:lang w:val="en-US" w:eastAsia="en-US" w:bidi="ar-SA"/>
        </w:rPr>
        <w:t>Dos Santos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turn now to the issue of the pleadings. On June 29th, 2007, Justice Groberman approved the settlement noted above. He was pressed for time as he had other matters on his list and as a result he made the following order. Paragraphs 4, 5 and 6 of that order provide: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statutory third party, ICBC, may amend its pleadings to seek a declaration at trial of the percentage of liability of the Fort Nelson Hotel's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contributing to the accident events, including the effects of provision of alcohol to both the plaintiff, Mr. Phillips and the defendant, Mr. Stratton.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statutory third party, ICBC, may amend its pleadings to insert the following: The Insurance Corporation of British Columbia, as a remaining third party, be entitled to deduct from any judgment in favour of the plaintiff, the greater of the following two amounts: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monetary value of the Fort Nelson Hotel's proportionate share of its contribution towards the plaintiff's total award;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actual amount the Fort Nelson Hotel paid in settlement of the plaintiff's claim.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amendments in paragraphs 4 and 5 above are without prejudice to the plaintiff's right to apply to strike the amendments which fail to show a cause of action or plea known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Counsel have applied to strike those amendments. With respect to paragraph 4, the decision in </w:t>
      </w:r>
      <w:r>
        <w:rPr>
          <w:rFonts w:ascii="arial" w:eastAsia="arial" w:hAnsi="arial" w:cs="arial"/>
          <w:b/>
          <w:i/>
          <w:color w:val="000000"/>
          <w:sz w:val="20"/>
          <w:lang w:val="en-US" w:eastAsia="en-US" w:bidi="ar-SA"/>
        </w:rPr>
        <w:t>B.C. Ferries</w:t>
      </w:r>
      <w:r>
        <w:rPr>
          <w:rFonts w:ascii="arial" w:eastAsia="arial" w:hAnsi="arial" w:cs="arial"/>
          <w:color w:val="000000"/>
          <w:sz w:val="20"/>
          <w:lang w:val="en-US" w:eastAsia="en-US" w:bidi="ar-SA"/>
        </w:rPr>
        <w:t xml:space="preserve"> referred to above is a complete answer to this part of the application. At paras. 30 - 32, the Court of Appeal held that such a declaration was necessary to apportion out liability and therefore that amendment will be permitted to stand. I add that in making the amendment Groberman J. said that with that amendment the settlement amount was relevant. However, he also said that the issue was timing. I do not take anything from Groberman J.'s comments to disagree with my finding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have concern over the wording of paragraph 5. The paragraph appears to allow an automatic deduction for Fort Nelson's contribution, whereas the caselaw appears to suggest that settlements are to be "taken into consideration" when assessing the portion of damages payable by any party (see </w:t>
      </w:r>
      <w:r>
        <w:rPr>
          <w:rFonts w:ascii="arial" w:eastAsia="arial" w:hAnsi="arial" w:cs="arial"/>
          <w:b/>
          <w:i/>
          <w:color w:val="000000"/>
          <w:sz w:val="20"/>
          <w:lang w:val="en-US" w:eastAsia="en-US" w:bidi="ar-SA"/>
        </w:rPr>
        <w:t>Dixon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plaintiff seeks the wording be noted in the </w:t>
      </w:r>
      <w:r>
        <w:rPr>
          <w:rFonts w:ascii="arial" w:eastAsia="arial" w:hAnsi="arial" w:cs="arial"/>
          <w:b/>
          <w:i/>
          <w:color w:val="000000"/>
          <w:sz w:val="20"/>
          <w:lang w:val="en-US" w:eastAsia="en-US" w:bidi="ar-SA"/>
        </w:rPr>
        <w:t>B.C. Ferries</w:t>
      </w:r>
      <w:r>
        <w:rPr>
          <w:rFonts w:ascii="arial" w:eastAsia="arial" w:hAnsi="arial" w:cs="arial"/>
          <w:color w:val="000000"/>
          <w:sz w:val="20"/>
          <w:lang w:val="en-US" w:eastAsia="en-US" w:bidi="ar-SA"/>
        </w:rPr>
        <w:t>' decision, per their counterclaim. This of course is a pleading and not an order; however, it seems to me that the better pleading, (and I add that I have had the advantage of full argument and many authorities presented to me that Justice Groberman did not), is that ICBC, as a remaining third party, be entitled to have the settlement amount paid to the plaintiff by the Fort Nelson Hotel taken into account for the purposes of assessing what, if any, portion of damages is payable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6"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Rezai v. Uddin, [2017] B.C.J. No. 1957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S. Wilson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M157875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1957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1746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C.P.C. (8th) 213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284 A.C.W.S. (3d) 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2702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Azardokht Rezai, Plaintiff, and Salah Uddin and Sunshine Cabs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7"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6" w:name="Keywords_24"/>
      <w:bookmarkEnd w:id="176"/>
      <w:r>
        <w:rPr>
          <w:rFonts w:ascii="arial" w:eastAsia="arial" w:hAnsi="arial" w:cs="arial"/>
          <w:b/>
          <w:color w:val="000000"/>
          <w:sz w:val="20"/>
          <w:lang w:val="en-US" w:eastAsia="en-US" w:bidi="ar-SA"/>
        </w:rPr>
        <w:t>Civil litigation — Civil procedure — Pleadings — Amendment of — Statement of claim — Leave to amend — Application by plaintiff for leave to amend claim dismissed — Plaintiff in personal injury action sought to amend to argue that defendant's previous driving constituted similar fact evidence — Similar fact pleading was ether evidence, and therefore improper to include in pleading, or intended to suggest that defendant was generally bad driver and therefore more likely to be cause of subject accident, in which case it was frivolous — Supreme Court Civil Rules, Rule 6-1(1).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Pleadings — Amendment — Application by plaintiff for leave to amend claim dismissed — Plaintiff in personal injury action sought to amend to argue that defendant's previous driving constituted similar fact evidence — Similar fact pleading was ether evidence, and therefore improper to include in pleading, or intended to suggest that defendant was generally bad driver and therefore more likely to be cause of subject accident, in which case it was frivolous — Supreme Court Civil Rules, Rule 6-1(1).</w:t>
      </w:r>
    </w:p>
    <w:p>
      <w:pPr>
        <w:jc w:val="both"/>
        <w:rPr>
          <w:rFonts w:ascii="arial" w:eastAsia="arial" w:hAnsi="arial" w:cs="arial"/>
          <w:sz w:val="20"/>
          <w:lang w:val="en-US" w:eastAsia="en-US" w:bidi="ar-SA"/>
        </w:rPr>
      </w:pPr>
      <w:bookmarkStart w:id="177" w:name="Legislation Cited_16"/>
      <w:bookmarkEnd w:id="1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8"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3-1(2), Rule 3-7(18), Rule 6-1(1), Rule 9-5(1)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8" w:name="Counsel_24"/>
      <w:bookmarkEnd w:id="1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9"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F.E. Hayman.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 Gill.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9" w:name="Judgment_23"/>
      <w:bookmarkEnd w:id="179"/>
      <w:r>
        <w:pict>
          <v:line id="_x0000_s1150"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0" w:name="MASTER S. WILSON"/>
            <w:bookmarkEnd w:id="180"/>
            <w:r>
              <w:rPr>
                <w:rFonts w:ascii="arial" w:eastAsia="arial" w:hAnsi="arial" w:cs="arial"/>
                <w:b/>
                <w:color w:val="000000"/>
                <w:sz w:val="30"/>
                <w:lang w:val="en-US" w:eastAsia="en-US" w:bidi="ar-SA"/>
              </w:rPr>
              <w:t>MASTER S. WILSON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 this personal injury action seeks leave to amend the notice of civil claim. The plaintiff was a pedestrian at the time of the accident on October 2, 2014, when she was struck by a taxi owned by Sunshine Cabs Limited and operated by the defendant, Salah Uddin.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in issue. The notice of civil claim is a fairly standard pleading and has not been amended before. Because a notice of trial has already been filed and a jury trial is set for March 26, 2018, the plaintiff requires leave pursuant to Rule 6-1(1).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intention by way of the proposed amendment is to argue that the defendant Mr. Uddin's previous driving constitutes similar fact evidence. She says the similar fact evidence will assist the trier of fact, being the jury, to conclude the plaintiff's version of events should be preferred. The plaintiff and the individual defendant are the only witnesses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amendment sought by the plaintiff is as follows:</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Driver had on several previous occasions driven in a manner that put pedestrians and motorists at risk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"Similar Fact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driving record includes the following:</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 27, 2008, the defendant was charged with speeding, for which he plead guilty;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 4, 2008, the defendant was charged with failing to yield to a pedestrian on a green light, for which he plead guilty;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5, 2008, the defendant was charged with entering an intersection when the light was red for which he plead guilty;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11, 2009, the defendant was charged with speeding, for which he plead guilty;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17, [2015], the defendant was charged with using an electronic device while driving. He failed to appear at the hearing and was deemed not to dispute the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refers to Rule 3-1(2)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which sets out the following:</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of civil claim must do the following:</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relief sought by the plaintiff against each named defendant;</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summary of the legal basis for the relief sought;</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proposed place of trial;</w:t>
      </w:r>
    </w:p>
    <w:p>
      <w:pPr>
        <w:numPr>
          <w:numId w:val="1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sues or a defendant is sued in a representative capacity, show in what capacity the plaintiff sues or the defendant is sued;</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the data collection information required in the appendix to the form;</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otherwise comply with Rule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also Rule 3-7(18) which provides as follows: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party pleading relies on misrepresentation, fraud, breach of trust, wilful default or undue influence, or if particulars may be necessary, full particulars, with dates and items if applicable, must be stated in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concedes that the proposed new pleading is more in the nature of particulars than a material fact which must be so because the issue for trial will be to determine what happened on October 2, 2014. The material facts for the plaintiff's claim are already in her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argues that the plaintiff's application ought to be considered with reference to Rule 9-5(1), which provides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says that the plaintiff wishes to examine Mr. Uddin for discovery on his driving record and wishes to introduce that evidence at trial before the jury. He says that his driving infractions from five to six years before the subject accident are irrelevant, would be prejudicial and not probative of any matter in issue and that the court ought to assume a gatekeeper function to preclude what would otherwise be useless amendments and would serve only to expand unnecessarily the scope of discovery and perhaps lengthen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response to this is that consideration of the quality of the evidence is not something that ought to be considered on an interlocutory application and that since this is not an application to strike under R. 9-5(1), consideration of the use of the evidence is not something I should consider. She says that the amendment to include the particulars is appropriate to give formal notice to the court and to the defendant of her intention to lead the 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For the reasons that follow, the plaintiff's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argues that she ought to be able to amend her pleadings to include the Similar Fact Pleading, which she says is in the nature of particulars as contemplated under R. 3-7(18), although the claim in issue is not one of the enumerated causes of action whereby particulars are specifically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refers me to the case of </w:t>
      </w:r>
      <w:r>
        <w:rPr>
          <w:rFonts w:ascii="arial" w:eastAsia="arial" w:hAnsi="arial" w:cs="arial"/>
          <w:i/>
          <w:color w:val="000000"/>
          <w:sz w:val="20"/>
          <w:lang w:val="en-US" w:eastAsia="en-US" w:bidi="ar-SA"/>
        </w:rPr>
        <w:t>Andrus v. Sihata</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2012 BCSC 12</w:t>
        </w:r>
      </w:hyperlink>
      <w:r>
        <w:rPr>
          <w:rFonts w:ascii="arial" w:eastAsia="arial" w:hAnsi="arial" w:cs="arial"/>
          <w:color w:val="000000"/>
          <w:sz w:val="20"/>
          <w:lang w:val="en-US" w:eastAsia="en-US" w:bidi="ar-SA"/>
        </w:rPr>
        <w:t xml:space="preserve">, a decision of Master Young (as she then was), wherein she cited the well-known decision of Mr. Justice Lambert in </w:t>
      </w:r>
      <w:r>
        <w:rPr>
          <w:rFonts w:ascii="arial" w:eastAsia="arial" w:hAnsi="arial" w:cs="arial"/>
          <w:i/>
          <w:color w:val="000000"/>
          <w:sz w:val="20"/>
          <w:lang w:val="en-US" w:eastAsia="en-US" w:bidi="ar-SA"/>
        </w:rPr>
        <w:t>Cansulex Ltd. v. Perry</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[1982] B.C.J. No. 369</w:t>
        </w:r>
      </w:hyperlink>
      <w:r>
        <w:rPr>
          <w:rFonts w:ascii="arial" w:eastAsia="arial" w:hAnsi="arial" w:cs="arial"/>
          <w:color w:val="000000"/>
          <w:sz w:val="20"/>
          <w:lang w:val="en-US" w:eastAsia="en-US" w:bidi="ar-SA"/>
        </w:rPr>
        <w:t xml:space="preserve"> [1982] B.C.W.L.D. 1257, wherein Mr. Justice Lambert said the following at paragraph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decisions delineate the difference between what is properly the subject matter of a Demand for Particulars and what is more properly the subject-matter of a Demand for Discovery or material that should be obtained on an Examination for Discovery. At the heart of the distinction between the two lies the question whether the material demanded is intended to, and does, delineate the issues between the parties, or whether it requests material relating to the way in which the issues will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Lambert J.A. then went on to outline the purpose of particulars at paragraph 15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inform the other side of the nature of the case they have to meet as distinguished from the made in which that case is to be proved;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prevent the other side from being taken by surprise at the trial;</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enable the other side to know what evidence they ought to be prepared with and to prepare for trial;</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the generality of the pleadings;</w:t>
      </w:r>
    </w:p>
    <w:p>
      <w:pPr>
        <w:numPr>
          <w:numId w:val="2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limit and decide the issues to be tried, and as to which discovery is required,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tie the hands of the party so that he cannot without leave go into any matters not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Based upon the first of the purposes for particulars identified in </w:t>
      </w:r>
      <w:r>
        <w:rPr>
          <w:rFonts w:ascii="arial" w:eastAsia="arial" w:hAnsi="arial" w:cs="arial"/>
          <w:i/>
          <w:color w:val="000000"/>
          <w:sz w:val="20"/>
          <w:lang w:val="en-US" w:eastAsia="en-US" w:bidi="ar-SA"/>
        </w:rPr>
        <w:t>Cansulex</w:t>
      </w:r>
      <w:r>
        <w:rPr>
          <w:rFonts w:ascii="arial" w:eastAsia="arial" w:hAnsi="arial" w:cs="arial"/>
          <w:color w:val="000000"/>
          <w:sz w:val="20"/>
          <w:lang w:val="en-US" w:eastAsia="en-US" w:bidi="ar-SA"/>
        </w:rPr>
        <w:t>, similar fact evidence is arguably not a particular at all, given that it is not a part of the case the defendant must meet but is an aspect of the manner by which the plaintiff intends to prove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Both </w:t>
      </w:r>
      <w:r>
        <w:rPr>
          <w:rFonts w:ascii="arial" w:eastAsia="arial" w:hAnsi="arial" w:cs="arial"/>
          <w:i/>
          <w:color w:val="000000"/>
          <w:sz w:val="20"/>
          <w:lang w:val="en-US" w:eastAsia="en-US" w:bidi="ar-SA"/>
        </w:rPr>
        <w:t>Andrus v. Sihata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Cansulex Ltd. v. Perry</w:t>
      </w:r>
      <w:r>
        <w:rPr>
          <w:rFonts w:ascii="arial" w:eastAsia="arial" w:hAnsi="arial" w:cs="arial"/>
          <w:color w:val="000000"/>
          <w:sz w:val="20"/>
          <w:lang w:val="en-US" w:eastAsia="en-US" w:bidi="ar-SA"/>
        </w:rPr>
        <w:t xml:space="preserve"> were applications made by parties to compel particulars from their opponent. I was not provided with any authority for the proposition that R. 3-7(18) can be used by a party to justify including in the pleadings particulars that have not been sought by the other party and indeed are objected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the new pleading be scrutinized?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says that I should not consider whether the Similar Fact Pleading would stand up to scrutiny on an application to strike under R. 9-5(1). It is well established that on an application to amend pleadings, the applicant does not have to lead evidence to support the new pleading, and that the facts as pleaded are taken to be true - see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a decision of our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While there is no application before me pursuant to R. 9-5(1), there is of course nothing for the defendant to apply to strike given that this is the application to allow the Similar Fact Pleading. I do not interpret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as authority for the proposition that all amendments must be allowed regardless of whether or not they are proper pleadings. The necessary implication of the plaintiff's submission would be that I should grant her the amendment almost as a matter of course and then require the defendant to apply to strike the newly amended pleading. To require two applications to deal with the same matter would seem to be a pointless exercise and would be contrary to the objectives of the rules. The plaintiff was aware of the defendant's position prior to the hearing based upon his application response.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similar fact pleading regarding a party's driving record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leading case on similar fact evidence is </w:t>
      </w:r>
      <w:r>
        <w:rPr>
          <w:rFonts w:ascii="arial" w:eastAsia="arial" w:hAnsi="arial" w:cs="arial"/>
          <w:i/>
          <w:color w:val="000000"/>
          <w:sz w:val="20"/>
          <w:lang w:val="en-US" w:eastAsia="en-US" w:bidi="ar-SA"/>
        </w:rPr>
        <w:t>R. v. Handy</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2002 SCC 56</w:t>
        </w:r>
      </w:hyperlink>
      <w:r>
        <w:rPr>
          <w:rFonts w:ascii="arial" w:eastAsia="arial" w:hAnsi="arial" w:cs="arial"/>
          <w:color w:val="000000"/>
          <w:sz w:val="20"/>
          <w:lang w:val="en-US" w:eastAsia="en-US" w:bidi="ar-SA"/>
        </w:rPr>
        <w:t>. Binnie J. writing for the court confirmed that similar fact evidence involves inferences about the conduct of a party based upon prior or subsequent conduct. At paragraph 27, he held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contest over the admissibility of similar fact evidence is all about inferences, i.e., when do they arise? What are they intended to prove? By what process of reasoning do they prove it? How strong is the proof they provide? When are they so unfair as to be excluded on the grounds of judicial policy and the presumption of innocence? The answers to these questions have proven so controversial as to create what Lord Hailsham described as a "pitted battlefield": </w:t>
      </w:r>
      <w:r>
        <w:rPr>
          <w:rFonts w:ascii="arial" w:eastAsia="arial" w:hAnsi="arial" w:cs="arial"/>
          <w:i/>
          <w:color w:val="000000"/>
          <w:sz w:val="20"/>
          <w:lang w:val="en-US" w:eastAsia="en-US" w:bidi="ar-SA"/>
        </w:rPr>
        <w:t>Boardman v. Director of Public Prosecutions</w:t>
      </w:r>
      <w:r>
        <w:rPr>
          <w:rFonts w:ascii="arial" w:eastAsia="arial" w:hAnsi="arial" w:cs="arial"/>
          <w:color w:val="000000"/>
          <w:sz w:val="20"/>
          <w:lang w:val="en-US" w:eastAsia="en-US" w:bidi="ar-SA"/>
        </w:rPr>
        <w:t>, (1974), [1975] A.C. 421 (U.K.H.L.), at p. 445.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paragraph 35, Binnie J. dealt with the concerns and dangers of propensity reasoning: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dangers of propensity reasoning are well recognized. Not only can people change their ways but they are not robotic. While juries in fourteenth-century England were expected to determine facts based on their personal knowledge of the character of the participants, it is now said that to infer guilt from a knowledge of the mere character of the accused is a "forbidden type of reasoning".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this case, the plaintiff's sole purpose for leading evidence regarding the defendant's prior driving record would be to ask the jury to infer that he has a propensity to drive in a manner that puts others at risk and therefore likely did so again on October 2, 2014, and was therefore liable for the accident. The factors to consider whether similar fact evidence is admissible was set out in paragraph 82 of the </w:t>
      </w:r>
      <w:r>
        <w:rPr>
          <w:rFonts w:ascii="arial" w:eastAsia="arial" w:hAnsi="arial" w:cs="arial"/>
          <w:i/>
          <w:color w:val="000000"/>
          <w:sz w:val="20"/>
          <w:lang w:val="en-US" w:eastAsia="en-US" w:bidi="ar-SA"/>
        </w:rPr>
        <w:t>Handy</w:t>
      </w:r>
      <w:r>
        <w:rPr>
          <w:rFonts w:ascii="arial" w:eastAsia="arial" w:hAnsi="arial" w:cs="arial"/>
          <w:color w:val="000000"/>
          <w:sz w:val="20"/>
          <w:lang w:val="en-US" w:eastAsia="en-US" w:bidi="ar-SA"/>
        </w:rPr>
        <w:t xml:space="preserve"> decision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Factors connecting the similar facts to the circumstances set out in the charge include:</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proximity in time of the similar acts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extent to which the other acts are similar in detail to the charged conduct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number of occurrences of the similar acts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circumstances surrounding or relating to the similar acts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distinctive feature(s) unifying the incidents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intervening events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which would tend to support or rebut the underlying unity of the similar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parties agree that there is no British Columbia authority on the issue of whether a pleading alleging similar fact evidence in the context of a prior driving record should be allowed in British Columbia. The defendant refers me to some Ontario authorities in support of his position that such pleadings are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Wilson v. Lind</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(1985) 35 C.C.L.T. 95</w:t>
        </w:r>
      </w:hyperlink>
      <w:r>
        <w:rPr>
          <w:rFonts w:ascii="arial" w:eastAsia="arial" w:hAnsi="arial" w:cs="arial"/>
          <w:color w:val="000000"/>
          <w:sz w:val="20"/>
          <w:lang w:val="en-US" w:eastAsia="en-US" w:bidi="ar-SA"/>
        </w:rPr>
        <w:t>, O'Brien J. struck from the pleadings allegations of prior or subsequent impaired driving by the defendant. The application was brought on the basis that the allegations were prejudicial, scandalous or an abuse of process, a rule akin to our R. 9-5(1). At paragraph 12 the court held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Our Courts have held for a long time, and for good reason, that prior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party is generally irrelevant to proof of subsequent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note that of the five driving infractions in our case, only two of them are for the same offence, namely speeding. Both were over five years old at the time of the accident. Indeed four of the five convictions were over five years old, with the fifth occurring some months after the accident. The defendant was not issued a violation ticket arising out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only possible purpose for Similar Fact Pleading here, given the variety of infractions, would be to enable the plaintiff to suggest that the defendant is a generally bad driver based on his driving record. However, this does not inform the analysis of whether or not he was responsible for the subject accident, any more than a clean driving record would tend to absolve him of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is highly improbable that the trial judge would admit the defendant's prior infractions as similar fact evidence to support a finding of liability on the part of the defendant. Evidence of prior speeding infractions does not lead to the inference that the defendant was speeding at the time of the accident. Drivers often speed without receiving violation tickets. Proof of speeding does not conclusively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case of an accident. In </w:t>
      </w:r>
      <w:r>
        <w:rPr>
          <w:rFonts w:ascii="arial" w:eastAsia="arial" w:hAnsi="arial" w:cs="arial"/>
          <w:i/>
          <w:color w:val="000000"/>
          <w:sz w:val="20"/>
          <w:lang w:val="en-US" w:eastAsia="en-US" w:bidi="ar-SA"/>
        </w:rPr>
        <w:t>Hamm Estate v. JeBailey</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(1974), 12 N.S.R. (2d) 27</w:t>
        </w:r>
      </w:hyperlink>
      <w:r>
        <w:rPr>
          <w:rFonts w:ascii="arial" w:eastAsia="arial" w:hAnsi="arial" w:cs="arial"/>
          <w:color w:val="000000"/>
          <w:sz w:val="20"/>
          <w:lang w:val="en-US" w:eastAsia="en-US" w:bidi="ar-SA"/>
        </w:rPr>
        <w:t>, evidence of driving record and habits was held to be irrelevant and inadmissible for the purpose of determining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Witten v. Bhardwaj</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[2008] O.J. No. 1769</w:t>
        </w:r>
      </w:hyperlink>
      <w:r>
        <w:rPr>
          <w:rFonts w:ascii="arial" w:eastAsia="arial" w:hAnsi="arial" w:cs="arial"/>
          <w:color w:val="000000"/>
          <w:sz w:val="20"/>
          <w:lang w:val="en-US" w:eastAsia="en-US" w:bidi="ar-SA"/>
        </w:rPr>
        <w:t xml:space="preserve">, the court was asked to strike certain portions of a statement of claim that also involved a pedestrian struck by a vehicle. The plaintiff had pleaded that the defendant had a 'pattern of reckless conduct' that included multiple speeding offences. The allegations of speeding in the </w:t>
      </w:r>
      <w:r>
        <w:rPr>
          <w:rFonts w:ascii="arial" w:eastAsia="arial" w:hAnsi="arial" w:cs="arial"/>
          <w:i/>
          <w:color w:val="000000"/>
          <w:sz w:val="20"/>
          <w:lang w:val="en-US" w:eastAsia="en-US" w:bidi="ar-SA"/>
        </w:rPr>
        <w:t>Witten</w:t>
      </w:r>
      <w:r>
        <w:rPr>
          <w:rFonts w:ascii="arial" w:eastAsia="arial" w:hAnsi="arial" w:cs="arial"/>
          <w:color w:val="000000"/>
          <w:sz w:val="20"/>
          <w:lang w:val="en-US" w:eastAsia="en-US" w:bidi="ar-SA"/>
        </w:rPr>
        <w:t xml:space="preserve"> case were a year before and a year after the accident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After reviewing the decision of </w:t>
      </w:r>
      <w:r>
        <w:rPr>
          <w:rFonts w:ascii="arial" w:eastAsia="arial" w:hAnsi="arial" w:cs="arial"/>
          <w:i/>
          <w:color w:val="000000"/>
          <w:sz w:val="20"/>
          <w:lang w:val="en-US" w:eastAsia="en-US" w:bidi="ar-SA"/>
        </w:rPr>
        <w:t>Wilson v. Lind</w:t>
      </w:r>
      <w:r>
        <w:rPr>
          <w:rFonts w:ascii="arial" w:eastAsia="arial" w:hAnsi="arial" w:cs="arial"/>
          <w:color w:val="000000"/>
          <w:sz w:val="20"/>
          <w:lang w:val="en-US" w:eastAsia="en-US" w:bidi="ar-SA"/>
        </w:rPr>
        <w:t>, Master Haberman said that there were only two purposes for the plea about the defendant's driving record and held the plea should be struck regardless of which applied: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purpose in including these additional allegations about Paawan's driving patterns could only involve one of two issues: 1) to enable the plaintiff to ask the court to rely on Paawan's driving record when assessing whether he was likely speeding at the time of this accident; or, 2) to provide "colour" for the court, so that Paawan will be viewed as a bad driver generally, and hence, be seen as likely responsible for this accident. If the former, what the plaintiff seeks to plead in the impugned portion of paragraph 15 is clearly evidence, not material fact, and on that basis should be struck. If the latter, it is frivolous and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agree. The Similar Fact Pleading is either evidence and therefore improper to include in a pleading, or is intended to suggest that the defendant is generally a bad driver and therefore he is more likely to be the cause of the subject accident, in which case it is frivolous.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It is a concern that if historical driving records were relevant in personal injury actions, the scope and duration of discovery and trial would be expanded. This concern was addressed in </w:t>
      </w:r>
      <w:r>
        <w:rPr>
          <w:rFonts w:ascii="arial" w:eastAsia="arial" w:hAnsi="arial" w:cs="arial"/>
          <w:i/>
          <w:color w:val="000000"/>
          <w:sz w:val="20"/>
          <w:lang w:val="en-US" w:eastAsia="en-US" w:bidi="ar-SA"/>
        </w:rPr>
        <w:t>Wilson v. Lind</w:t>
      </w:r>
      <w:r>
        <w:rPr>
          <w:rFonts w:ascii="arial" w:eastAsia="arial" w:hAnsi="arial" w:cs="arial"/>
          <w:color w:val="000000"/>
          <w:sz w:val="20"/>
          <w:lang w:val="en-US" w:eastAsia="en-US" w:bidi="ar-SA"/>
        </w:rPr>
        <w:t>, where O'Brien J. stated the following at paragraph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such allegations were permitted in the statement of claim, the discovery process would be extensively prolonged and the trial would involve issues of prior and subsequent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impairment. Rather than one trial there would be several.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in this case says that parties making such unfounded allegations can be sanctioned in costs, and she concedes that the trial judge in this case may well conclude that the similar fact evidence is inadmissible. However, no useful purpose would be served by allowing the parties in personal injury actions to routinely plead allegations regarding the other's driving record. Each party would be obligated to obtain and disclose a copy of his or her driving abstract. The scope of examinations for discovery would be broader and trials may become longer, yet it would be seldom the case that the evidence so obtained would be relevant or admissible.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all of the circumstances, the Similar Fact Pleading is not an appropriate pleading, and the application to amend the notice of civil claim is therefore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 WILSON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1"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Stoneson v. Testa Estate, [2015] B.C.J. No. 1867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8-12, and 15-18, 2015.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31, 2015.</w:t>
      </w:r>
    </w:p>
    <w:p>
      <w:pPr>
        <w:spacing w:before="120" w:line="260" w:lineRule="atLeast"/>
        <w:jc w:val="center"/>
        <w:rPr>
          <w:lang w:val="en-US" w:eastAsia="en-US" w:bidi="ar-SA"/>
        </w:rPr>
      </w:pPr>
      <w:r>
        <w:rPr>
          <w:rFonts w:ascii="arial" w:eastAsia="arial" w:hAnsi="arial" w:cs="arial"/>
          <w:color w:val="000000"/>
          <w:sz w:val="20"/>
          <w:lang w:val="en-US" w:eastAsia="en-US" w:bidi="ar-SA"/>
        </w:rPr>
        <w:t>Docket: S24769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Chilliwack</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[2015] B.C.J. No. 1867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2015 BCSC 1549</w:t>
        </w:r>
      </w:hyperlink>
    </w:p>
    <w:p>
      <w:pPr>
        <w:spacing w:before="120" w:line="260" w:lineRule="atLeast"/>
        <w:rPr>
          <w:lang w:val="en-US" w:eastAsia="en-US" w:bidi="ar-SA"/>
        </w:rPr>
      </w:pPr>
      <w:r>
        <w:rPr>
          <w:rFonts w:ascii="arial" w:eastAsia="arial" w:hAnsi="arial" w:cs="arial"/>
          <w:color w:val="000000"/>
          <w:sz w:val="20"/>
          <w:lang w:val="en-US" w:eastAsia="en-US" w:bidi="ar-SA"/>
        </w:rPr>
        <w:t>Between Susan Nancy Stoneson, Plaintiff, and The Estate of Amanda Candice Testa,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2" style="position:absolute;z-index:2516848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81" w:name="Keywords_25"/>
      <w:bookmarkEnd w:id="181"/>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Non-pecuniary loss — Pain and suffering — Action for personal injuries suffered in 2010 motor vehicle accident allowed in part — Plaintiff, now 57, was working full time as regional nurse practice consultant with Health Canada at time of accident — Due to soft tissue injuries to neck, shoulders and upper thoracic spine, she was only able to work 50 per cent of time after accident — Plaintiff suffered from chronic low back pain prior to accident — Plaintiff awarded non-pecuniary damages of $100,000, $80,000 for past loss of income, $450,000 for loss of future earning capacity and $15,000 for loss of future care.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82" w:name="Case Summary_23"/>
            <w:bookmarkEnd w:id="18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personal injuries suffered in a 2010 motor vehicle accident. The plaintiff, now 57, was working full time as a regional nurse practice consultant with Health Canada at the time of the accident and worked to obtain her Nurse Practitioner certification. The accident caused soft tissue injury to the plaintiff's neck, shoulders and upper thoracic spine. She claimed the pain, stiffness and mobility limitations never completely resolved. Prior to the accident, the plaintiff suffered from chronic low back pain as a result of an accident in 2002. After the 2010 accident, the plaintiff continued working, but her employer accommodated her by temporarily eliminating travel to remote communities and permitting more work from home. The plaintiff argued that because of her injuries she could not work more than two weeks at a time and needed the following two weeks to rest and recover. </w:t>
            </w:r>
            <w:r>
              <w:rPr>
                <w:lang w:val="en-US" w:eastAsia="en-US" w:bidi="ar-SA"/>
              </w:rPr>
              <w:cr/>
            </w:r>
          </w:p>
          <w:p>
            <w:pPr>
              <w:spacing w:before="120" w:line="260" w:lineRule="atLeast"/>
              <w:ind w:left="240"/>
              <w:jc w:val="both"/>
              <w:rPr>
                <w:lang w:val="en-US" w:eastAsia="en-US" w:bidi="ar-SA"/>
              </w:rPr>
            </w:pPr>
            <w:bookmarkStart w:id="183" w:name="Holdings of Court_16"/>
            <w:bookmarkEnd w:id="183"/>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evidence that a low back condition, prior to the accident, had significantly interfered with the plaintiff's work, education or lifestyle. Nothing in the evidence suggested that the plaintiff could expect improvement in her condition. Non-pecuniary damages were assessed at $100,000. But for the injuries the plaintiff sustained in the accident, she would likely have worked at the 80 per cent, rather than the 50 per cent level and would have earned proportionally more base salary and overtime from November 2012 to December 2013. She was awarded $80,000 for past loss of income. The plaintiff's injuries were likely to continue to limit her ability to work. Her future income loss was based on the extra income the plaintiff could have earned by working on an 80 per cent basis to age 65. In addition to her pre-existing low back condition becoming more symptomatic, there was also the fact that a large portion of her income was based on overtime and therefore not predictable. Applying a deduction for those contingencies, she was awarded $450,000 for loss of future earning capacity. An award of $15,000 was made for cost of future care. </w:t>
            </w:r>
            <w:r>
              <w:rPr>
                <w:lang w:val="en-US" w:eastAsia="en-US" w:bidi="ar-SA"/>
              </w:rPr>
              <w:cr/>
            </w:r>
          </w:p>
          <w:p>
            <w:pPr>
              <w:rPr>
                <w:lang w:val="en-US" w:eastAsia="en-US" w:bidi="ar-SA"/>
              </w:rPr>
            </w:pPr>
          </w:p>
        </w:tc>
      </w:tr>
    </w:tbl>
    <w:p>
      <w:pPr>
        <w:jc w:val="both"/>
        <w:rPr>
          <w:lang w:val="en-US" w:eastAsia="en-US" w:bidi="ar-SA"/>
        </w:rPr>
      </w:pPr>
      <w:bookmarkStart w:id="184" w:name="Counsel_25"/>
      <w:bookmarkEnd w:id="18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3" style="position:absolute;z-index:2517360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D.C. Sliman.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 Rusinek.</w:t>
      </w:r>
      <w:r>
        <w:rPr>
          <w:lang w:val="en-US" w:eastAsia="en-US" w:bidi="ar-SA"/>
        </w:rPr>
        <w:cr/>
      </w:r>
    </w:p>
    <w:p>
      <w:pPr>
        <w:spacing w:after="240"/>
        <w:rPr>
          <w:lang w:val="en-US" w:eastAsia="en-US" w:bidi="ar-SA"/>
        </w:rPr>
      </w:pPr>
      <w:bookmarkStart w:id="185" w:name="Judgment_24"/>
      <w:bookmarkEnd w:id="185"/>
      <w:r>
        <w:pict>
          <v:line id="_x0000_s1154" style="position:absolute;z-index:25178726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6" w:name="N.H. SMITH J."/>
            <w:bookmarkEnd w:id="186"/>
            <w:r>
              <w:rPr>
                <w:rFonts w:ascii="arial" w:eastAsia="arial" w:hAnsi="arial" w:cs="arial"/>
                <w:b/>
                <w:color w:val="000000"/>
                <w:sz w:val="30"/>
                <w:lang w:val="en-US" w:eastAsia="en-US" w:bidi="ar-SA"/>
              </w:rPr>
              <w:t>N.H. SMITH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Susan Stoneson seeks damages for injuries in a motor vehicle accident that occurred on July 13, 2010. Liability is admitted and the major issue is the extent, if any, to which the plaintiff's earning capacity has been impaired.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Stoneson, who is now 57, left high school in grade 11 and began living with her future husband at the age of 16. She was married at 17 and had the first of her two children at 19. She completed her high school education as an adult and in 1995, at the age of 37, entered a nursing program at the University College of the Fraser Valley. She graduated with a bachelor's degree in nursing and became a registered nurse in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She initially worked as a public health nurse with the Fraser Valley Health Authority but wanted to work in rural communities. In 2006, Ms. Stoneson joined Health Canada as part of "resource team" serving isolated First Nations communities on the north coast of BC. Nurses are often the primary care givers in those communities. The plaintiff is a status Metis and says she loves working in First Nations communities. At one point, she was nominated for an award of excellence for nurses in those communities.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her early years with Health Canada, Ms. Stoneson usually worked half time in order to pursue advanced nursing education. She obtained a Master's degree in 2007 and did an additional course of study-which she described as comparable to a second Master's degree-to qualify as a nurse practitioner. A nurse practitioner is specifically qualified to act as primary care giver, making diagnoses and, with some exceptions, prescribing medications. The plaintiff says that in a remote rural community with no doctor, a nurse practitioner can function much like a family practice physician.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accident at issue, Ms. Stoneson was working full time as a regional nurse practice consultant with Health Canada. That involved teaching and supervising less experienced nurses, sometimes on-site in remote communities, sometimes in Vancouver. She was able to use a home office to prepare education materials. At the same time, she continued working to obtain her Nurse Practitioner certification.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ACCIDENT AND ITS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occurred when the plaintiff's vehicle was stopped in rush hour traffic on Highway 1 in Burnaby, BC. and became the third car in a three-car collision. A vehicle driven by the defendant Amanda Testa hit another vehicle from behind and that vehicle in turn struck the plaintiff's vehicle. Liability has been admitted on behalf of Ms. Testa, who has since died of an unrelated cause. The action against the owner and driver of the middle vehicle, Julio and James Guerra, was discontinued.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collision caused extensive damage to both the Testa and Guerra vehicles. The impact on the plaintiff's vehicle was absorbed primarily by a rear trailer hitch, but was later found to have also bent the frame.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family physician, Dr. Steve Bester, says that the accident caused soft tissue injury to the neck, shoulders and upper thoracic spine. The plaintiff testified that this caused the most acute pain during the first three months after the accident and then began to improve. However, she says the pain, stiffness and mobility limitations have never completely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says her neck and back pain is always present, with exacerbations "once or twice every couple of weeks" that last for "a couple of days." The exacerbations are caused by sitting at a computer, driving long distances, repetitive movements and stress. She takes multiple medications, both prescription and non-prescription, on a daily basis and says this reduces the pain to a dull ache with which she can perform a number of functions until the medication wears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the accident, the plaintiff suffered from chronic low back pain as a result of an accident in 2002. She said the pain was not disabling, a fact that is clearly confirmed by her work and educational record during the period. She testified that the accident at issue aggravated the low back pain, which is now present as a "dull ache," but is much less severe than the neck and upper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period immediately following the accident, the plaintiff continued working, but her employer accommodated her by temporarily eliminating travel to remote communities and permitting more work from home. This lasted for three or four months. According to Marilyn McGarry, her supervisor at the time, Ms. Stoneson was then able to return to her work in remote communities. Ms. McGarry said she was not aware of any physical limitations, although she never had occasion to observe the plaintiff first hand in those settings. During the periods when the plaintiff was working in the Lower Mainland, Ms. McGarry said she continued to assign more work that could be done at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continued to work full time while also attending physiotherapy and, in 2012, obtained her Nurse Practitioner certification. At approximately the same time, Health Canada transferred its rural nursing services in BC to a new First Nations Health Authority. The plaintiff opted to stay with Health Canada and took a part time position working two weeks out of four in First Nations communities in Northern Alberta.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testified she is able to do that job because it involves working two weeks out of four and she is able to benefit from the "recovery time" when she is not working. She also said that she able to obtain help from others on site, such as paramedics, when heavier work, such as transferring patients onto and off of stretchers, becomes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current position is by definition a part-time one in which it is not possible to work more than 80% of full time. She testified that, but for her injuries, she would likely be working at the 80% level. When not working at the Health Canada job, she said she would have the opportunity to earn extra income by working casual nursing shifts at hospitals. She says that because of her injuries she cannot work more than two weeks at a time and needs the following two weeks to rest and recover.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work is divided among four different communities and for part of her time there she is on-call 24 hours a day. That results in significant overtime pay. Under the collective agreement in place, any after-hours call, no matter how brief, entitles her to payment for a minimum of three hours overtime. In 2013, her total income was $115,397.00, of which approximately 40% was overtime.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January 2014, while working in one of the northern Alberta communities, the plaintiff slipped on snow and ice and injured her rotator cuff. She had surgery in May 2014, and returned to work in January 2015. As of the date of trial, the plaintiff was back to her previous two weeks on, two weeks off schedule and said her shoulder was back to normal.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2006, the plaintiff bought a motorcycle for recreational purposes but said she had to sell it after accident because she was unable to turn her neck sufficiently and her neck pain was aggravated by vibrations. Her family owns a boat, but she says it now stays primarily at the dock because she cannot tolerate wave action. She also owns a horse, but said it is now primarily a pet because the prospect of falls makes riding to risky.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also says she has not been able to help care for or play with her grandchildren, aged six, four and three. "I'm the one who would have been going on waterslides and amusement rides with them," she says, "but I can't do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Dr. Christopher Watt is an occupational medicine and sports medicine physician. He attributes the plaintiffs neck pain to the accident, which he says also made the pre-existing low back condition permanently worse. He believes the plaintiff is now suffering from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Posttraumatic Myofascial Pain Syndrome (defined as regional soft tissue pain syndrome associated with the presence of a trigger point in the involved muscle)."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Watt's opinion is based in part on functional testing conducted by Chris Nguyen, a functional capacity evaluator. Based on that testing, Dr. Watt says the plaintiff has permanent impairment in her capacity for repetitive reaching above eye level, lifting and carrying. The effect of these impairments is that she does not technically meet the published physical requirements for her occupation and would not be able to work full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also attended a functional capacity evaluation at the request of defence counsel, but no report from that examination was produced.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Aaron MacInnes is an anesthesiologist and pain management specialist. In a report, dated March 16, 2015, he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Since the motor vehicle accident Ms. Stoneson has developed constant painful symptoms throughout the cervical, thoracic and lumbar spine areas. These symptoms are most severe in the cervical spine and left shoulder girdle region. These symptoms are now chronic and again likely mechanical or musculoskeletal in cause... it is my opinion that the motor vehicle accident is most likely responsible for the current constant, daily symptoms and their associated disability.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Bassam Masri, an orthopedic surgeon, examined the plaintiff at the request of the defence counsel. He agrees that the accident caused a soft tissue injury to the neck, with pain radiating to the upper shoulders and related headaches. He also said the accident aggravated the pre-existing back condition and all of her pain may have been aggravated by her subsequent slip and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Masri said an injury like the plaintiffs would usually have improved significantly by now and he is unable to explain the persistence of the plaintiff's symptoms. But, he says: "[a] small subset of patients will continue to have symptoms after an injury, and she may be one of those."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CREDIBILITY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the defendant submits that the plaintiff is an unreliable witness and refers to a number of inconsistencies in her reports to doctors and to her inaccurate recollection of certain dates, such as the date of the previous accident that caused the ongoing back pain. I do not find these to be any more than the normal minor errors and inconsistencies that occur when a person describes past events or an ongoing condition on multiple occasions to different people for different purposes over a period of several years. Few if any people have the kind of encyclopedic and consistent memory that defence counsel in these cases frequently seem to expect of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notes that in order to do her job, the plaintiff must do some of the physical tasks she says she incapable of doing. For example, she testified that she is able to rely on paramedics to do some of the heavy lifting, but the evidence indicates that paramedics are only available in one of the four communities she works 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Defence counsel also relies on a letter the plaintiff sent to the Alberta Workers Compensation Board in relation to her subsequent shoulder injury. In that letter, the plaintiff emphasized the physical aspects of her job, including travel with 40 to 50 pounds of luggage and mobilizing patients with possible cervical spine injury. Counsel says that contradicts the plaintiff's position at trial in regard to her abilities. He suggests the plaintiff is prepared to say one thing when seeking compensation for her slip and fall injury and something different when seeking compensation for the injuries suffered in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frankly do not see the contradiction the defendant relies on. The plaintiff's evidence at trial of the physical tasks that may be involved in her work did not differ from what she told the Alberta Compensation Board. But as I understand the plaintiff's evidence, these heavier tasks are relatively infrequent. Most of her work consists of seeing patients in a clinic or at their homes. I also did not understand the plaintiff to say that she is absolutely incapable of doing what is necessary, but that some tasks are particularly difficult and painful, that she asks for help with those tasks whenever it is available and that after two weeks of work she needs two weeks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one point in cross-examination, counsel pointed out that the plaintiff didn't ask for any injury-related accommodations when she began her new position in Alberta. Her response was that she believed she could do the job effectively by making her own adjustments as necessary and by relying on the fact that it was only half time. This is consistent with the evidence of her family physician, Dr. Bester, who describes the plaintiff as "very stoic."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all of the evidence shows the plaintiff to be a highly motivated individual who obtained professional qualifications relatively late in life and continued to upgrade her qualifications into her mid-fifties. That has given her the opportunity to do work that she enjoys and considers important. There would have been no reason for her to obtain advanced qualifications, such as the nurse practitioner designation, if she did not intend to use them as much and for as long as possible.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no medical evidence that questions or denies the plaintiff's current condition and no reason to believe she is working or doing less than she is capable of. In short, I found her to be an impressive and entirely credible witness whose evidence was not contradicted in any significant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suggests that the accident is only a partial cause of the plaintiff's injuries and submits that damages be reduced by 25% to reflect both the pre-existing low back injury and the subsequent slip and fall, which aggravated the neck injury. It is submitted that the injuries are "divisible" and the defendant is only liable for the injuries she caused.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Where tortious and non-tortious cases each contribute to an injury, the law does not permit apportionment. That is made clear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23, where the Supreme Court of Canada said apportionment between tortious and non-tortious causes is contrary to the principles of tort law. While apportionment is possible where injuries are divisible, as with injuries to different parts of the body, that will rarely be the case when a tortfeasor aggravates a pre-existing condition or causes a condition that is subsequently aggravated by other events.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the Court of Appeal said at para. 37: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...showing that there are multiple causes for an injury will not excuse any particular tortfeasor found to have caused an injury on a "but-for"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19). It may be that in some cases, earlier injury and later injury to the same region of the body are divisible. While it will lie for the trial judge to decide in the circumstances of each case, it is difficult to see how the worsening of a single injury could be divided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Although counsel for the defendant characterizes his submission as one of causation and divisible injury, it is really a question going to damages. A tortfeasor is not liable for injuries a plaintiff would have suffered in any event. The Court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said at para. 35: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evidence is that the plaintiff had chronic low back pain for a number of years before the accident and that the accident aggravated that condition, although the plaintiff says that remains a less significant cause of pain and limitation then the neck injury. There is no evidence that a low back condition, prior to the accident, had significantly interfered with the plaintiff's work, education or lifestyle. Nor is there any evidence that, but for the accident, the low back condition would have been likely to deteriorate in the future. However, as will be seen below, I have considered that as a contingency factor in assessing the plaintiff's loss of 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for the subsequent slip and fall that caused an injury to the rotator cuff, the evidence shows that it also probably aggravated the neck injury, but there is no evidence that it would have caused any neck injury in the absence of the injury that was already present due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continues to suffer a variety of symptoms from her injury, with the neck and upper back pain producing the most debilitating effects. She continues to be heavily dependent on medication. Her leisure activities have been curtailed and her relationship with her family, including her grandchildren, has been negatively affected. Nothing in the evidence suggests that the plaintiff can expect improvement in her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seeks non-pecuniary damages of $115,000, relying on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aff'd </w:t>
      </w:r>
      <w:hyperlink r:id="rId556"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2012 BCSC 1607</w:t>
        </w:r>
      </w:hyperlink>
      <w:r>
        <w:rPr>
          <w:rFonts w:ascii="arial" w:eastAsia="arial" w:hAnsi="arial" w:cs="arial"/>
          <w:color w:val="000000"/>
          <w:sz w:val="20"/>
          <w:lang w:val="en-US" w:eastAsia="en-US" w:bidi="ar-SA"/>
        </w:rPr>
        <w:t xml:space="preserve">, aff'd on other grounds </w:t>
      </w:r>
      <w:hyperlink r:id="rId558"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Dorosh v. John</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2013 BCSC 1442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xml:space="preserve"> a plaintiff who was 34 at the time of the trial suffered permanent injuries to her neck and lumbar spine, including ongoing nerve damage in her lower back. The court found that she was in pain every day and was not able to work full time. Non-pecuniary damages were assessed at $100,000.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a 49-year old plaintiff had chronic soft tissue injuries that the court found to have impacted all aspects of her life. She did not miss any work due to the accident, but modified her workday and arrived home exhausted and irritable. The court awarded non-pecuniary damages of $85,000.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Dorosh</w:t>
      </w:r>
      <w:r>
        <w:rPr>
          <w:rFonts w:ascii="arial" w:eastAsia="arial" w:hAnsi="arial" w:cs="arial"/>
          <w:color w:val="000000"/>
          <w:sz w:val="20"/>
          <w:lang w:val="en-US" w:eastAsia="en-US" w:bidi="ar-SA"/>
        </w:rPr>
        <w:t>, a 35-year old plaintiff had soft tissue injuries that produced chronic pain five years post-accident and the prognosis was "guarded." She had a number of un-related, pre-existing conditions that made her vulnerable. Non-pecuniary damages were assessed at $90,000.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 submits that Ms. Stoneson is entitled to non-pecuniary damages of between $50,000 and $85,000 and relies primarily on </w:t>
      </w:r>
      <w:r>
        <w:rPr>
          <w:rFonts w:ascii="arial" w:eastAsia="arial" w:hAnsi="arial" w:cs="arial"/>
          <w:i/>
          <w:color w:val="000000"/>
          <w:sz w:val="20"/>
          <w:lang w:val="en-US" w:eastAsia="en-US" w:bidi="ar-SA"/>
        </w:rPr>
        <w:t>Combs v. Bergen</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2013 BCSC 321</w:t>
        </w:r>
      </w:hyperlink>
      <w:r>
        <w:rPr>
          <w:rFonts w:ascii="arial" w:eastAsia="arial" w:hAnsi="arial" w:cs="arial"/>
          <w:color w:val="000000"/>
          <w:sz w:val="20"/>
          <w:lang w:val="en-US" w:eastAsia="en-US" w:bidi="ar-SA"/>
        </w:rPr>
        <w:t>. In that case, the plaintiff was 42 at the time of trial and was still suffering from neck pain, lower back pain and headaches three years after the accident. The court referred particularly to the impact on her ability to manage a house and family and on her leisure activities. There was conflicting medical evidence about whether improvement in her condition was possible. She was awarded $70,000.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Of course, no two cases are precisely comparable and it is necessary to consider the plaintiff's individual circumstances and the factors for consideration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I find the plaintiff has suffered from pain that is more or less constant, although of varying intensity. That pain is likely to be permanent and has affected most aspects of her life. I assess non-pecuniary damages at $100,000.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PAST INCOME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Loss of past income is a hypothetical assessment guided by the plaintiff's earnings prior to the accident. It is not an exact calculation: </w:t>
      </w:r>
      <w:r>
        <w:rPr>
          <w:rFonts w:ascii="arial" w:eastAsia="arial" w:hAnsi="arial" w:cs="arial"/>
          <w:i/>
          <w:color w:val="000000"/>
          <w:sz w:val="20"/>
          <w:lang w:val="en-US" w:eastAsia="en-US" w:bidi="ar-SA"/>
        </w:rPr>
        <w:t>Wallman v. John Doe</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2014 BCSC 79</w:t>
        </w:r>
      </w:hyperlink>
      <w:r>
        <w:rPr>
          <w:rFonts w:ascii="arial" w:eastAsia="arial" w:hAnsi="arial" w:cs="arial"/>
          <w:color w:val="000000"/>
          <w:sz w:val="20"/>
          <w:lang w:val="en-US" w:eastAsia="en-US" w:bidi="ar-SA"/>
        </w:rPr>
        <w:t xml:space="preserve"> at para. 485.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began her new job in Alberta in late 2012. I accept her evidence that she chose to work only half time because of her accident-related injuries. Although the job is by definition part-time, it is possible to work up to 80% of full time and her current supervisor, Ms. Letendre, agreed on cross-examination that such a position would likely be available to the plaintiff if she asked for it. The evidence is that nurses doing what the plaintiff does are in high demand and there is a high turnover.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2013, the plaintiff earned approximately $115,000, including a large amount of overtime. Ms. Letendre testified that efforts are being made to keep overtime from being excessive, but I am not persuaded there is much the employer can do about it. Given the isolated nature of the communities in which the plaintiff works and the limited availability of other care providers, it would seem that the need for overtime is directed entirely by patient needs. Ms. Pecson, a Canada Health payroll clerk testified the plaintiff's level of earnings were typical of nurse practitioners in her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did not work in 2014 because of her shoulder injury and has had a gradual return to work in 2015. I find that, but for the injuries the plaintiff sustained in the accident, she would more likely than not have begun the Alberta job at the 80%, rather than the 50% level and would have earned proportionally more base salary and overtime from November 2012 through December 2013.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says that, during the times she was not working in the Health Canada job, she could have earned extra income working casual nursing shifts in hospitals. The plaintiff was starting a new job, involving a great deal of time away from home. The job involved a great deal of overtime and I find the plaintiff would likely still have needed some of what she calls recovery time. While it is possible she would have worked some casual shifts during her time off, I do not find it likely she would have done so to any significant degree.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therefore assess past income loss based on her 2013 income, increased to include the last two months of 2012. The total income would have been increased by 60% if the plaintiff was working on an 80% basis and I award damages of $80,000 for past loss of income. No deduction for income tax will be necessary because it is agreed that the plaintiff, as a First Nations person earning income on reserves, is not required to pay income tax.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Damages for loss of earning capacity are a matter of assessment, not calculation according to a mathematical formula.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paras. 8-11; </w:t>
      </w:r>
      <w:r>
        <w:rPr>
          <w:rFonts w:ascii="arial" w:eastAsia="arial" w:hAnsi="arial" w:cs="arial"/>
          <w:i/>
          <w:color w:val="000000"/>
          <w:sz w:val="20"/>
          <w:lang w:val="en-US" w:eastAsia="en-US" w:bidi="ar-SA"/>
        </w:rPr>
        <w:t>Clark</w:t>
      </w:r>
      <w:r>
        <w:rPr>
          <w:rFonts w:ascii="arial" w:eastAsia="arial" w:hAnsi="arial" w:cs="arial"/>
          <w:color w:val="000000"/>
          <w:sz w:val="20"/>
          <w:lang w:val="en-US" w:eastAsia="en-US" w:bidi="ar-SA"/>
        </w:rPr>
        <w:t xml:space="preserve"> at paras. 76-77.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that the plaintiff's injuries are likely to continue to limit her ability to work. The most likely estimate of the future income she could have earned in the absence of her injuries is the income and overtime to be earned by working at her present job on an 80%, rather than 50% basis. The plaintiff says she would be able to continue working at that job until age 70.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job is a stressful one involving a great deal of overtime. Even in the absence of the accident, she may have found working to age 70, at least on an 80% basis, to be too demanding. There is also the possibility that her pre-existing lower back condition might have caused more problems in the future than it had in the past. I am also not satisfied that there is a real possibility of extra, casual work during her time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therefore base the assessment of future income loss on the extra income the plaintiff could have earned by working on an 80% basis to age 65. Based on her half-time income for 2013, the additional income would be $69,000 a year. The actuarial multiplier contained in the report of the defendant's economic expert, Mr. Szekely, produces a present value of $508,000.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multiplier from Mr. Szekely's report that I have used does not consider "labour market contingencies" such as unemployment. That is appropriate in this case because the plaintiff is well-established in a job for which there is high demand.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are, however, other contingencies that must be considered. In addition to her pre-existing low back condition becoming more symptomatic, there is also the fact that a large portion of her income is based on overtime and therefore not predictable. Applying what I consider to be a reasonable deduction for those contingencies, I award $450,000 for loss of future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 OF FUTURE CARE AND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evidence on the cost of future care is not entirely satisfactory although the parties agree that the plaintiff will have some ongoing therapy and medication needs. They differ widely on the amount and neither party has provided a net present value calculation for the annual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best medical evidence comes from the pain management specialist, Dr. MacInnes, who recommends regular access to a fitness facility with occasional assessment by a physiotherapist, kinesiologist and/or personal trainer to monitor and guide activities. The plaintiff will also have a continuing need for the medications she now uses. Reasonable total costs will be in the vicinity of $1200 a year. Rather than putting the parties to further expense of obtaining present value calculations for a relatively small annual cost, recognizing that the plaintiff's needs will likely vary over time and doing the best I can with the evidence before me, I award $15,000 for 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parties agree on special damages of $1,472.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summary, the plaintiff will have judgment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Non-pecuniary damages</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Past Income Loss</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$80,000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Loss of Future Earning capacity</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$450,000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Cost of Future Care</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Special Damages</w:t>
            </w:r>
          </w:p>
        </w:tc>
        <w:tc>
          <w:tcPr>
            <w:tcW w:w="481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u w:val="single"/>
                <w:lang w:val="en-US" w:eastAsia="en-US" w:bidi="ar-SA"/>
              </w:rPr>
              <w:t>$1,472</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4813"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$646,472</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Subject to any matter of which I am not currently aware, the plaintiff will have costs at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N.H. SMITH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Strata Plan LMS 3851 v. Homer Street Development Limited Partnership, [2011] B.C.J. No. 1582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S76792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1582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1127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8 C.L.R. (4th) 186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206 A.C.W.S. (3d) 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2167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3851, and others, Plaintiffs, and Homer Street Development Limited Partnership, formerly Cressey (Homer) Limited Partnership, and others, Defendants, and O'Neill Hotels &amp; Resorts Ltd., and others,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6"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7" w:name="Keywords_26"/>
      <w:bookmarkEnd w:id="187"/>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Material facts — Application by third parties to strike third party notice allowed — Plaintiff strata corporation claimed against defendant developer of hotel for damages associated with defects in construction as well as misrepresentations about financial returns expected from hotel which failed to materialize — Defendant's third party claim against hotel management failed to provide material facts about anything management did to contribute to defects or cause hotel to fail to meet financial projections — Developer at liberty to file amended third party claim after receiving additional disclosure from corporation — British Columbia Rules of Court, Rules 3-5(15), 9-5(1).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8" w:name="Case Summary_24"/>
            <w:bookmarkEnd w:id="1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O'Neill Hotels et al for an order dismissing Homer Street's claims against them on the basis of evidence, or for an order striking Homer's pleadings as disclosing no cause of action. Homer Street, the developers of the plaintiff Strata corporation, claimed O'Neill was responsible for those defects identified by the corporation as well as for the mismanagement of the hotel. The defect claims included improperly installed wallpaper, handrails, mechanical equipment, drainage, fire barriers and smoke detectors and electrical equipment, cracked concrete, uninsulated chilled water pipes, and insufficiently-designed suites. The corporation claimed Homer was negligent in failing to develop, construct and supervise the construction of the project. Homer defended on the basis the project was completed as required by all plans and that it corrected any defects brought to its attention. Homer also claimed O'Neill was negligent in the management of the hotel, with the result it did not meet its financial projections. The corresponding claim against Homer by the corporation did not allege entitlement to compensation based on less-than-projected financial returns. The corporation sought compensation for material false statements about the projected financial returns.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9" w:name="Holdings of Court_17"/>
            <w:bookmarkEnd w:id="18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nothing in Homer's current pleadings supporting a claim for defects against O'Neill et al. None of the alleged defects had anything to do with O'Neill's maintenance or management of the hotel. Similarly, there were no material facts in Homer's pleadings to support a claim against O'Neill for losses associated with the mismanagement of the hotel. Homer had no role in managing the hotel and therefore no knowledge of the role mismanagement by O'Neill may have played in contributing to defects or in the hotel failing to meet its financial projections. Because of this, the corporation was ordered to deliver to Homer all documents in its possession in relation to the defects and mismanagement of the hotel, and was at liberty to present an amended third party notice based on these documents.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0" w:name="Legislation Cited_17"/>
      <w:bookmarkEnd w:id="1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7"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3-5(15),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Real Estate Act, </w:t>
      </w:r>
      <w:hyperlink r:id="rId570" w:history="1">
        <w:r>
          <w:rPr>
            <w:rFonts w:ascii="arial" w:eastAsia="arial" w:hAnsi="arial" w:cs="arial"/>
            <w:i/>
            <w:color w:val="0077CC"/>
            <w:sz w:val="20"/>
            <w:u w:val="single"/>
            <w:shd w:val="clear" w:color="auto" w:fill="FFFFFF"/>
            <w:lang w:val="en-US" w:eastAsia="en-US" w:bidi="ar-SA"/>
          </w:rPr>
          <w:t>RSBC 1996, CHAPTER 397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1" w:name="Counsel_26"/>
      <w:bookmarkEnd w:id="1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8"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B.W. Dixon, S.T.C. Warnett.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Developer: D.C. Harbottle, D.J. Sutherland.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Third Parties O'Neill Hotels &amp; Resorts Ltd., OHR Grand Management Ltd., Robert F. O'Neill and John C. O'Neill: A. Borrell.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25"/>
      <w:bookmarkEnd w:id="192"/>
      <w:r>
        <w:pict>
          <v:line id="_x0000_s1159"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Third Party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Application to Dismiss/Strike</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J.D. TRUSCOTT J._0"/>
            <w:bookmarkEnd w:id="193"/>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third parties apply for an order that the claims of the defendant developers against them in the Amended Third Party Notice filed February 15, 2006 (I believe it should be February 14, 2005) be dismissed on the basis of the evidence and findings of fact made in the proceedings to date, or alternatively be struck as disclosing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relied upon are:</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 3-5(15) An issue between the party filing the third party notice and the third party may be tried at the time the court may direct;</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 9-5(1) At any stage of a proceeding, the Court may order to be struck out or amended the whole or any part of a pleading, petition or other document on the ground that a) it discloses no reasonable claim or defence, as the case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application is opposed by the defendant developers and is met by an application to amend their Amended Third Party Notice further, on the basis of a draft of that proposed pleading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developers had also prepared an application to further amend their Further Amended Statement of Defence filed March 15, 2007 but the plaintiffs opposed that application coming on for hearing on May 24, 2011 and as a consequence it was not considered on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take no position on the third party application against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Misrepresentation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third parties firstly submit that the claims of the developers made in the Amended Third Party Notice that the third parties have liability to the developers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preparation of and in the misrepresentation of the financial information, forecast, or projections, can no longer succeed because of findings of the Court of Appeal that the only liability for any misrepresentation remains with the developers as a result of a material false statement in Note 2(a) of the notes to the financial projections in Exhibit M to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developers do not appear to dispute this and have drafted their proposed Further Amended Third Party Notice with these allegations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consider that these claims in the Amended Third Party Notice should be struck out as dismissed, rather than merely removed from any further amendment to the existing Third Party Notice,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Defect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the Amended Third Party Notice the developers make claims against the third parties for all claims made against the developers by the plaintiffs, </w:t>
      </w:r>
      <w:r>
        <w:rPr>
          <w:rFonts w:ascii="arial" w:eastAsia="arial" w:hAnsi="arial" w:cs="arial"/>
          <w:color w:val="000000"/>
          <w:sz w:val="20"/>
          <w:u w:val="single"/>
          <w:lang w:val="en-US" w:eastAsia="en-US" w:bidi="ar-SA"/>
        </w:rPr>
        <w:t>except for the defect claims</w:t>
      </w:r>
      <w:r>
        <w:rPr>
          <w:rFonts w:ascii="arial" w:eastAsia="arial" w:hAnsi="arial" w:cs="arial"/>
          <w:color w:val="000000"/>
          <w:sz w:val="20"/>
          <w:lang w:val="en-US" w:eastAsia="en-US" w:bidi="ar-SA"/>
        </w:rPr>
        <w:t xml:space="preserve">, and make claims as well for mismanagement of the hotel by the third parties, and in particular for the failure of OHR Grand and Robert O'Neill or John O'Neill to control expenses, resulting in such financial information, forecasts or projections not materializing, </w:t>
      </w:r>
      <w:r>
        <w:rPr>
          <w:rFonts w:ascii="arial" w:eastAsia="arial" w:hAnsi="arial" w:cs="arial"/>
          <w:color w:val="000000"/>
          <w:sz w:val="20"/>
          <w:u w:val="single"/>
          <w:lang w:val="en-US" w:eastAsia="en-US" w:bidi="ar-SA"/>
        </w:rPr>
        <w:t>again except for the defect claims</w:t>
      </w:r>
      <w:r>
        <w:rPr>
          <w:rFonts w:ascii="arial" w:eastAsia="arial" w:hAnsi="arial" w:cs="arial"/>
          <w:color w:val="000000"/>
          <w:sz w:val="20"/>
          <w:lang w:val="en-US" w:eastAsia="en-US" w:bidi="ar-SA"/>
        </w:rPr>
        <w:t xml:space="preserve"> (underlining added by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These defect claims are those described in the plaintiffs' Second Further Amended Statement of Claim as defects and deficiencies to include: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Improperly installed wallpaper;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Cracked concrete;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Improperly installed handrails;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Improperly installed mechanical equipment including, without limitation, plumbing fixtures, air conditioning equipment, piping, valves and ducting;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built drawings and manuals were not provided;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Chilled water piping was not insulated;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Improperly constructed drainage;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Improperly constructed fire barriers and smoke detectors;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Improperly constructed electrical equipment including, without limitation, missing wiring, outlets, fixtures and switches;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Suites designed such that they are wholly insufficient for their purpose as full function suites in an all suite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allegation is made by the plaintiffs that the developers were negligent in failing to develop, construct and supervise the construction of the project in accordance with the plans and specifications or applicable industry standards and free of defects, and as a result of the developers'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have suffered loss, damage and expense. There is no claim that these "defects" were caused by or aggravated by improper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their Further Amended Statement of Defence of March 15, 2007 the developers respond that the project was completed as required by all plans and agreements and where any defect was brought to their attention it was corrected, and no loss or damage has been suffered by any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clear to me that by excepting these defect claims in their Amended Third Party Notice, the developers have accepted that the issue of defects exists only as between themselves and the plaintiffs and does not include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However, counsel for the developers points out that all matters of building defects and mismanagement were directed by me in reasons of November 1, 2005 not to be included in the first stage trial but to be part of a following stage, so there was no reason to seek further particulars from the plaintiffs of the alleged defects or investigate these alleged defects further while the first stage was being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the first stage now finalized, counsel wants to pursue the developers' defence of these defect claims further and wants to include in the proposed Further Amended Third Party Notice, a claim for contribution or indemnity against the third parties because their management caused any loss to the plaintiffs or because of their improper maintenance relating to the items claimed to be defects or their direction to use and use of equipment, fixtures or other products with the items claimed to be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for the developers submits that a defect may arise from the outset or from a maintenance perspective, which would involve the third parties, particularly the third party OHR Grand as the hotel manager, and whether the defects do concern maintenance issues should await disclosure of documents and particulars in respect to these claims from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To this end counsel for the developers has demanded particulars of building defects from the plaintiffs by letter of March 30, 2011, to which there was no response to the time of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also submitted that Mr. Robert O'Neill was involved in certain design decisions on suites, as one of the alleged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review of counsel's letter to plaintiffs' counsel of March 30, 2011, he does not seek particulars of the defects already alleged in the plaintiffs' pleading but only of additional building defects and deficiencies not listed in the Second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the pleadings now stand, however, there is no claim for defects made against the third parties in the existing Amended Third Party Notice and therefore nothing on this issue in that pleading to strike or dismiss.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the developers' proposed Further Amended Third Party Notice, counsel for the third parties submits that the proposed pleading does not disclose any reasonable claim because it sets out no material facts as to what improper maintenance by any of the third parties it is alleged caused or contributed to these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agree with counsel for the third parties that the proposed amendments to the Amended Third Party Notice in this regard are insufficient to set out a reasonable claim against any of the third parties with respect to the defects and the amendment in its present form on that issue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If developers' counsel obtains particulars from the plaintiffs' counsel of the defects which provide a suitable factual basis for a claim against any of the third parties, the developers may apply at that time to amend the Amended Third Party Notice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Third Party Claims for Mismanagement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Amended Third Party Notice the developers claim for relief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event these Defendants, or any of them, are found liable to the Plaintiffs for any matter relating to financial information, forecasts or Projections (as defined in the Amended Statement of Claim) and referred to in the Original Disclosure Statement of November 8, 1996, as amended July 8, 1997, and March 19, 1999, a determination that the Third Parties are liable to these Defendants for the full amount of all damages of any judgment as a result of:</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mismanagement of the Hotel by the Third Parties, and in particular the failure of OHR Grand and/or Robert O'Neill, or John O'Neill, to control expenses, resulting in such financial information, forecast, or Projections not materializing.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facts set out in the pleading, the developers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Robert O'Neill is a representative, chairman and director of OHR and OHR Grand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 O'Neill is an officer and director of OHR and OHR Grand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Original Disclosure Statement contemplated that the Hotel would be operated and managed separately from these Defendants by O'Neill Hotels &amp; Resorts Ltd., or its assignee, InnVentures Hospitality Corp.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By the date of the Second Amendment, the Hotel was to be operated and managed by OHR Grand.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or about April 1999 OHR Grand entered into the Hotel Management Agreement with each of the Plaintiff Investors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Following the opening of the Hotel, the Hotel was managed by OHR Grand under the direction of Robert and John O'Neill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the Hotel operator and manager, OHR Grand, under the direction of Robert and John O'Neill, controlled whether the Hotel budgets were met and, accordingly at all material times, the Third Parties controlled the financial returns to the Plaintiffs. If the returns were not sufficient to meet the expectations of the Plaintiffs, or to be in accord with the Financial Information, forecast or Projections, it was because the Hotel was mismanaged by OHR Grand under the direction of Robert and John O'Neill.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event the Plaintiffs are successful in their claim that the Financial Information was indeed a statement of fact, and a misrepresentation, or such Financial Information was prepared negligently, the Third Parties are obligated to fully compensate these Defendants for all damages awarded against them in respect to the Financial Information.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this issue of mismanagement, the pleading starts off in the relief claimed seeking indemnity from the third parties generally and in particular, OHR Grand and/or Robert O'Neill or John O'Neill for failure to control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then identifies the hotel manager as OHR Grand and pleads that following opening the hotel was managed by OHR Grand under the direction of Robert and John O'Neill.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not alleged OHR personally was responsible for any mismanagement, except to say in the claim for relief that the third parties mismanaged the hotel and the third parties controlled the financial returns, even though the pleading specifically alleges OHR Grand was the hotel operator and manager, under the direction of Robert and John O'Neill, and controlled whether the hotel budgets were met and if the returns to the plaintiffs were not sufficient it was because of mismanagement of the hotel by OHR Grand under the direction of Robert and John O'Neill.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Amended Third Party Notice there is no mention at all of the Master Agreement made between the developers and OHR on October 16, 1996 nor of any duties alleged to be owed by OHR or OHR Grand under that agreement to the developers for management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Again, counsel for the third parties submits that there are no material facts pleaded in terms of particulars given of how or in what respect the hotel was mismanaged by OHR Grand, affecting any loss of the plaintiffs, but only a bald allegation that if the financial returns were not sufficient to meet the expectation of the plaintiffs or to be in accord with the forecast or projections, it was because of mismanagement by OHR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Amended Third Party Notice raises a claim for indemnity and not for contribution. A claim for indemnity must be grounded in an alleged duty of care existing between the third parties and the developers. Nowhere in the pleading is any such duty of care identified. I agree with counsel for the third parties that this pleading discloses no reasonable claim. Rather than strike it out, however, I order it to be amended to provide particulars of alleged mismanagement by OHR Grand and particulars of any duties of care for management owed by OHR or OHR Grand and to whom.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the proposed further amendment to the Amended Third Party Notice that is presently advanced, the prayer for relief on mismanagement is expanded somewhat to include any decrease in the value of the strata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prayer for relief also adds a claim for damages for breach of the Master Agreement and a claim against Robert O'Neill for damages and indemnity pursuant to an Indemnity Agreement dated October 16,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body of the pleading, references are made to certain sections of the Master Agreement including s. 7.5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Standard of Management.</w:t>
      </w:r>
      <w:r>
        <w:rPr>
          <w:rFonts w:ascii="arial" w:eastAsia="arial" w:hAnsi="arial" w:cs="arial"/>
          <w:color w:val="000000"/>
          <w:sz w:val="20"/>
          <w:lang w:val="en-US" w:eastAsia="en-US" w:bidi="ar-SA"/>
        </w:rPr>
        <w:t xml:space="preserve"> In exercising its rights and carrying out its duties and obligations under the Hotel Management and Rental Pool Agreements, the Manager will act reasonably and in a responsible, prudent, proper, faithful, honest, diligent and timely manner and manage the Hotel in accordance with the standards of a Westin hotel. The Manager will operate the Hotel under the Hotel Management and Rental Pool Agreements in the ordinary course of business, with a view to profit, as would a prudent manager in the position of the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And including s. 7.9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Indemnity.</w:t>
      </w:r>
      <w:r>
        <w:rPr>
          <w:rFonts w:ascii="arial" w:eastAsia="arial" w:hAnsi="arial" w:cs="arial"/>
          <w:color w:val="000000"/>
          <w:sz w:val="20"/>
          <w:lang w:val="en-US" w:eastAsia="en-US" w:bidi="ar-SA"/>
        </w:rPr>
        <w:t xml:space="preserve"> The Manager will and does hereby indemnify and save harmless the Owner-Developer and its partners, and each of their respective directors, officers and employees, from and against any and all actions, causes of action, costs (including legal costs), damages, obligations and liabilities incurred or suffered as a result of a breach by the Manager of the Westin Franchise Agreement or the Manager otherwise failing to fulfill its obligations under this Agreement, save and except for those of the foregoing are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any wilful act of the Owner-Developer or its partners, or any of their respective directors, officers or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pleading also alleges in para. 36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Defendants relied on the Third Parties to carry out their obligations in a manner which enabled the project to be successfully marketed, and which did not cause these Defendants loss of reputation or expose or make these Defendants liable for financial losses 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assume by this last allegation that there is no intention on the part of the developers to set up a separate claim for loss of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pleading goes on to state that the defendants relied on OHR Grand under the direction of Robert and John O'Neill to operate a first class hotel in a prudent and efficient manner (para. 41) and the third parties failed to manage the hotel to achieve the projections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claim is then made that the third parties breached the Master Agreement and they are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followed by a claim specifically against Robert O'Neill for indemnity and damages pursuant to the Indemnity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These are all the claims made on the issue of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for the third parties submits that there is no reference at all in the body of this proposed pleading to mismanagement but only a claim of failure to achieve the projections, which in and of itself is not actionable as that result was never promised to the plaintiffs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Otherwise it is submitted that there are again no material facts set out of the alleged mismanagement anywhere in the statement of facts in the pleading and no facts set out as to how the third parties breached the Master Agreement or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respect to any claim on the Master Agreement in particular, the submission is made that the agreement terminated before management of the hotel even started, by the terms of s. 2.1 of the Agreement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 of this Agreement will commence upon execution hereof and subject to earlier termination pursuant to s. 2.1, 2.3 or 10.2, will terminate on the date that the sales of all the Strata Lots have completed or, if any Strata Lot is not sold, then the date the Owner-Developer has entered into the Hotel Management and Rental Pool Agreement in respect of every Strata Lot which is unsold.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Section 2.2 of the agreement sets out as conditions precedent for the owner-developer's benefit timelines to obtain development approvals, building permits and unconditional commitments for financing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Section 2.3 allows for waiver by the owner-developer of the timelines in s. 2.2 on notice to the manager, but in the absence of satisfaction of the conditions precedent or waiver of them the agreement is to be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Section 10.1 sets out events of default on the part of the manager and s. 10.2 allows for termination of the agreement if the manager is in default under s.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submitted that any claim on this agreement cannot extend beyond the time period set out in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Insofar as the existing Amended Third Party Notice or the proposed new amendment make claims against Robert and John O'Neill personally, it is submitted that there are no material facts in either pleading alleged to indicate how they as corporate officers of OHR and OHR Grand owed any independent duties of care to the plaintiffs or to the developers, and breached those duties with respect to the Master Agreement where the only contracting party was OHR, and the Management Agreement where the only manager was OHR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claims against Robert and John O'Neill personally start off in the Amended Third Party Notice claim for relief being for failure to control expenses, but end up in the facts as only alleging they are the directing minds of OHR Grand as the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are no claims made that Robert or John O'Neill owed any personal independent duties of care for management to the plaintiffs, or to the developers, and there are no facts pleaded that would form any basis to suggest any independent duty of care arose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manager is pleaded as being OHR Grand and directing OHR Grand as manager does not by that allegation create any independent cause of action against Robert and John O'Neill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claims against John and Robert O'Neill personally are struck out as disclosing no reasonable claim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proposed Further Amended Third Party Notice does no better and these claims in the proposed Amendment are disallowed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agree with third party counsel again that there are no material facts pleaded in the proposed amended pleading as to how the hotel was mismanaged or how the Master Agreement was breached or how the third parties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This by itself is enough to deny the amendment unless and until material facts can be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also agree with third party counsel that the way the pleading is worded it appears to allege failure to achieve the projections as a basis for contribution or indemnity by itself, relying on that being the claim of the plaintiffs, which is not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do not claim they are entitled to compensation because the financial returns to each of them did not meet the projections in the disclosure statement and they were promised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plaintiffs claim compensation for loss or damage under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for the material false statement of Note 2A, as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entitles them to claim, but whether that loss or damage is dependent on any difference that might exist between the financial returns and the projections remains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Any further amendment will have to clear up this misconception.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the issue of whether all obligations of the manager under the Master Agreement terminated at the time set out in s. 2.1, or continued thereafter, I agree with defence counsel that certainly s. 7.5 of the agreement can only be read as imposing ongoing obligations on the manager in the operation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do not however have the same view of the Indemnity Agreement given by Robert O'Neill.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Indemnity Agreement of Robert O'Neill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O'Neill gave an indemnity in favour of the developers on October 16, 1996 as a condition of the developers entering into the Master Agreement, the Indemnity Agreement being Exhibit F to the Master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Indemnity Agreement he unconditionally covenanted and agreed with the owner-developer up until the Hotel Opening Date as defined in the Master Agreement: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effect prompt and complete performance of each term or condition in the Master Agreement on the part of the Manager to be kept, observed or performed during the Term and any renewals or extensions thereof and any overholding thereafter;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indemnify and save harmless the Owner-Developer from any loss, costs or damages arising out of any failure by the Manager or the Indemnifier liable therefor to pay any money and charges payable and/or the failure to perform any of the aforesaid terms or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Paragraph 4 of the agreement stated that the liability of the Indemnifier was to continue until the Hotel Opening Date as defined in the Master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Hotel Opening Date was defined by the agreement to mean the date that the hotel opened for business (that is, first accepts paying guests).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Robert O'Neill, by the Indemnity Agreement, agreed with the owner-developer to effect prompt and complete performance of each term or condition in the Master Agreement on the part of the manager to be kept, observed or performed, and to indemnify and save harmless the owner-developer from any loss, costs or damages arising out of any failure by the manager or the Indemnifier to perform any of the terms and conditions, but only until the Hotel Opening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Section 4 of the Indemnity Agreement confirmed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conclude Robert O'Neill has no liability under the Indemnity Agreement for any claims of hotel management that refer to a time period after the Hotel Opening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recognize that the developers were probably not involved in the management of the hotel and prior to the present time have not been concerned with mismanagement issues. Therefore, they may not have sufficient or any knowledge of how the hotel was in fact managed.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also recognize that it may be important for the developers to pursue any issue of mismanagement and any duties of care owed to them or to the plaintiffs, as this issue may be relevant in the assessment of the plaintiffs' damages from the perspective of whether any mismanagement contributed to the plaintiffs'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an order that I made on October 30, 2006 I indicated that the defendants were entitled to document discovery from all the plaintiffs. Counsel for the plaintiffs says he has made document discovery of relevant documents from the plaintiffs up to the date of the opening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I understand, there may be some issue with whether all these documents have been delivered to developers'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the pleadings now stand, the Second Further Amended Statement of Claim has not been further amended to delete the claims made against OHR Grand for mismanagement as set out in paras. 61 and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addition, in the Further Amended Statement of Defence of the developers one of the allegations the developers make is that if the returns did not materialize or the investors suffered economic losses as alleged, such economic circumstances and risk were beyond the control of them, caused by poor and inadequate management of the hotel by one or more of the O'Neills or caused by the investors' failure to address the management of the hotel by OHR Grand and replace the manager on a timely basis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responded to these allegations in their Reply, alleging that it was the developer who had appointed OHR and subsequently OHR Grand as the manager of the hotel and imposed OHR Grand on the investors as manager. It is alleged that OHR and OHR Grand as agents of the developers developed the operating plan and budget for the first operating year and not as agents for the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For operating years 2001 and subsequent, the Hotel Management Agreement imposed by the developers is alleged to have deprived the investors of any effective control or direction of the management for the hotel and in the circumstances the investors have no effective control or responsibility for management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the developers taking the position in their defence that if the investors suffered economic losses it was due to poor and inadequate management and failure of the investors to address the management, and with the investors taking the position that the manager was the agent of the developers and they have no control or responsibility for management, the issue of responsibility for any mismanagement of the hotel contributing to any of the plaintiffs' losses is joined as between the plaintiffs and developers, making relevant production of any management documents in the possession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order at this time that all plaintiffs deliver all relevant documentation they have up to the opening of the hotel, if they have not done so already, together with all relevant documents that they have on the management of the hotel thereafter and on their claims for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also order OHR Grand and OHR as defendants to provide all relevant documentation on management of the hotel and on the defects claims of the plaintiffs, to both the plaintiffs and the developers, if they have not already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While the developers as defendants have liberty to present another proposed Further Amended Third Party Notice once more information is obtained on the defects and on the management of the hotel, the third parties have been successful on this hearing and are entitled to costs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0"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Sturm v. Sprott Resource Lending Corp., [2014] B.C.J. No. 212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S116867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 B.L.R. (5th) 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237 A.C.W.S. (3d) 923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302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Hans Sturm and Arroyo Seco Holdings Ltd., Plaintiffs, and Sprott Resource Lending Corporation, previously doing business as Quest Capital Corp., Yamana Gold Inc. and Novagold Resources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1"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4" w:name="Keywords_27"/>
      <w:bookmarkEnd w:id="194"/>
      <w:r>
        <w:rPr>
          <w:rFonts w:ascii="arial" w:eastAsia="arial" w:hAnsi="arial" w:cs="arial"/>
          <w:b/>
          <w:color w:val="000000"/>
          <w:sz w:val="20"/>
          <w:lang w:val="en-US" w:eastAsia="en-US" w:bidi="ar-SA"/>
        </w:rPr>
        <w:t>Corporations, partnerships and associations law — Corporations — Liability of shareholders — Duties of shareholders — Share capital — Rights attached to shares — Rights of exchange — Redemption or purchase — Cancellation — Reorganization — Application by shareholders to recover value of cancelled shares dismissed — Shareholders did nothing when informed of need to exchange their shares for shares of new company in context of reorganization — Having failed to participate in vote regarding reorganization, shareholders not entitled to challenge it or sunset clause providing for cancellation of their shares in six years through present proceedings — Company Act, s. 252.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5" w:name="Case Summary_25"/>
            <w:bookmarkEnd w:id="1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Sturm for summary judgment in his claim to recover the value of new shares and related benefits in companies formed in a corporate reorganization. Sturm acquired 203,500 shares in Loki between 1990 and 1993. Loki, Viceroy and Baja merged in 1996. Sturm was informed of his right to convert his Loki shares into $86,691 shares of the amalgamated company. He failed to take any steps to exchange his shares between 1996 and 2010, aware of the fact that if he did not exchange his Loki hares, he would not become a registered shareholder of Viceroy. Arroyo, Sturm's company, obtained 4,260 Viceroy shares in 2002. In 2003, Viceroy, Quest, Avatar and Arapaho entered into a reorganization agreement. Pursuant to this agreement, Sturm's Loki/Viceroy shares were equivalent to 28,897 Quest Capital shares, 8,669 ViceroyEx shares and 2,889 SpectrumGold shares. Arroyo's Viceroy shares were equivalent to 1,420 Quest Capital shares, 426 ViceroyEx shares and 142 SpectrumGold shares. In 2003, Sturm was not a registered Viceroy shareholder. Arroyo, along with other Viceroy shareholders, was informed of a six-year sunset clause for converting their shares. Sturm had notice of the sunset clause as well as the instructions for converting his Loki shares, but did nothing. By 2007, Quest Capital was the only party to the 2003 arrangement that had not participated in any significant corporate change. Arroyo and Sturm were sent a reminder letter in 2007 about the potential consequences of their failure to exchange their shares within the next two years, specifically, the surrender of their shares to Quest Capital. In 2010, Sturm tried to exchange his Loki share and Arroyo's Viceroy shares for shares of the existing companies, and was informed the share certificates had been cancelled and had no value.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6" w:name="Holdings of Court_18"/>
            <w:bookmarkEnd w:id="19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 the companies conducted themselves appropriately in the reorganizations and provided shareholders with proper notice of their obligations to take steps to convert their shares. Having failed to exercise his rights to vote on the reorganizations, Sturm was estopped from challenging the reorganizations and the sunset clauses effected thereby in the present proceeding. Allowing the claims of Sturm and Arroyo would undermine the binding effect of the reorganization.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7" w:name="Legislation Cited_18"/>
      <w:bookmarkEnd w:id="1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2"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578" w:history="1">
        <w:r>
          <w:rPr>
            <w:rFonts w:ascii="arial" w:eastAsia="arial" w:hAnsi="arial" w:cs="arial"/>
            <w:i/>
            <w:color w:val="0077CC"/>
            <w:sz w:val="20"/>
            <w:u w:val="single"/>
            <w:shd w:val="clear" w:color="auto" w:fill="FFFFFF"/>
            <w:lang w:val="en-US" w:eastAsia="en-US" w:bidi="ar-SA"/>
          </w:rPr>
          <w:t>SBC 2002, CHAPTER 57, s. 227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Civil Code of Quebec, S.Q. 1991, c.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Companies' Creditors Arrangement Act, </w:t>
      </w:r>
      <w:hyperlink r:id="rId579"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Company Act, RSBC 1996, CHAPTER 62, s. 1, s. 154, s. 155, s. 252, s. 252(1), s. 252(7), s. 253, s. 255(6), s. 255(7)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Expropriation Act, </w:t>
      </w:r>
      <w:r>
        <w:rPr>
          <w:rFonts w:ascii="arial" w:eastAsia="arial" w:hAnsi="arial" w:cs="arial"/>
          <w:i/>
          <w:color w:val="000000"/>
          <w:sz w:val="20"/>
          <w:lang w:val="en-US" w:eastAsia="en-US" w:bidi="ar-SA"/>
        </w:rPr>
        <w:t>RSBC 1996, CHAPTER 125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580" w:history="1">
        <w:r>
          <w:rPr>
            <w:rFonts w:ascii="arial" w:eastAsia="arial" w:hAnsi="arial" w:cs="arial"/>
            <w:i/>
            <w:color w:val="0077CC"/>
            <w:sz w:val="20"/>
            <w:u w:val="single"/>
            <w:shd w:val="clear" w:color="auto" w:fill="FFFFFF"/>
            <w:lang w:val="en-US" w:eastAsia="en-US" w:bidi="ar-SA"/>
          </w:rPr>
          <w:t>RSBC 1996, CHAPTER 253, s. 24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Securities Act, </w:t>
      </w:r>
      <w:r>
        <w:rPr>
          <w:rFonts w:ascii="arial" w:eastAsia="arial" w:hAnsi="arial" w:cs="arial"/>
          <w:i/>
          <w:color w:val="000000"/>
          <w:sz w:val="20"/>
          <w:lang w:val="en-US" w:eastAsia="en-US" w:bidi="ar-SA"/>
        </w:rPr>
        <w:t>RSBC 1996, CHAPTER 418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Unclaimed Property Act, </w:t>
      </w:r>
      <w:r>
        <w:rPr>
          <w:rFonts w:ascii="arial" w:eastAsia="arial" w:hAnsi="arial" w:cs="arial"/>
          <w:i/>
          <w:color w:val="000000"/>
          <w:sz w:val="20"/>
          <w:lang w:val="en-US" w:eastAsia="en-US" w:bidi="ar-SA"/>
        </w:rPr>
        <w:t>SBC 1999, CHAPTER 48</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8" w:name="Counsel_27"/>
      <w:bookmarkEnd w:id="1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3"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T.M. Tomchak, L. Awlasiewicz.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McEwan, Q.C., H.E. Cochran.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9" w:name="Judgment_26"/>
      <w:bookmarkEnd w:id="199"/>
      <w:r>
        <w:pict>
          <v:line id="_x0000_s1164"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0" w:name="S.C. FITZPATRICK J."/>
            <w:bookmarkEnd w:id="200"/>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Hans Sturm is an investor who, in the past, purchased shares either directly or through his company, the plaintiff Arroyo Seco Holdings Ltd. ("Arroyo").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Some years ago, the companies whose shares were held by Mr. Sturm and Arroyo were subject to certain corporate transactions, including mergers and plans of arrangement. The result of those transactions was that Mr. Sturm was required to take certain steps to exchange his and Arroyo's shares for other shares. Despite receiving written notice of the need to do so, Mr. Sturm did not take those steps and as a result of a deadline imposed by those arrangements, his and Arroyo's entitlement to these new shares has since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Sturm now brings this summary trial application to recover the value of these new shares and related benefits in the reorganized respondent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Between 1990 and 1993, Mr. Sturm acquired 203,500 shares in Loki Gold Corporation ("Loki").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May 1996, Loki, Viceroy Resource Corporation ("Viceroy") and Baja Gold Inc. merged pursuant to a statutory plan of arrangement. By reason of that arrangement, Loki shareholders were to exchange their shares in the amalgamated company and eventually receive 0.426 Viceroy shares for every Loki share. Accordingly, Mr. Sturm's Loki shares were equivalent to 86,691 Viceroy shares. Once Loki shares were exchanged for Viceroy shares, the Loki shares were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Sturm received notice of the Loki/Viceroy transaction and he was aware that the transaction provided for him to exchange his Loki shares for shares in Viceroy. Nevertheless, Mr. Sturm did not exchange or even attempt to exchange his Loki shares for Viceroy shares at any time between 1996 and 2010. He was aware that if he did not exchange the shares as contemplated, he would not become a registered shareholder of Viceroy.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2002, Arroyo acquired 4,260 Viceroy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May 2003, Viceroy, Quest Investment Corporation ("Quest Investment"), Avatar Petroleum Inc. ("Avatar") and Arapaho Capital Corp. ("Arapaho") entered into an agreement by which they were to complete a reorganization through a plan of arrangement pursuant to s. 252 of the legislation then in force,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R.S.B.C. 1996, c.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part of those arrangement proceedings, Viceroy incorporated Viceroy Exploration Ltd. ("ViceroyEx") and SpectrumGold Inc. ("SpectrumGold"). The arrangement transactions can be summarized as follows: Viceroy was to transfer certain mineral holdings from Viceroy to ViceroyEx and SpectrumGold; Viceroy would then acquire all of the shares of Avatar, Quest Investment and Arapaho; Quest Investment and Avatar would then be wound up into Viceroy (described as "Mergeco" in the plan of arrangement); and Mergeco would change its name to "Quest Capital Corporation", which would carry on business as a merchant bank ("Quest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Article 2.02 of the plan of arrangement provided that certain corporate actions would occur or would be deemed to occur "without any act or formality" in order to implement the plan. Article 2.02(6) provided in particular that Viceroy shareholders would receive one Quest Capital share for every three Viceroy shares, one ViceroyEx share for every ten Viceroy shares, and one SpectrumGold share for every thirty Viceroy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Based on these provisions, Mr. Sturm's Loki/Viceroy shares were equivalent to 28,897 Quest Capital shares, 8,669 ViceroyEx shares and 2,889 SpectrumGold shares. Arroyo's Viceroy shares were equivalent to 1,420 Quest Capital shares, 426 ViceroyEx shares and 142 SpectrumGold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Article 4.01 of the plan of arrangement provided for certain communications to the Viceroy shareholders so that the proposed share exchange could be completed: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4.01 As soon as practicable after the Effective Date, Computershare Trust Company of Canada (the "Depositary") ... on behalf of Mergeco in accordance with the terms of this Plan of Arrangement, shall forward a letter of transmittal and instructions: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each holder of Viceroy Shares to which Section 2.02(6) applies, at the address of each Shareholder as it appeared in the register of Viceroy, instructions for obtaining delivery of certificates representing the Mergeco Class A Shares, ViceroyEx Shares and SpectrumGold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of 2003, only Arroyo was a shareholder on the register of Viceroy, since Mr. Sturm had not yet arranged to exchange his Loki shares for Viceroy shares in accordance with the 1996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critical provisions of the 2003 plan of arrangement, and the source of the controversy on this application, are Sections 4.02 and 4.07 and have been described as the "Sunset Clauses". These provisions set out a six year deadline by which the Viceroy shareholders must tender their shares in order to complete the share exchanges: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Entitlement to Share Certificates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4.02 In order to receive such certificates which a Shareholder, which is not a Small Lot Shareholder (other than a Small Lot Shareholder who has elected to receive shares in accordance with Section 4.04), is entitled to receive pursuant to Section 2.02(6), former Shareholders of Viceroy, Quest and Avatar must deliver (1) the certificate formerly representing such holder's Shares to the Depositary, or as the Depositary may otherwise direct, in accordance with the instructions contained in the said letter of transmittal, (2) the duly completed letter of transmittal and (3) such other documents as the Depositary may reasonably require to the Depositary </w:t>
      </w:r>
      <w:r>
        <w:rPr>
          <w:rFonts w:ascii="arial" w:eastAsia="arial" w:hAnsi="arial" w:cs="arial"/>
          <w:color w:val="000000"/>
          <w:sz w:val="20"/>
          <w:u w:val="single"/>
          <w:lang w:val="en-US" w:eastAsia="en-US" w:bidi="ar-SA"/>
        </w:rPr>
        <w:t>within six (6) years of the closing of the Arrangement.</w:t>
      </w:r>
      <w:r>
        <w:rPr>
          <w:rFonts w:ascii="arial" w:eastAsia="arial" w:hAnsi="arial" w:cs="arial"/>
          <w:color w:val="000000"/>
          <w:sz w:val="20"/>
          <w:lang w:val="en-US" w:eastAsia="en-US" w:bidi="ar-SA"/>
        </w:rPr>
        <w:t xml:space="preserve"> Certificates for the Mergeco Shares and, if applicable, SpinOutCo Shares, issuable or exchangeable to such holder shall be registered in such name or names and will be delivered, by first class mail, postage paid, or, in the case of postal disruption, by such other means as the Depositary deems prudent, to such address or addresses as such holder may direct in the letter of transmittal as soon as practicable after the receipt by the Depository [sic] of the required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Termination of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4.07 Any certificate formerly representing Viceroy Shares, Quest Shares and Avatar Shares that is not deposited with all other documents as provided in Section 4.02 or 4.04 </w:t>
      </w:r>
      <w:r>
        <w:rPr>
          <w:rFonts w:ascii="arial" w:eastAsia="arial" w:hAnsi="arial" w:cs="arial"/>
          <w:color w:val="000000"/>
          <w:sz w:val="20"/>
          <w:u w:val="single"/>
          <w:lang w:val="en-US" w:eastAsia="en-US" w:bidi="ar-SA"/>
        </w:rPr>
        <w:t>on or before the sixth (6th) anniversary of the Effective Date shall cease to represent a right or claim of any kind or nature and the right of the holder of such Viceroy Shares, Quest Shares and Avatar Shares to receive Mergeco Shares</w:t>
      </w:r>
      <w:r>
        <w:rPr>
          <w:rFonts w:ascii="arial" w:eastAsia="arial" w:hAnsi="arial" w:cs="arial"/>
          <w:color w:val="000000"/>
          <w:sz w:val="20"/>
          <w:lang w:val="en-US" w:eastAsia="en-US" w:bidi="ar-SA"/>
        </w:rPr>
        <w:t xml:space="preserve"> or SpinOutCo Shares or, in the case of Small Lot Shareholders a cash payment or Mergeco Shares or SpinOutCo Shares, </w:t>
      </w:r>
      <w:r>
        <w:rPr>
          <w:rFonts w:ascii="arial" w:eastAsia="arial" w:hAnsi="arial" w:cs="arial"/>
          <w:color w:val="000000"/>
          <w:sz w:val="20"/>
          <w:u w:val="single"/>
          <w:lang w:val="en-US" w:eastAsia="en-US" w:bidi="ar-SA"/>
        </w:rPr>
        <w:t>shall be deemed to be surrendered to Mergeco together with all dividends or distributions thereon held for such holder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usual fashion, the arranging parties were required to provide notice to affected shareholders of the proposed plan of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the participating companies prepared an Information Circular describing the proposed arrangement as required by the legislation, Quest Investment and Viceroy obtained orders from various securities regulators, including in Alberta (where Mr. Sturm lives) and in British Columbia, exempting them from the requirement to deliver printed copies of the complete Information Circular to their respective shareholders. The exemption was sought because the printed version of the Information Circular was lengthy and the majority of the 11,000 shareholders held a limited number of shares, such that the cost of printing and mailing the Information Circular would in many cases exceed the then current value of the shares held by those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condition of the exemption which was granted was that printed copies of a Summary Circular be mailed to the shareholders of Viceroy and Quest Investment. The Summary Circular included:</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on how to access the full Information Circular electronically and how to request, by telephone, that a full printed Information Circular be sent free of charge to the shareholder;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of the annual general and extraordinary general meetings of the arranging companies set for June 18, 2003 and the resolutions to be proposed at those meetings;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summary of the proposed transaction, including the proposed exchange of shares;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summary of the fairness opinions received in respect of the transactions;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the exemptions obtained from various securities regulators from the requirement to mail a full Information Circular to the Viceroy and Quest Investment shareholders;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Notice to the shareholders advising of their right to dissent to the arrangement pursuant to s. 207 of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with such right exercisable prior to Tuesday, June 17, 2003;</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the procedure for exchange of Viceroy, Quest Investment and Avatar shares;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the time, date, and location of the hearing in respect of the final order approving the plan of arrangement (9:45 a.m. on June 20, 2003 at the Courthouse in Vancouver, B.C.) and directions to shareholders of the arranging companies as to how to appear and make representations at that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Due to the inclusion of the Sunset Clauses in the plan of arrangement, and their significance, the Summary Circular highlighted in bold print the six year deadline and the consequences of not meeting that deadline: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3.</w:t>
      </w:r>
      <w:r>
        <w:rPr>
          <w:rFonts w:ascii="arial" w:eastAsia="arial" w:hAnsi="arial" w:cs="arial"/>
          <w:b/>
          <w:color w:val="000000"/>
          <w:sz w:val="20"/>
          <w:u w:val="single"/>
          <w:lang w:val="en-US" w:eastAsia="en-US" w:bidi="ar-SA"/>
        </w:rPr>
        <w:t>Cancellation of Rights After Six Years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If a holder of Viceroy Shares... fails to deposit a Share Certificate representing Viceroy Shares, Quest Shares or Avatar Shares together with a duly executed and completed Letter of Transmittal and other required documents with the Depositary within six (6) years of the Effective Date, such Share Certificate shall cease to represent a right or claim of any kind or nature and the right of such holder to receive Mergeco Shares and, if applicable SpinOutCos Shares or cash in lieu thereof for Small Lot Shareholders, shall be deemed to be surrendered to Mergeco together with all dividends or distributions thereon declared or held for such holder.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May 8, 2003, a petition proceeding was commenced in this court to seek approval of the Viceroy/Quest Investment/Avatar/Arapaho plan of arrangement. By this time, further companies, such as ViceroyEx and Spectrum Gold had been added as arranging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May 9, 2003, Master Nitikman issued an interim order (the "Interim Order") in respect of the proposed arrangement. The Interim Order provided in part that: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Viceroy was at liberty to convene an annual and extraordinary general meeting for the purpose of approving the arrangement on June 18, 2003;</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good and sufficient notice of the meetings to Viceroy members would be given by mailing certain materials, by prepaid first class mail, not less than 21 days before the day of the meetings and would include: (a) a Notice convening the meeting; (b) a Notice of Application for the final order; (c) instrument of proxy; and (d) the Summary Circular (collectively, the "Mailed Materials");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good and sufficient service of the Notice of Application for the final order was also achieved by the mailing of the Mailed Materials;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member was able to appear and make representations at the application for the final order provided he or she filed an appearance and delivered it, along with any other filed materials, to the solicitors for the petitioners by June 19,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Mailed Materials were mailed out to Viceroy's shareholders in accordance with the joint order of the securities regulators and the Interim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Although Mr. Sturm initially denied receiving notice of the plan of arrangement, it was later conceded as a result of certain document discovery, that he did indeed receive the Summary Circular and the Notice of Annual and Extraordinary General Meetings. I find as a fact that Mr. Sturm did receive the Mailed Materials in accordance with the Interim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Annual and Extraordinary Meeting held in Vancouver on June 18, 2003, the Viceroy shareholders passed the special resolution required to approve the plan of arrangement in the proposed form, which of course included the Sunset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Master Nitikman conducted a hearing to approve the plan of arrangement on June 20, 2003. The plan of arrangement was found to be fair to members of the participating companies and was approved by the order of the Master on that date (the "Final Order"). The plan of arrangement was accepted for filing by the Registrar of Companies on June 30, 2003 (called the "Effective Date"). In accordance with s. 252(1) of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the terms of the plan of arrangement were then binding on both the participating companies and their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noted above, Article 4.01 of the plan of arrangement provided for delivery of a letter of transmittal and instruction to shareholders of the participating companies, including Viceroy shareholders. The Depositary, Computershare Trust Company of Canada, mailed letters of transmittal to the Viceroy shareholders on or shortly after June 30, 2003. Those letters explained how to exchange Viceroy shares for shares of the new companies and included the following "Important Notice":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IMPORTANT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your Letter of Transmittal and Share Certificate(s) are not received by Computershare by June 30, 2009, such Share Certificates shall cease to represent a right or claim of any nature and your right to receive shares or cash pursuant to the Arrangement shall be deemed to be surrendered to Mergeco together with all dividends or distributions thereon declared or held for such holder. </w:t>
      </w:r>
      <w:r>
        <w:rPr>
          <w:rFonts w:ascii="arial" w:eastAsia="arial" w:hAnsi="arial" w:cs="arial"/>
          <w:b/>
          <w:color w:val="000000"/>
          <w:sz w:val="20"/>
          <w:lang w:val="en-US" w:eastAsia="en-US" w:bidi="ar-SA"/>
        </w:rPr>
        <w:t>See "Cancellation of Rights after Six Years" in the enclosed instructions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instructions accompanying the letters of transmittal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Cancellation of Rights after Six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 fail to deliver and surrender to Computershare the Share Certificate(s) together with a duly executed and completed Letter of Transmittal and other required documents, </w:t>
      </w:r>
      <w:r>
        <w:rPr>
          <w:rFonts w:ascii="arial" w:eastAsia="arial" w:hAnsi="arial" w:cs="arial"/>
          <w:b/>
          <w:color w:val="000000"/>
          <w:sz w:val="20"/>
          <w:lang w:val="en-US" w:eastAsia="en-US" w:bidi="ar-SA"/>
        </w:rPr>
        <w:t>by June 30, 2009, such Share Certificate(s) shall cease to represent a right or claim of any kind or nature and your right to receive shares or cash pursuant to the Arrangement shall be deemed to be surrendered to Mergeco together with all dividends or distributions thereon declared or held for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Finally, the covering letter accompanying the letters of transmittal sent to Viceroy shareholders also included the following warning regarding the June 2009 deadline under the Sunset Clauses: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Letter of Transmittal and share certificate(s) must be received by Computershare by June 30, 2009 to receive the new certificates and cash as applicable. If not claimed by June 30, 2009, then the Shareholder will cease to be a shareholder and lose his right to the new shares or cash of the applicable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Sturm's Loki shares were held in three separate accounts and Arroyo's Viceroy shares were held in one account. Evidence from Computershare indicates that four separate transmittal letters and instructions were sent to either Mr. Sturm or Arroyo in respect of these four accounts. Mr. Sturm admits that sometime after June 30, 2003 and before August 5, 2003, he received a letter of transmittal in respect of some of his Loki shares which corresponds to one of the accounts he held. He also indicates that in accordance with his practice of dealing with mailings, it is possible that he did not keep the other letters of transmittal. Mr. Sturm stated it was his practice to review mail he received and in any event, he admitted that a reading of even one letter would have led him to assume the consequences described would apply to all of the shares held in the four accounts. Mr. Sturm's discovery evidence was that he was generally aware of the 2003 arrangement proceedings and that he was "kept abreast".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consider it more likely than not and therefore find as a fact that Mr. Sturm did receive all four transmittal letters and the accompanying instructions from Computershare in the ordinary course and sometime shortly after June 30,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Despite having received the spring 2003 mailings regarding the proposed plan of arrangement and the transmittal letters and instructions shortly after June 2003 indicating the need to exchange the shares, Mr. Sturm took no action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Subsequent to 2003, there were various corporate changes to SpectrumGold and ViceroyEx and a further "sunset clause" arising from the former: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SpectrumGold: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2004, SpectrumGold combined with NovaGold Canada Inc., a wholly owned subsidiary of NovaGold Resources Inc. and now does business as the defendant NovaGold Resources Inc. ("NovaGold Resources"). The combination was effected by way of statutory plan of arrangement. Under that arrangement, shareholders of SpectrumGold became entitled to receive one share of NovaGold Resources for each 1.35 shares of SpectrumGold.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receive NovaGold Resources shares, the arrangement required SpectrumGold shareholders to deliver their share certificates and duly completed letters of transmittal to Computershare on or before the sixth anniversary of the effective date of the arrangement. The arrangement provided that SpectrumGold shares not exchanged within this period "shall be deemed to be surrendered to NovaGold together with any dividends or distributions thereon held for such holder".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arrangement was approved by court order on July 12, 2004. The deadline for exchanging SpectrumGold shares for NovaGold Resources shares in accordance with the sunset clause expired in July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ViceroyEx:</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shares of ViceroyEx were acquired by the defendant Yamana Gold Inc. ("Yamana") in 2006. Yamana, a company at arm's length to ViceroyEx, first made a successful take-over bid by way of an offer to the registered shareholders of ViceroyEx. Under the terms of the take-over offer, ViceroyEx shares were exchangeable for common shares in Yamana at a rate of 0.97 Yamana common shares for each ViceroyEx share.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Yamana's Offer to Purchase dated September 6, 2006 required that any acceptance of the offer be made by a certain deadline: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Offer is made only for Viceroy Shares and is not made for any options, warrants or other rights to acquire Viceroy Shares. Any holder of options, warrants or other rights to acquire Viceroy Shares who wishes to accept the Offer should, to the extent permitted by their respective terms and applicable law, fully exercise, convert or exchange such options, warrants or other rights in order to obtain certificates representing Viceroy Shares that may be deposited in accordance with the terms of the Offer. </w:t>
      </w:r>
      <w:r>
        <w:rPr>
          <w:rFonts w:ascii="arial" w:eastAsia="arial" w:hAnsi="arial" w:cs="arial"/>
          <w:color w:val="000000"/>
          <w:sz w:val="20"/>
          <w:u w:val="single"/>
          <w:lang w:val="en-US" w:eastAsia="en-US" w:bidi="ar-SA"/>
        </w:rPr>
        <w:t>Any such exercise, conversion or exchange must be completed sufficiently in advance of the Expiry Time to assure that the holder of such options, warrants or other rights to acquire Viceroy Shares will have certificates representing the Viceroy Shares received on such exercise, conversion or exchange available for deposit before the Expiry Time,</w:t>
      </w:r>
      <w:r>
        <w:rPr>
          <w:rFonts w:ascii="arial" w:eastAsia="arial" w:hAnsi="arial" w:cs="arial"/>
          <w:color w:val="000000"/>
          <w:sz w:val="20"/>
          <w:lang w:val="en-US" w:eastAsia="en-US" w:bidi="ar-SA"/>
        </w:rPr>
        <w:t xml:space="preserve"> or in sufficient time to comply with the procedures referred to in Section 5 of the Offer, "Manner of Acceptance - Procedure for Guaranteed Delivery".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Following the expiry of the offer on October 27, 2006, Yamana commenced and completed a compulsory acquisition of the shares that had not been tendered. The transaction was carried out pursuant to legislation replacing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being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S.B.C. 2002, c. 57, s. 300</w:t>
        </w:r>
      </w:hyperlink>
      <w:r>
        <w:rPr>
          <w:rFonts w:ascii="arial" w:eastAsia="arial" w:hAnsi="arial" w:cs="arial"/>
          <w:color w:val="000000"/>
          <w:sz w:val="20"/>
          <w:lang w:val="en-US" w:eastAsia="en-US" w:bidi="ar-SA"/>
        </w:rPr>
        <w: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its completion, ViceroyEx became a subsidiary of Yamana.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By 2007, Quest Capital was the only party to the 2003 arrangement that had not participated in any significant corporate change; SpectrumGold had combined with NovaGold Resources and the shares of ViceroyEx had been acquired by Yamana.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October 2007, and on the instructions of Quest Capital, Computershare sent Mr. Sturm and Arroyo four reminder letters concerning the 2003 plan of arrangement. At this time, the deadline under the Sunset Clauses was less than two years away. The reminder letters explained that Mr. Sturm and Arroyo had not yet received the share certificates which they were entitled to acquire under the 2003 plan of arrangement and urged them to immediately exchange their Loki/Viceroy shares. Again, the deadline under the Sunset Clauses, and the consequences of not meeting the deadline, were highlighted: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date, you have not received your share certificates for your Quest common shares, or any dividends or distributions declared on such shares since the Effective Date. In order for you to receive such share certificates and dividends and distributions, pursuant to the terms of the Plan of Arrangement, as has been previously communicated to you, </w:t>
      </w:r>
      <w:r>
        <w:rPr>
          <w:rFonts w:ascii="arial" w:eastAsia="arial" w:hAnsi="arial" w:cs="arial"/>
          <w:color w:val="000000"/>
          <w:sz w:val="20"/>
          <w:u w:val="single"/>
          <w:lang w:val="en-US" w:eastAsia="en-US" w:bidi="ar-SA"/>
        </w:rPr>
        <w:t>you must deliver to Computershare Investor Services Inc. (the "Depositary"): (a) your share certificates for the Former Company shares: (b) the duly completed letter of transmittal: and (c) such other documents as the Depositary may require, to the address specified in the letter of transmittal, on or prior to June 30, 2009 (the "Deadline")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 PREVIOUSLY ADVISED, IF YOU DO NOT COMPLY WITH THE FOREGOING ON OR PRIOR TO THE DEADLINE, PURSUANT TO THE TERMS OF THE PLAN OF ARRANGEMENT, YOU WILL FORFEIT YOUR QUEST COMMON SHARES, WHICH WILL BE DEEMED TO BE SURRENDERED TO QUEST, TOGETHER WITH ALL DIVIDENDS OR DISTRIBUTIONS THEREON HELD ON YOUR BEHALF, FOR NO CONSIDERATION.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strongly urge you to send your share certificates for the Former Company shares, and the completed letter of transmittal, to the Depositary immediately...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October 2007 reminder letters enclosed further letters of transmittal which again included the "IMPORTANT NOTICE" provision, cited above. These letters referred to the deadline of June 30, 2009 and stated that if the exchange did not occur by that date, the shares would "cease" to represent a claim or right to receive Mergeco shares. While Mr. Sturm was unable to confirm whether he received these reminder letters and then discarded them, I find as a fact that such letters were sent and were received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with the initial communications in 2003 from Computershare, Mr. Sturm took no action whatsoever arising from this reminder in late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Quest Capital changed its name to the defendant Sprott Resource Lending Corp.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By 2010, Mr. Sturm was faced with the following reality:</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failed to respond to the 1996 merger by which his Loki shares were to be exchanged for Viceroy shares, despite his acknowledgement of having received materials relating to it;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failed to respond to the 2003 plan of arrangement, either by challenging its terms or accepting its outcome and acting accordingly. Yet, Mr. Sturm acknowledged having received the materials which were sent in relation to the plan of arrangement, including the Summary Circular and the later June 2003 transmittal documents from Computershare. In the face of the shareholder and court approval of the plan, he failed to tender his Loki/Viceroy shares and Arroyo's Viceroy shares so as to obtain the shares in Quest Capital, SpectrumGold and ViceroyEx by the June 30, 2009 deadline. He also failed to act notwithstanding that he was reminded of the need to tender his shares and the Sunset Clause deadline in October 2007. Mr. Sturm was aware of the ViceroyEx reorganization since he purchased other shares in ViceroyEx after the reorganization had occurred;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failed to respond to the 2004 SpectrumGold/NovaGold Resources plan of arrangement by which his Viceroy/SpectrumGold shares were to be exchanged for NovaGold Resources shares by July 2010. Mr. Sturm contends that he was not advised of this further deadline. In any event, the reason for this is likely because he had not taken steps to obtain his and Arroyo's SpectrumGold shares by the date of that arrangement;</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failed to respond to Yamana's September 2006 offer to purchase the ViceroyEx shares despite having received documentation relating to that offer. He ignored the advice that if he held rights to acquire ViceroyEx shares, he should exercise those rights to enable him to tender to the bid. He neither tendered the 65,000 ViceroyEx shares that he purchased subsequent to the plan of arrangement nor attempted to convert his Loki shares to Viceroy shares and those Viceroy shares to ViceroyEx shares, all of which would have been necessary before he could tender to the offer; and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failed to respond to Yamana's notice of compulsory acquisition respecting the 65,000 ViceroyEx shares which he had directly purchased sometime after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is somewhat vague as to what Mr. Sturm did or did not do in relation to the notices he did obtain and why he acted in the manner in which he did over the 14 year period from 1996-2010.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Sturm has a degree in mechanical engineering and he describes himself as a businessman. He states that he is a long term investor and he only infrequently engages in trading or selling his investments. He indicates that he does not have email. His usual practice is to do a "quick review" of the mail he receives in respect of his investments. From there, he decides whether it could be discarded or whether he should act on it. Somewhat inexplicably, in the face of the materials he received highlighting the deadline under the Sunset Clauses, he further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experience, apart from the issue with my Loki shares, there has never been any urgency for me to take action without being notified by registered mail or a deadline being clearly drawn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Sturm's affidavit filed in support of this application does not provide any evidence or explanation as to why he did not act on the clear instructions provided, regarding the manner in which the Loki/Viceroy shares were to be exchanged in accordance with the plans of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Despite what can only be described as Mr. Sturm's appalling lack of attention or effort to deal with his and Arroyo's shares, the manner by which this matter came to a head was somewhat serendipitous.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fall of 2010, after Mr. Sturm had failed to respond to Yamana's notice of compulsory acquisition, Yamana's transfer agent contacted him regarding his entitlement to 63,050 Yamana shares, being the exchange amount of shares for his 65,000 ViceroyEx shares that he had failed to tender despite the statutory requirement to do so. He was advised of the deadline for doing so, being March 21, 2011. Following this contact, Mr. Sturm dealt with the exchange of his ViceroyEx shares for Yamana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Also, in the fall of 2010, for the first time, and for unexplained reasons, Mr. Sturm addressed the share exchange issues that had arisen since 1996 and 2003. He submitted documents by which he sought to exchange his Loki shares and Arroyo's Viceroy shares for shares in the defendant companies. Later that fall, he was advised by a broker that these share certificates had been cancelled and that they had no value. This advice was consistent with the terms of the 2003 plan of arrangement and in particular, the Sunset Clauses, which provided that after the six year deadline on June 30, 2009, such shares would be "cease to represent a right or claim of any kind or nature" and his and Arroyo's right to receive shares or cash under the plan of arrangement was "deemed to be surrendered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July 2013, Sprott Resource Lending Corp. entered into yet another corporate reorganization with Sprott Inc. by which shareholders of Sprott Resource Lending Corp. were entitled to shares and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Despite the clear consequences set out in the Sunset Clauses, Mr. Sturm and Arroyo seek the value of the shares in the reorganized defendant companies and related benefits, such as cash entitlements and dividends, which they say they would have received if the shares had been issued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of August 2, 2013, Mr. Sturm seeks a declaration stating that he is entitled to 14,448.5 Sprott Inc. shares, 8,409 Yamana shares and 2,140 NovaGold Resources shares. Based on trading prices as of August 2, 2013, Mr. Strum claims the following: $36,410.22 (Sprott Inc. shares), $4,334.55 (Sprott Inc. cash), $83,753.64 (Yamana shares) and $6,120.40 (NovaGold Resources shares). The total value of Mr. Sturm's claims said to arise from his entitlement to shares is $130,618.81.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of August 2, 2013, Arroyo seeks a declaration that it is entitled to 710 Sprott Inc. shares, 413 Yamana shares and 105 NovaGold shares. Based on trading prices as of August 2, 2013, Arroyo claims the following: $1,789.20 (Sprott Inc. shares), $213.00 (Sprott Inc. cash), $4,113.48 (Yamana shares) and $300.30 (NovaGold Resources shares). The total value of Arroyo's claims said to arise from its entitlement to shares is $6,415.98.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addition, Mr. Sturm and Arroyo advance claims for the value of the accumulated dividends which they say they should have received in respect of the shares they now also claim. They claim the sum of $20,005.50 as of August 2,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Sturm and Arroyo's arguments are largely focused on the Sunset Clauses and can be addressed under the following headings: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Sunset Clauses are Unfair and Unenforceable;</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Constructive Trust;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 and Breach of Duty of Care;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Sunset Clauses are a Penalty/the Plaintiffs should obtain Relief from Forfeiture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Are the Sunset Clauses Unfair and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Sturm and Arroyo do not raise this as a "stand alone" argument but rather consider that a determination on this issue will be relevant to the analysis on their other claims. Nevertheless, this gives rise to the strongest argument for the defendants in that the further claims advanced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in light of the court orders granted in the arrangement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Sturm argues that shareholders have a reasonable expectation that they will not be deprived of their proprietary rights without compensation and without reasonable efforts being made by a company to ensure that a shareholder is fully aware of the proposed deprivation of their rights. Indeed, in general terms, no one could seriously argue against such a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Mr. Sturm's submissions make clear, there are well known remedies for shareholders who take the position that they have been deprived of their rights in an improper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Pursuant to s. 227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the court may grant relief where the affairs of the company are being or have been conducted, or the powers of the directors are being or have been exercised in a manner oppressive to one or more of the shareholders, or that some act of the company has been done or is threatened, or that some resolution of the shareholders has been passed or is proposed, that is unfairly prejudicial to one or more of the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Mr. Sturm refers to the well-known decision of </w:t>
      </w:r>
      <w:r>
        <w:rPr>
          <w:rFonts w:ascii="arial" w:eastAsia="arial" w:hAnsi="arial" w:cs="arial"/>
          <w:i/>
          <w:color w:val="000000"/>
          <w:sz w:val="20"/>
          <w:lang w:val="en-US" w:eastAsia="en-US" w:bidi="ar-SA"/>
        </w:rPr>
        <w:t>BCE Inc. v. 1976 Debentureholders</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2008 SCC 69</w:t>
        </w:r>
      </w:hyperlink>
      <w:r>
        <w:rPr>
          <w:rFonts w:ascii="arial" w:eastAsia="arial" w:hAnsi="arial" w:cs="arial"/>
          <w:color w:val="000000"/>
          <w:sz w:val="20"/>
          <w:lang w:val="en-US" w:eastAsia="en-US" w:bidi="ar-SA"/>
        </w:rPr>
        <w:t>, where the court discusses these remedies. In that case, the court emphasized that the remedies under the legislation seek to ensure fairness: para.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addition, Mr. Sturm refers to the ability of the court under its equitable jurisdiction to grant relief from an "unconscionable transaction" in which there is an inequality in the positions of the parties: </w:t>
      </w:r>
      <w:r>
        <w:rPr>
          <w:rFonts w:ascii="arial" w:eastAsia="arial" w:hAnsi="arial" w:cs="arial"/>
          <w:i/>
          <w:color w:val="000000"/>
          <w:sz w:val="20"/>
          <w:lang w:val="en-US" w:eastAsia="en-US" w:bidi="ar-SA"/>
        </w:rPr>
        <w:t>Smyth v. Szep</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[1992] B.C.J. No. 37</w:t>
        </w:r>
      </w:hyperlink>
      <w:r>
        <w:rPr>
          <w:rFonts w:ascii="arial" w:eastAsia="arial" w:hAnsi="arial" w:cs="arial"/>
          <w:color w:val="000000"/>
          <w:sz w:val="20"/>
          <w:lang w:val="en-US" w:eastAsia="en-US" w:bidi="ar-SA"/>
        </w:rPr>
        <w:t xml:space="preserve"> (C.A.), leave to appeal to S.C.C. refused, </w:t>
      </w:r>
      <w:hyperlink r:id="rId585" w:history="1">
        <w:r>
          <w:rPr>
            <w:rFonts w:ascii="arial" w:eastAsia="arial" w:hAnsi="arial" w:cs="arial"/>
            <w:i/>
            <w:color w:val="0077CC"/>
            <w:sz w:val="20"/>
            <w:u w:val="single"/>
            <w:shd w:val="clear" w:color="auto" w:fill="FFFFFF"/>
            <w:lang w:val="en-US" w:eastAsia="en-US" w:bidi="ar-SA"/>
          </w:rPr>
          <w:t>[1992] S.C.C.A. No. 124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What is also clear, however, is that Mr. Sturm and Arroyo do not advance any oppression claims against the defendants or any of the predecessor companies. Nor do they allege that they were parties to any unconscionable transaction with the defendants. Accordingly, despite Mr. Sturm's submissions that these remedies may be considered "by analogy", they have little relevance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this stage of Mr. Sturm's argument, it is necessary to examine the proceedings by which the Sunset Clauses were imposed. It should be emphasized at the outset that Mr. Sturm abandoned his initial argument that the 2003 plan of arrangement was of no force and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proceedings by which the 2003 plan of arrangement was imposed arose pursuant to the statutory scheme set out in s. 252 of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Pursuant to that scheme, rights in the capital of a company may be altered. In particular, s. 252(7) refers to an arrangement "to exchange shares of a reporting company held by the member for property, money or other securities of the reporting company or for property, money or securities of another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process by which affected shareholders are given notice of arrangement proceedings is set out in ss. 154, 155 and 253 of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Section 154 requires the delivery of an information circular. Section 253 requires that shareholders be given a notice of a meeting to be held to consider the arrangement and the notice (or information circular) must include a "statement ... explaining the effect of the compromise or arrangement...". Section 155 permits an exemption to be obtained in respect of the requirement for an information circular, and as noted above, Viceroy obtained such an exemption.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argue, and I agree, that this scheme of statutory disclosure provides the basis upon which corporations are to make disclosure of arrangements to shareholders. It obviously assumes, and its efficacy depends upon, shareholders reviewing and if appropriate, acting on the information that is provided to them as they deem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is unquestioned in this case that the arranging companies complied in all respects with the mandated disclosure, either in accordance with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or the Interim Order dated May 9, 2003. Again, Mr. Sturm received the documents as contemplated by these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also undisputed that the Viceroy shareholders meeting took place in a proper manner on June 18, 2003. Mr. Sturm did not attend that meeting but other shareholders did and 97% of them approved the plan of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Finally, after compliance with all formalities required by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the plan of arrangement was approved by the Final Order of Master Nitikman on June 20, 2003 after the court declared that it was "fair". The Final Order was accepted for filing by the Registrar of Companies on June 30, 2003. As such, in accordance with s. 252(1) of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the plan of arrangement "... is binding on every ... member ... and on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this commercial context, the binding nature of a plan of arrangement provides necessary certainty to companies and their investors: </w:t>
      </w:r>
      <w:r>
        <w:rPr>
          <w:rFonts w:ascii="arial" w:eastAsia="arial" w:hAnsi="arial" w:cs="arial"/>
          <w:i/>
          <w:color w:val="000000"/>
          <w:sz w:val="20"/>
          <w:lang w:val="en-US" w:eastAsia="en-US" w:bidi="ar-SA"/>
        </w:rPr>
        <w:t>Samos Investments Inc. v. Pattison</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2000 BCCA 412</w:t>
        </w:r>
      </w:hyperlink>
      <w:r>
        <w:rPr>
          <w:rFonts w:ascii="arial" w:eastAsia="arial" w:hAnsi="arial" w:cs="arial"/>
          <w:color w:val="000000"/>
          <w:sz w:val="20"/>
          <w:lang w:val="en-US" w:eastAsia="en-US" w:bidi="ar-SA"/>
        </w:rPr>
        <w:t xml:space="preserve"> at para. 59, leave to appeal to S.C.C. refused, </w:t>
      </w:r>
      <w:hyperlink r:id="rId587" w:history="1">
        <w:r>
          <w:rPr>
            <w:rFonts w:ascii="arial" w:eastAsia="arial" w:hAnsi="arial" w:cs="arial"/>
            <w:i/>
            <w:color w:val="0077CC"/>
            <w:sz w:val="20"/>
            <w:u w:val="single"/>
            <w:shd w:val="clear" w:color="auto" w:fill="FFFFFF"/>
            <w:lang w:val="en-US" w:eastAsia="en-US" w:bidi="ar-SA"/>
          </w:rPr>
          <w:t>[2000] S.C.C.A. No. 396</w:t>
        </w:r>
      </w:hyperlink>
      <w:r>
        <w:rPr>
          <w:rFonts w:ascii="arial" w:eastAsia="arial" w:hAnsi="arial" w:cs="arial"/>
          <w:color w:val="000000"/>
          <w:sz w:val="20"/>
          <w:lang w:val="en-US" w:eastAsia="en-US" w:bidi="ar-SA"/>
        </w:rPr>
        <w:t xml:space="preserve">. In Christopher C. Nicholls' text, </w:t>
      </w:r>
      <w:r>
        <w:rPr>
          <w:rFonts w:ascii="arial" w:eastAsia="arial" w:hAnsi="arial" w:cs="arial"/>
          <w:i/>
          <w:color w:val="000000"/>
          <w:sz w:val="20"/>
          <w:lang w:val="en-US" w:eastAsia="en-US" w:bidi="ar-SA"/>
        </w:rPr>
        <w:t>Mergers, Acquisitions, and Other Changes of Corporate Control</w:t>
      </w:r>
      <w:r>
        <w:rPr>
          <w:rFonts w:ascii="arial" w:eastAsia="arial" w:hAnsi="arial" w:cs="arial"/>
          <w:color w:val="000000"/>
          <w:sz w:val="20"/>
          <w:lang w:val="en-US" w:eastAsia="en-US" w:bidi="ar-SA"/>
        </w:rPr>
        <w:t>, 2d ed. (Toronto: Irwin Law, 2012) at 94, the author refers to the many advantages of plans of arrangement, including: the flexibility they provide to complete complex transactions; their comprehensiveness in that they can deal with both debt and equity; and most relevant in this case, certainty of result, in that "the parties have great comfort that their transaction cannot subsequently be impugned."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take the position that Mr. Sturm is precluded from now taking issue with the fairness of the 2003 plan of arrangement or any particular provision in that plan of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takes two forms: issue estoppel and cause of action estoppel. As summarized by Donald J. Lange in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3d ed. (Markham: LexisNexis Canada, 2010) at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their simplest definitions, issue estoppel means that a litigant is estopped because the issue has clearly been decided in the previous proceeding, and cause of action estoppel means that a litigant is estopped because the cause has passed into a matter adjudged in the previous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Issue estoppel applies where three requirements are met: the same question has been decided; the judicial decision which is said to create the estoppel was final; and the parties to the judicial decision or their privies were the same persons as the parties to the proceeding in which the estoppel was raised, or their privies: </w:t>
      </w:r>
      <w:r>
        <w:rPr>
          <w:rFonts w:ascii="arial" w:eastAsia="arial" w:hAnsi="arial" w:cs="arial"/>
          <w:i/>
          <w:color w:val="000000"/>
          <w:sz w:val="20"/>
          <w:lang w:val="en-US" w:eastAsia="en-US" w:bidi="ar-SA"/>
        </w:rPr>
        <w:t>Cliffs Over Maple Bay (Re)</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2011 BCCA 180</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fundamental issue before Master Nitikman on the application for the Final Order was the fairness of the plan of arrangement: </w:t>
      </w:r>
      <w:r>
        <w:rPr>
          <w:rFonts w:ascii="arial" w:eastAsia="arial" w:hAnsi="arial" w:cs="arial"/>
          <w:i/>
          <w:color w:val="000000"/>
          <w:sz w:val="20"/>
          <w:lang w:val="en-US" w:eastAsia="en-US" w:bidi="ar-SA"/>
        </w:rPr>
        <w:t>Samos Investments Inc.</w:t>
      </w:r>
      <w:r>
        <w:rPr>
          <w:rFonts w:ascii="arial" w:eastAsia="arial" w:hAnsi="arial" w:cs="arial"/>
          <w:color w:val="000000"/>
          <w:sz w:val="20"/>
          <w:lang w:val="en-US" w:eastAsia="en-US" w:bidi="ar-SA"/>
        </w:rPr>
        <w:t xml:space="preserve"> at para. 51. That is the same general argument now raised by Mr. Sturm although, as I will discuss below, he attempts to parse out the Sunset Clauses as the target of his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Final Order while simply titled as "Order", was a "final"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Again, it is not in dispute that Mr. Sturm, like the other shareholders, had notice of the 2003 arrangement proceedings and its possible effect on him as a Loki shareholder and on Arroyo as a Viceroy shareholder. He had notice of the shareholders' meeting and notice of the application for the Final Order. He was entitled to attend both, but chose not to do so. Parties or their privies include not only those named on the record, but also those who had an interest in the outcome and received notice of and had an opportunity to attend the prior proceeding: </w:t>
      </w:r>
      <w:r>
        <w:rPr>
          <w:rFonts w:ascii="arial" w:eastAsia="arial" w:hAnsi="arial" w:cs="arial"/>
          <w:i/>
          <w:color w:val="000000"/>
          <w:sz w:val="20"/>
          <w:lang w:val="en-US" w:eastAsia="en-US" w:bidi="ar-SA"/>
        </w:rPr>
        <w:t>Income Trust Co. v. Thatcher</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[1991] O.J. No. 1037</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1991 CarswellOnt 2638</w:t>
        </w:r>
      </w:hyperlink>
      <w:r>
        <w:rPr>
          <w:rFonts w:ascii="arial" w:eastAsia="arial" w:hAnsi="arial" w:cs="arial"/>
          <w:color w:val="000000"/>
          <w:sz w:val="20"/>
          <w:lang w:val="en-US" w:eastAsia="en-US" w:bidi="ar-SA"/>
        </w:rPr>
        <w:t xml:space="preserve"> (Gen. Div.) at para. 33, rev'd on other grounds, </w:t>
      </w:r>
      <w:hyperlink r:id="rId590" w:history="1">
        <w:r>
          <w:rPr>
            <w:rFonts w:ascii="arial" w:eastAsia="arial" w:hAnsi="arial" w:cs="arial"/>
            <w:i/>
            <w:color w:val="0077CC"/>
            <w:sz w:val="20"/>
            <w:u w:val="single"/>
            <w:shd w:val="clear" w:color="auto" w:fill="FFFFFF"/>
            <w:lang w:val="en-US" w:eastAsia="en-US" w:bidi="ar-SA"/>
          </w:rPr>
          <w:t>[1994] O.J. No. 3571</w:t>
        </w:r>
      </w:hyperlink>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1994 CarswellOnt 2551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Willson v. British Columbia (Attorney General)</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2007 BCSC 1324</w:t>
        </w:r>
      </w:hyperlink>
      <w:r>
        <w:rPr>
          <w:rFonts w:ascii="arial" w:eastAsia="arial" w:hAnsi="arial" w:cs="arial"/>
          <w:color w:val="000000"/>
          <w:sz w:val="20"/>
          <w:lang w:val="en-US" w:eastAsia="en-US" w:bidi="ar-SA"/>
        </w:rPr>
        <w:t xml:space="preserve"> at paras. 23-24.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defendants argue, with some force, that Mr. Sturm's present complaints represent a collateral attack on the Final Order approving the plan of arrangement. In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the court described the doctrine of collateral attack in that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 prevents a party from undermining previous orders issued by a court or administrative tribunal ... Generally, it is invoked where the party is attempting to challenge the validity of a binding order in the wrong forum, in the sense that the validity of the order comes into question in separate proceedings when that party has not used the direct attack procedures that were open to it (i.e., appeal or judicial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Samos Investments</w:t>
      </w:r>
      <w:r>
        <w:rPr>
          <w:rFonts w:ascii="arial" w:eastAsia="arial" w:hAnsi="arial" w:cs="arial"/>
          <w:color w:val="000000"/>
          <w:sz w:val="20"/>
          <w:lang w:val="en-US" w:eastAsia="en-US" w:bidi="ar-SA"/>
        </w:rPr>
        <w:t>, the court also addressed arguments that the plaintiff's claim represented a collateral attack on the final order approving the arrangement. The majority of the court allowed the tort action to proceed to the extent that such claims, representing actionable wrongs which arose pre-arrangement, did not represent "a direct attack on the [arrangement] order": paras. 54, 64-68. Certain claims which sought to vary the final order to the extent of allowing a claim for damages and to challenge certain resolutions which were the underpinning of the arrangement itself were disallowed: paras. 69-71, 92-95.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Again, the Final Order expressly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DECLARES that the Arrangement is fair to the Petitioners and their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Sturm argues that sunset clauses are unfair either generally, or alternatively, that these specific Sunset Clauses are unfair as they apply to him and Arroyo. Mr. Sturm also argues that the Sunset Clauses are unnecessary or "serve little commercial purpose" since even without the Sunset Clauses, the effect of the plan of arrangement would simply be to provide that former shareholders of the predecessor entities would be "entitled" to become shareholders of the post-arrangement companies "without any act or formality", as indeed the wording of the plan of arrangement in Article 2.02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Mr. Sturm relies on the court's quote in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xml:space="preserve"> at para. 31 citing Middleton J.A. in </w:t>
      </w:r>
      <w:r>
        <w:rPr>
          <w:rFonts w:ascii="arial" w:eastAsia="arial" w:hAnsi="arial" w:cs="arial"/>
          <w:i/>
          <w:color w:val="000000"/>
          <w:sz w:val="20"/>
          <w:lang w:val="en-US" w:eastAsia="en-US" w:bidi="ar-SA"/>
        </w:rPr>
        <w:t>McIntosh v. Parent</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xml:space="preserve"> (Ont. C.A.) that issue estoppel arises when "[a]ny right, question, or fact distinctly put in issue and directly determined ... cannot be re-tried in a subsequent suit between the same parties or their privies ...". The court goes on to state that the phrase "directly determined" is not construed strictly but depends on whether the issue is "necessarily bound up" or "fundamental to" the issues which were advanced or which could reasonably have been advanced at the original hearing: </w:t>
      </w:r>
      <w:r>
        <w:rPr>
          <w:rFonts w:ascii="arial" w:eastAsia="arial" w:hAnsi="arial" w:cs="arial"/>
          <w:i/>
          <w:color w:val="000000"/>
          <w:sz w:val="20"/>
          <w:lang w:val="en-US" w:eastAsia="en-US" w:bidi="ar-SA"/>
        </w:rPr>
        <w:t>Cliffs Over Maple Bay</w:t>
      </w:r>
      <w:r>
        <w:rPr>
          <w:rFonts w:ascii="arial" w:eastAsia="arial" w:hAnsi="arial" w:cs="arial"/>
          <w:color w:val="000000"/>
          <w:sz w:val="20"/>
          <w:lang w:val="en-US" w:eastAsia="en-US" w:bidi="ar-SA"/>
        </w:rPr>
        <w:t xml:space="preserve"> at paras. 31-32.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Sturm and Arroyo contend that the application of the Sunset Clauses was not "fundamental to" or "necessarily bound up" by the approval of the 2003 plan of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With respect, Mr. Sturm's submissions misconstrue the essence of the plan of arrangement as approved by the shareholders and the court, all in accordance with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The plan of arrangement must be taken as including not only the </w:t>
      </w:r>
      <w:r>
        <w:rPr>
          <w:rFonts w:ascii="arial" w:eastAsia="arial" w:hAnsi="arial" w:cs="arial"/>
          <w:i/>
          <w:color w:val="000000"/>
          <w:sz w:val="20"/>
          <w:lang w:val="en-US" w:eastAsia="en-US" w:bidi="ar-SA"/>
        </w:rPr>
        <w:t>substance</w:t>
      </w:r>
      <w:r>
        <w:rPr>
          <w:rFonts w:ascii="arial" w:eastAsia="arial" w:hAnsi="arial" w:cs="arial"/>
          <w:color w:val="000000"/>
          <w:sz w:val="20"/>
          <w:lang w:val="en-US" w:eastAsia="en-US" w:bidi="ar-SA"/>
        </w:rPr>
        <w:t xml:space="preserve"> of what was to be accomplished (i.e. the transfer of the Viceroy shares in exchange for shares in Quest Capital, ViceroyEx and SpectrumGold) but also the </w:t>
      </w:r>
      <w:r>
        <w:rPr>
          <w:rFonts w:ascii="arial" w:eastAsia="arial" w:hAnsi="arial" w:cs="arial"/>
          <w:i/>
          <w:color w:val="000000"/>
          <w:sz w:val="20"/>
          <w:lang w:val="en-US" w:eastAsia="en-US" w:bidi="ar-SA"/>
        </w:rPr>
        <w:t>procedure or means</w:t>
      </w:r>
      <w:r>
        <w:rPr>
          <w:rFonts w:ascii="arial" w:eastAsia="arial" w:hAnsi="arial" w:cs="arial"/>
          <w:color w:val="000000"/>
          <w:sz w:val="20"/>
          <w:lang w:val="en-US" w:eastAsia="en-US" w:bidi="ar-SA"/>
        </w:rPr>
        <w:t xml:space="preserve"> by which the former shares would be surrendered and replaced with the new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Sunset Clauses expressly provided for this procedure in order to confirm the new shareholdings arising from the arrangement. The complete document comprising the plan of arrangement, which of course included the Sunset Clauses, was before Master Nitikman at both the initial hearing and the final hearing. In addition, the Summary Circular which was forwarded to all shareholders, including Mr. Sturm, prior to the shareholder meeting and the final hearing, included an express reference to the Sunset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appropriateness of sunset clauses has received only scant attention from the courts. Both parties refer to </w:t>
      </w:r>
      <w:r>
        <w:rPr>
          <w:rFonts w:ascii="arial" w:eastAsia="arial" w:hAnsi="arial" w:cs="arial"/>
          <w:i/>
          <w:color w:val="000000"/>
          <w:sz w:val="20"/>
          <w:lang w:val="en-US" w:eastAsia="en-US" w:bidi="ar-SA"/>
        </w:rPr>
        <w:t>Altschuler c. Teck Resources Ltd.</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2013 QCCQ 2399</w:t>
        </w:r>
      </w:hyperlink>
      <w:r>
        <w:rPr>
          <w:rFonts w:ascii="arial" w:eastAsia="arial" w:hAnsi="arial" w:cs="arial"/>
          <w:color w:val="000000"/>
          <w:sz w:val="20"/>
          <w:lang w:val="en-US" w:eastAsia="en-US" w:bidi="ar-SA"/>
        </w:rPr>
        <w:t xml:space="preserve"> and the English translation of that decision that was obtained by the defendants. In 1965 and 1984, Mr. Altschuler had purchased 151 shares in Cominco Inc. In 2001, a plan of arrangement was approved by this court. That plan provided for the merger of Cominco and Teck Corporation by reason of which Cominco shareholders were entitled to receive cash and other shares in Teck Resources Limited. As in this case, the plan included a "sunset clause" by which the Cominco shares were to be surrendered within six years, failing which they were deemed to be surrendered for no consideration. Like Mr. Sturm, Mr. Altschuler did not act before the deadline to surrender his shares. Mr. Altschuler later sued Teck Resources claiming conversion of his shares or alternatively,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Judge Gouin dismissed the claim after reviewing the same process employed here, namely the filing of the plan, the granting of the interim order requiring notice to the shareholders, the giving of notice of the plan to shareholders and finally, the granting of the final approval by the court. Judge Gouin concluded that the claims must be dismissed since the loss of the shares arose from Mr. Altschuler's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Mr. Sturm has not referred to any authority that would question the appropriateness of sunset clauses in these types of plans of arrangement. These provisions are not addressed at all under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which is not surprising given that the legislation is not intended to unduly hamper the flexibility afforded to these types of commercial transactions. While I am unable to determine the extent to which these clauses are used in plans, the plans of arrangement in this case, both in respect of Viceroy in 2003 and SpectrumGold/NovaGold Resources in 2004, and the plan of arrangement in </w:t>
      </w:r>
      <w:r>
        <w:rPr>
          <w:rFonts w:ascii="arial" w:eastAsia="arial" w:hAnsi="arial" w:cs="arial"/>
          <w:i/>
          <w:color w:val="000000"/>
          <w:sz w:val="20"/>
          <w:lang w:val="en-US" w:eastAsia="en-US" w:bidi="ar-SA"/>
        </w:rPr>
        <w:t>Altschuler</w:t>
      </w:r>
      <w:r>
        <w:rPr>
          <w:rFonts w:ascii="arial" w:eastAsia="arial" w:hAnsi="arial" w:cs="arial"/>
          <w:color w:val="000000"/>
          <w:sz w:val="20"/>
          <w:lang w:val="en-US" w:eastAsia="en-US" w:bidi="ar-SA"/>
        </w:rPr>
        <w:t>, all stand as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This type of provision was clearly designed to </w:t>
      </w:r>
      <w:r>
        <w:rPr>
          <w:rFonts w:ascii="arial" w:eastAsia="arial" w:hAnsi="arial" w:cs="arial"/>
          <w:i/>
          <w:color w:val="000000"/>
          <w:sz w:val="20"/>
          <w:lang w:val="en-US" w:eastAsia="en-US" w:bidi="ar-SA"/>
        </w:rPr>
        <w:t>require</w:t>
      </w:r>
      <w:r>
        <w:rPr>
          <w:rFonts w:ascii="arial" w:eastAsia="arial" w:hAnsi="arial" w:cs="arial"/>
          <w:color w:val="000000"/>
          <w:sz w:val="20"/>
          <w:lang w:val="en-US" w:eastAsia="en-US" w:bidi="ar-SA"/>
        </w:rPr>
        <w:t xml:space="preserve"> shareholders of the arranging companies to tender their share certificates for the new share certificates. The underlying intent of the provision seems evident enough; namely to provide a mechanism by which the share register for the emerging company or companies can be accurately stated. This in turn allows a company to have an accurate record of its shareholdings for the purpose of communicating with its shareholders and also an accurate record of shareholders who might exercise rights against the company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validity of this purpose emerges even from the circumstances faced by Mr. Sturm. He states that he has no record of receiving any notice of the 2004 SpectrumGold/NovaGold Resources plan of arrangement and the sunset clause in that plan. Yet one might legitimately surmise that his failure to convert his Loki/Viceroy shares to SpectrumGold shares had something to do with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ability of a transfer agent to track shareholders down is not limitless. In this case, the efforts of Yamana's transfer agent in late 2010 to track Mr. Sturm down were clearly extraordinary and, as the defendants submit, may have been motivated by the commission that this transfer agent would have expected by reason of the transfer. These efforts in locating Mr. Sturm based on historical shareholder records were no doubt aided by the fact that he lived at the same address from 1969 to January 2008 and even after he moved, his brother lived at that address and forwarded correspondence to him. In our mobile society, provisions such as sunset clauses are intended to avoid requiring that such extraordinary efforts be made and in recognition that the shareholders would have been afforded a reasonable time to make what can be considered minimal efforts to effect the share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Certain Shareholders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Crew Gold Corp. v. Crew Gold Corp.</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2012 YKCA 9</w:t>
        </w:r>
      </w:hyperlink>
      <w:r>
        <w:rPr>
          <w:rFonts w:ascii="arial" w:eastAsia="arial" w:hAnsi="arial" w:cs="arial"/>
          <w:color w:val="000000"/>
          <w:sz w:val="20"/>
          <w:lang w:val="en-US" w:eastAsia="en-US" w:bidi="ar-SA"/>
        </w:rPr>
        <w:t>, the court addressed the exercise of dissent rights by shareholders who had failed to register their shares, which was a pre-condition to the exercise of such rights. The court discussed that registration is fundamental to the exercise of rights as a shareholder: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It is common ground that as a matter of law only registered shareholders are entitled to exercise dissent rights. This is not a "technicality" but a legislative requirement to the exercise of a right of dissent. </w:t>
      </w:r>
      <w:r>
        <w:rPr>
          <w:rFonts w:ascii="arial" w:eastAsia="arial" w:hAnsi="arial" w:cs="arial"/>
          <w:color w:val="000000"/>
          <w:sz w:val="20"/>
          <w:u w:val="single"/>
          <w:lang w:val="en-US" w:eastAsia="en-US" w:bidi="ar-SA"/>
        </w:rPr>
        <w:t>The burden lies with the shareholder who seeks to exercise the right of dissent to ensure this requirement is met</w:t>
      </w:r>
      <w:r>
        <w:rPr>
          <w:rFonts w:ascii="arial" w:eastAsia="arial" w:hAnsi="arial" w:cs="arial"/>
          <w:color w:val="000000"/>
          <w:sz w:val="20"/>
          <w:lang w:val="en-US" w:eastAsia="en-US" w:bidi="ar-SA"/>
        </w:rPr>
        <w:t xml:space="preserve">. Shareholders have been judicially relieved from this requirement only in exceptional circumstances where the conduct of a corporation has misled or amounted to a form of estoppel. </w:t>
      </w:r>
      <w:r>
        <w:rPr>
          <w:rFonts w:ascii="arial" w:eastAsia="arial" w:hAnsi="arial" w:cs="arial"/>
          <w:color w:val="000000"/>
          <w:sz w:val="20"/>
          <w:u w:val="single"/>
          <w:lang w:val="en-US" w:eastAsia="en-US" w:bidi="ar-SA"/>
        </w:rPr>
        <w:t>The stated rationales for this rule are to: (i) prevent uncertainty; and (ii) avoid the undue burden that would be placed on corporations if they were unable to rely on their share register to determine who is entitled to exercise dissent rights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source of this accepted rule appears to be the Manitoba Queen's Bench case of </w:t>
      </w:r>
      <w:r>
        <w:rPr>
          <w:rFonts w:ascii="arial" w:eastAsia="arial" w:hAnsi="arial" w:cs="arial"/>
          <w:i/>
          <w:color w:val="000000"/>
          <w:sz w:val="20"/>
          <w:lang w:val="en-US" w:eastAsia="en-US" w:bidi="ar-SA"/>
        </w:rPr>
        <w:t>Versatile</w:t>
      </w:r>
      <w:r>
        <w:rPr>
          <w:rFonts w:ascii="arial" w:eastAsia="arial" w:hAnsi="arial" w:cs="arial"/>
          <w:color w:val="000000"/>
          <w:sz w:val="20"/>
          <w:lang w:val="en-US" w:eastAsia="en-US" w:bidi="ar-SA"/>
        </w:rPr>
        <w:t xml:space="preserve">. There, Mr. Justice Hewak, after reviewing a number of American authorities, concluded that the term "shareholders" in the Manitoba </w:t>
      </w:r>
      <w:r>
        <w:rPr>
          <w:rFonts w:ascii="arial" w:eastAsia="arial" w:hAnsi="arial" w:cs="arial"/>
          <w:i/>
          <w:color w:val="000000"/>
          <w:sz w:val="20"/>
          <w:lang w:val="en-US" w:eastAsia="en-US" w:bidi="ar-SA"/>
        </w:rPr>
        <w:t>Corporations Act</w:t>
      </w:r>
      <w:r>
        <w:rPr>
          <w:rFonts w:ascii="arial" w:eastAsia="arial" w:hAnsi="arial" w:cs="arial"/>
          <w:color w:val="000000"/>
          <w:sz w:val="20"/>
          <w:lang w:val="en-US" w:eastAsia="en-US" w:bidi="ar-SA"/>
        </w:rPr>
        <w:t>, S.M. 1976, c. 40 referred to shareholders "of record as they appear on the register of the company books" (at 54). In denying the applicant respondent his right of dissent because his shares were not registered, Hewak J. observed that: "It would cause utter chaos in the world of commerce to hold otherwise and to expect corporations to deal with past shareholders, prospective shareholders, or simply share 'holders' in their attempt to run the business of the companies" (at 54). He explained at 55: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order for a person to have the right to dissent from any action contemplated by a corporation, he must first of all be a person who is the registered shareholder on the books of a company. </w:t>
      </w:r>
      <w:r>
        <w:rPr>
          <w:rFonts w:ascii="arial" w:eastAsia="arial" w:hAnsi="arial" w:cs="arial"/>
          <w:color w:val="000000"/>
          <w:sz w:val="20"/>
          <w:u w:val="single"/>
          <w:lang w:val="en-US" w:eastAsia="en-US" w:bidi="ar-SA"/>
        </w:rPr>
        <w:t>Only if he falls squarely within that category can he then avail himself of all the rights, duties and obligations that flow therefrom</w:t>
      </w:r>
      <w:r>
        <w:rPr>
          <w:rFonts w:ascii="arial" w:eastAsia="arial" w:hAnsi="arial" w:cs="arial"/>
          <w:color w:val="000000"/>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would be absurd to expect the corporation to go behind each registration of shares to determine whether the registered owner is really the owner or merely a trustee holding the shares in his name on behalf of someone else.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in para. 35 added; emphasis in para. 36 in </w:t>
      </w:r>
      <w:r>
        <w:rPr>
          <w:rFonts w:ascii="arial" w:eastAsia="arial" w:hAnsi="arial" w:cs="arial"/>
          <w:i/>
          <w:color w:val="000000"/>
          <w:sz w:val="20"/>
          <w:lang w:val="en-US" w:eastAsia="en-US" w:bidi="ar-SA"/>
        </w:rPr>
        <w:t>Crew Gold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defines "member" in s. 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"member"</w:t>
      </w:r>
      <w:r>
        <w:rPr>
          <w:rFonts w:ascii="arial" w:eastAsia="arial" w:hAnsi="arial" w:cs="arial"/>
          <w:color w:val="000000"/>
          <w:sz w:val="20"/>
          <w:lang w:val="en-US" w:eastAsia="en-US" w:bidi="ar-SA"/>
        </w:rPr>
        <w:t xml:space="preserve"> means a subscriber of the memorandum of a company, and includes every other person who agrees to become a member of a company </w:t>
      </w:r>
      <w:r>
        <w:rPr>
          <w:rFonts w:ascii="arial" w:eastAsia="arial" w:hAnsi="arial" w:cs="arial"/>
          <w:color w:val="000000"/>
          <w:sz w:val="20"/>
          <w:u w:val="single"/>
          <w:lang w:val="en-US" w:eastAsia="en-US" w:bidi="ar-SA"/>
        </w:rPr>
        <w:t>and whose name is entered in its register of members</w:t>
      </w:r>
      <w:r>
        <w:rPr>
          <w:rFonts w:ascii="arial" w:eastAsia="arial" w:hAnsi="arial" w:cs="arial"/>
          <w:color w:val="000000"/>
          <w:sz w:val="20"/>
          <w:lang w:val="en-US" w:eastAsia="en-US" w:bidi="ar-SA"/>
        </w:rPr>
        <w:t xml:space="preserve"> or a branch register of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defendants also point out that requiring shareholders to exchange their shares is a common feature of corporate reorganizations and consistent with the comments in </w:t>
      </w:r>
      <w:r>
        <w:rPr>
          <w:rFonts w:ascii="arial" w:eastAsia="arial" w:hAnsi="arial" w:cs="arial"/>
          <w:i/>
          <w:color w:val="000000"/>
          <w:sz w:val="20"/>
          <w:lang w:val="en-US" w:eastAsia="en-US" w:bidi="ar-SA"/>
        </w:rPr>
        <w:t>Crew Gold</w:t>
      </w:r>
      <w:r>
        <w:rPr>
          <w:rFonts w:ascii="arial" w:eastAsia="arial" w:hAnsi="arial" w:cs="arial"/>
          <w:color w:val="000000"/>
          <w:sz w:val="20"/>
          <w:lang w:val="en-US" w:eastAsia="en-US" w:bidi="ar-SA"/>
        </w:rPr>
        <w:t>, it would be important to effect the share exchange as soon as possible to confirm the shareholdings (i.e. its "members" as listed on the register) in the arranged companies. Mr. Sturm in fact concedes he was familiar with letters of transmittal.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Mr. Sturm and Arroyo further argue that their claims are not a collateral attack, as the relief sought (i.e. that the Sunset Clauses are not enforceable against them) would leave the reorganization or plan of arrangement "intact and undisturbed": </w:t>
      </w:r>
      <w:r>
        <w:rPr>
          <w:rFonts w:ascii="arial" w:eastAsia="arial" w:hAnsi="arial" w:cs="arial"/>
          <w:i/>
          <w:color w:val="000000"/>
          <w:sz w:val="20"/>
          <w:lang w:val="en-US" w:eastAsia="en-US" w:bidi="ar-SA"/>
        </w:rPr>
        <w:t>Samos Investments</w:t>
      </w:r>
      <w:r>
        <w:rPr>
          <w:rFonts w:ascii="arial" w:eastAsia="arial" w:hAnsi="arial" w:cs="arial"/>
          <w:color w:val="000000"/>
          <w:sz w:val="20"/>
          <w:lang w:val="en-US" w:eastAsia="en-US" w:bidi="ar-SA"/>
        </w:rPr>
        <w:t xml:space="preserve"> at para.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my view, I see no basis upon which Mr. Sturm can challenge the plan of arrangement by "cherry picking" only the portion of the plan of arrangement that now does not suit him. The fairness of the Sunset Clauses was inexplicably bound up in a determination of the fairness of the plan of arrangement as a whole. While Mr. Sturm focuses on the phrase "without further act or formality", when read in its entirety, Articles 2 and 4 of the plan of arrangement clearly describe that </w:t>
      </w:r>
      <w:r>
        <w:rPr>
          <w:rFonts w:ascii="arial" w:eastAsia="arial" w:hAnsi="arial" w:cs="arial"/>
          <w:i/>
          <w:color w:val="000000"/>
          <w:sz w:val="20"/>
          <w:lang w:val="en-US" w:eastAsia="en-US" w:bidi="ar-SA"/>
        </w:rPr>
        <w:t>something more</w:t>
      </w:r>
      <w:r>
        <w:rPr>
          <w:rFonts w:ascii="arial" w:eastAsia="arial" w:hAnsi="arial" w:cs="arial"/>
          <w:color w:val="000000"/>
          <w:sz w:val="20"/>
          <w:lang w:val="en-US" w:eastAsia="en-US" w:bidi="ar-SA"/>
        </w:rPr>
        <w:t xml:space="preserve"> is required to respond to the new arrangements. Article 2.02(6) specifically refers to the shareholders becoming: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entitled to receive the ... post-Arrangement securities in exchange for their pre-Arrangement securities and as a consequence of the </w:t>
      </w:r>
      <w:r>
        <w:rPr>
          <w:rFonts w:ascii="arial" w:eastAsia="arial" w:hAnsi="arial" w:cs="arial"/>
          <w:color w:val="000000"/>
          <w:sz w:val="20"/>
          <w:u w:val="single"/>
          <w:lang w:val="en-US" w:eastAsia="en-US" w:bidi="ar-SA"/>
        </w:rPr>
        <w:t>completion of the Arrangement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Accordingly, that "something more" was the need, as part of completing the arrangement, to surrender the share certificates before June 30, 2009. A plain reading of the documentation, including what Mr. Sturm received or had available to him if he wished, reveals nothing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Mr. Sturm and Arroyo also state that their claims are not a collateral attack if they do not question a decision's legal validity, but rather, on a review of the pleadings and the record, advance a claim for damages: </w:t>
      </w:r>
      <w:r>
        <w:rPr>
          <w:rFonts w:ascii="arial" w:eastAsia="arial" w:hAnsi="arial" w:cs="arial"/>
          <w:i/>
          <w:color w:val="000000"/>
          <w:sz w:val="20"/>
          <w:lang w:val="en-US" w:eastAsia="en-US" w:bidi="ar-SA"/>
        </w:rPr>
        <w:t>Leroux v. Canada Revenue Agency</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2010 BCSC 865</w:t>
        </w:r>
      </w:hyperlink>
      <w:r>
        <w:rPr>
          <w:rFonts w:ascii="arial" w:eastAsia="arial" w:hAnsi="arial" w:cs="arial"/>
          <w:color w:val="000000"/>
          <w:sz w:val="20"/>
          <w:lang w:val="en-US" w:eastAsia="en-US" w:bidi="ar-SA"/>
        </w:rPr>
        <w:t xml:space="preserve"> at para. 30, var'd </w:t>
      </w:r>
      <w:hyperlink r:id="rId597" w:history="1">
        <w:r>
          <w:rPr>
            <w:rFonts w:ascii="arial" w:eastAsia="arial" w:hAnsi="arial" w:cs="arial"/>
            <w:i/>
            <w:color w:val="0077CC"/>
            <w:sz w:val="20"/>
            <w:u w:val="single"/>
            <w:shd w:val="clear" w:color="auto" w:fill="FFFFFF"/>
            <w:lang w:val="en-US" w:eastAsia="en-US" w:bidi="ar-SA"/>
          </w:rPr>
          <w:t>2012 BCCA 63</w:t>
        </w:r>
      </w:hyperlink>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Leroux</w:t>
      </w:r>
      <w:r>
        <w:rPr>
          <w:rFonts w:ascii="arial" w:eastAsia="arial" w:hAnsi="arial" w:cs="arial"/>
          <w:color w:val="000000"/>
          <w:sz w:val="20"/>
          <w:lang w:val="en-US" w:eastAsia="en-US" w:bidi="ar-SA"/>
        </w:rPr>
        <w:t xml:space="preserve"> (C.A.), the court found that the tort claims were "distinct and separate justiciable issues":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Mr. Sturm also cites </w:t>
      </w:r>
      <w:r>
        <w:rPr>
          <w:rFonts w:ascii="arial" w:eastAsia="arial" w:hAnsi="arial" w:cs="arial"/>
          <w:i/>
          <w:color w:val="000000"/>
          <w:sz w:val="20"/>
          <w:lang w:val="en-US" w:eastAsia="en-US" w:bidi="ar-SA"/>
        </w:rPr>
        <w:t>Toronto (City) v. C.U.P.E.</w:t>
      </w:r>
      <w:r>
        <w:rPr>
          <w:rFonts w:ascii="arial" w:eastAsia="arial" w:hAnsi="arial" w:cs="arial"/>
          <w:color w:val="000000"/>
          <w:sz w:val="20"/>
          <w:lang w:val="en-US" w:eastAsia="en-US" w:bidi="ar-SA"/>
        </w:rPr>
        <w:t xml:space="preserve">, Local 79, </w:t>
      </w:r>
      <w:hyperlink r:id="rId598"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 34 in support of his argument that a claim is not a collateral attack if it challenges the correctness of the factual basis of a decision, rather than whether the decision has legal force. However, Mr. Sturm has not pointed to any issue arising from the facts upon which the decision of Master Nitikman was based, which would support a similar result here. The Sunset Clauses were always part of the plan of arrangement which was under consideration by the court and the facts clearly did and continue to support the granting of the Final Order. Mr. Sturm agrees that the Final Order is valid and effective even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Mr. Sturm and Arroyo have not provided any basis for allowing a challenge to the plan or the Sunset Clauses in these circumstances; in particular, they have not proven fraud or produced vital new evidence that could not have been obtained before the arrangement hearing: </w:t>
      </w:r>
      <w:r>
        <w:rPr>
          <w:rFonts w:ascii="arial" w:eastAsia="arial" w:hAnsi="arial" w:cs="arial"/>
          <w:i/>
          <w:color w:val="000000"/>
          <w:sz w:val="20"/>
          <w:lang w:val="en-US" w:eastAsia="en-US" w:bidi="ar-SA"/>
        </w:rPr>
        <w:t>Samos Investments</w:t>
      </w:r>
      <w:r>
        <w:rPr>
          <w:rFonts w:ascii="arial" w:eastAsia="arial" w:hAnsi="arial" w:cs="arial"/>
          <w:color w:val="000000"/>
          <w:sz w:val="20"/>
          <w:lang w:val="en-US" w:eastAsia="en-US" w:bidi="ar-SA"/>
        </w:rPr>
        <w:t xml:space="preserve"> at para.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secondary aspect of Mr. Sturm and Arroyo's argument that the Sunset Clauses are unfair is that the defendants cannot rely on the court's approval of the plan because Master Nitikman did not specifically consider the Sunset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Mr. Sturm refers to the well-known principle that on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the party seeking relief must make full and frank disclosure of all material facts and failure to do so allows the court to set the order obtained aside without regard to the merits of the application: </w:t>
      </w:r>
      <w:r>
        <w:rPr>
          <w:rFonts w:ascii="arial" w:eastAsia="arial" w:hAnsi="arial" w:cs="arial"/>
          <w:i/>
          <w:color w:val="000000"/>
          <w:sz w:val="20"/>
          <w:lang w:val="en-US" w:eastAsia="en-US" w:bidi="ar-SA"/>
        </w:rPr>
        <w:t>Evans v. Umbrella Capital LLC</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2004 BCCA 149</w:t>
        </w:r>
      </w:hyperlink>
      <w:r>
        <w:rPr>
          <w:rFonts w:ascii="arial" w:eastAsia="arial" w:hAnsi="arial" w:cs="arial"/>
          <w:color w:val="000000"/>
          <w:sz w:val="20"/>
          <w:lang w:val="en-US" w:eastAsia="en-US" w:bidi="ar-SA"/>
        </w:rPr>
        <w:t xml:space="preserve"> at para. 33. Counsel must also display a high degree of candour and diligence in making disclosure of all relevant and material facts that might influence the court's decision: </w:t>
      </w:r>
      <w:r>
        <w:rPr>
          <w:rFonts w:ascii="arial" w:eastAsia="arial" w:hAnsi="arial" w:cs="arial"/>
          <w:i/>
          <w:color w:val="000000"/>
          <w:sz w:val="20"/>
          <w:lang w:val="en-US" w:eastAsia="en-US" w:bidi="ar-SA"/>
        </w:rPr>
        <w:t>Evans</w:t>
      </w:r>
      <w:r>
        <w:rPr>
          <w:rFonts w:ascii="arial" w:eastAsia="arial" w:hAnsi="arial" w:cs="arial"/>
          <w:color w:val="000000"/>
          <w:sz w:val="20"/>
          <w:lang w:val="en-US" w:eastAsia="en-US" w:bidi="ar-SA"/>
        </w:rPr>
        <w:t xml:space="preserve"> at para. 33; </w:t>
      </w:r>
      <w:r>
        <w:rPr>
          <w:rFonts w:ascii="arial" w:eastAsia="arial" w:hAnsi="arial" w:cs="arial"/>
          <w:i/>
          <w:color w:val="000000"/>
          <w:sz w:val="20"/>
          <w:lang w:val="en-US" w:eastAsia="en-US" w:bidi="ar-SA"/>
        </w:rPr>
        <w:t>Environmental Packaging Technologies, Ltd. v. Rudjuk</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2012 BCCA 342</w:t>
        </w:r>
      </w:hyperlink>
      <w:r>
        <w:rPr>
          <w:rFonts w:ascii="arial" w:eastAsia="arial" w:hAnsi="arial" w:cs="arial"/>
          <w:color w:val="000000"/>
          <w:sz w:val="20"/>
          <w:lang w:val="en-US" w:eastAsia="en-US" w:bidi="ar-SA"/>
        </w:rPr>
        <w:t xml:space="preserve"> at paras. 44-51.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the usual fashion, notice of the application before Master Nitikman for the Interim Order was not served on shareholders and as such, it could be considered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Mason Capital Management LLC v. TELUS Corp.</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2012 BCSC 1582</w:t>
        </w:r>
      </w:hyperlink>
      <w:r>
        <w:rPr>
          <w:rFonts w:ascii="arial" w:eastAsia="arial" w:hAnsi="arial" w:cs="arial"/>
          <w:color w:val="000000"/>
          <w:sz w:val="20"/>
          <w:lang w:val="en-US" w:eastAsia="en-US" w:bidi="ar-SA"/>
        </w:rPr>
        <w:t xml:space="preserve"> at paras. 30-32.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Turning to the application for the Final Order, Mr. Sturm argues that although shareholders received notice of the hearing, the application for a final order is in most cases obtained with only the petitioner's counsel appearing and accordingly, the principles applicable to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are equally applicable. No authority for this proposition was cited and I reject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Again, Mr. Sturm received notice of both the meeting and the application for the Final Order. It was clear to anyone receiving the Mailed Materials that the petitioners were seeking approval of the plan of arrangement in its entirety, including the Sunset Clauses, which were particularly flagged or highlighted in the Summary Circular.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Sturm argues that since the petitioners were, without opposition, seeking to deprive the shareholders of their proprietary rights, this gave rise to an obligation on the part of counsel appearing to ensure that the court was fully and specifically aware of the Sunset Clauses in assessing whether the plan of arrangement was fair and reasonable. Again, no authority was put forward in support of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transcript of the proceeding before Master Nitikman does indicate that counsel for the petitioners did not specifically raise the matter of the Sunset Clauses. However, I see no reason to criticize counsel for taking that course of action. The level of detail disclosed on any particular application will depend on the circumstances and will also be dictated by the approach of the presider. No doubt the substantial documentation relating to the plan contained many details of significance and it would be unrealistic to require counsel to review the documentation with the court in great detail, particularly where no opposition was raised and the court did not require it. What is clear is that the plan called for an exchange of shares and implicitly, the Master would have known that he was approving the means by which that was proposed to be accomplished.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might add that this application for the Final Order came on the heels of a shareholders' meeting which indicated overwhelming support for the plan and therefore stood as a significant endorsement by that stakeholder group in favour of the plan: </w:t>
      </w:r>
      <w:r>
        <w:rPr>
          <w:rFonts w:ascii="arial" w:eastAsia="arial" w:hAnsi="arial" w:cs="arial"/>
          <w:i/>
          <w:color w:val="000000"/>
          <w:sz w:val="20"/>
          <w:lang w:val="en-US" w:eastAsia="en-US" w:bidi="ar-SA"/>
        </w:rPr>
        <w:t>TELUS Corporation (Re)</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2012 BCSC 1919</w:t>
        </w:r>
      </w:hyperlink>
      <w:r>
        <w:rPr>
          <w:rFonts w:ascii="arial" w:eastAsia="arial" w:hAnsi="arial" w:cs="arial"/>
          <w:color w:val="000000"/>
          <w:sz w:val="20"/>
          <w:lang w:val="en-US" w:eastAsia="en-US" w:bidi="ar-SA"/>
        </w:rPr>
        <w:t xml:space="preserve"> at para. 433.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If any shareholder, including Mr. Sturm, wished to challenge the inclusion of the Sunset Clauses in the plan of arrangement, he or she need only have attended at the meeting. Mr. Sturm did not register any objection to the Sunset Clause, either at the meeting or otherwise. Nor is there any indication that any shareholder, including Mr. Sturm, registered an objection to the Sunset Clauses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Perhaps the most convincing response to criticisms of counsel at the time of the final hearing is Mr. Sturm's own concession that "Master Nitikman's order clearly has legal force". At no time did Mr. Sturm seek to set aside the Master's Final Order, nor did he seek to appeal it: </w:t>
      </w:r>
      <w:r>
        <w:rPr>
          <w:rFonts w:ascii="arial" w:eastAsia="arial" w:hAnsi="arial" w:cs="arial"/>
          <w:i/>
          <w:color w:val="000000"/>
          <w:sz w:val="20"/>
          <w:lang w:val="en-US" w:eastAsia="en-US" w:bidi="ar-SA"/>
        </w:rPr>
        <w:t>Samos Investments</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conclusion, the Final Order of Master Nitikman stands as this court's pronouncement as to the fairness and reasonableness of the 2003 plan of arrangement. It was pronounced after due notice was given to all shareholders, including Mr. Sturm and Arroyo. Mr. Sturm took no objection to the granting of that Final Order and counsel made appropriate submissions on the terms of the plan before the Master. No appeal or application to set the Final Order aside has been made. Accordingly, the legal result from the legislation is that the arrangement is "binding" on the petitioner companies and shareholders, including Mr. Sturm and Arroyo.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present claims of Mr. Sturm and Arroyo that the Sunset Clauses are unfair for various reasons do, in substance, challenge the very conclusion of the court and the legal effect of these successfully concluded proceedings; namely, that the plan of arrangement, which clearly included the Sunset Clauses, was fair and reasonable, that the plan was approved and that the plan of arrangement is binding.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Mr. Sturm argues in the alternative that any collateral attack issues can only be said to apply to those aspects of his and Arroyo's claims which challenge the effectiveness of the Sunset Clauses. He says that the remainder of their claims such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unjust enrichment, penalty/relief from forfeiture and constructive trust do not impugn the plan of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do not agree. The circumstances of the plan of arrangement, the approval process and the binding nature of the plan, in accordance with the Final Order, are antithetical to the other claims presently advanced by Mr. Sturm. Simply put, if Mr. Sturm and Arroyo are bound by the plan of arrangement and the Sunset Clauses by that process, then how could they possibly claim:</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were unjustly enriched by reason of the court sanctioned arrangement, which included the Sunset Clauses, and which was declared to be "fair" and had "binding" effect?;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hold the shares that Mr. Sturm and Arroyo should have obtained by way of a constructive trust for them in face of the court sanctioned and binding effect of the Sunset Clauses that they were deemed to have been surrendered to Quest Capital in June 2009?;</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were negligent in giving effect to the plan in the face of a court approved process by which the companies and the transfer agent were to communicate with the shareholders about the exchange process and their adherence to that approved process?;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effect of the Sunset Clauses were a penalty or a forfeiture when by law, such provisions were declared to be "fair" and were binding on the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my view, the inescapable conclusion is that these other claims of Mr. Sturm and Arroyo, if successful, would undermine the binding effect of the plan of arrangement under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As such, these other claims of Mr. Sturm and Arroyo constitute a direct and collateral attack because they directly question the validity of the Final Order approving the plan of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Though my conclusion on the collateral attack issue is sufficient to dispose of this action, both parties made substantive arguments on all issues in the alternative. As such, I will address each of the claims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Was there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requirements for equitable relief on the basis of unjust enrichment are: that the defendants were enriched, that the plaintiffs were correspondingly deprived and that there was no juristic reason for the enrichment: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Pacific National Investments Ltd. v. Victoria (City)</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2004 SCC 75</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There does not appear to be any controversy that Mr. Sturm and Arroyo have been deprived of their shares and the rights that flow from those shares. In addition, there does not seem to be any doubt that the other shareholders of the various companies have been enriched by Mr. Sturm and Arroyo's failure to take action in respect of these shares since the value of the other shareholders' shareholdings would have been enhanced by the surrender of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issue as to whether the </w:t>
      </w:r>
      <w:r>
        <w:rPr>
          <w:rFonts w:ascii="arial" w:eastAsia="arial" w:hAnsi="arial" w:cs="arial"/>
          <w:i/>
          <w:color w:val="000000"/>
          <w:sz w:val="20"/>
          <w:lang w:val="en-US" w:eastAsia="en-US" w:bidi="ar-SA"/>
        </w:rPr>
        <w:t>defendants</w:t>
      </w:r>
      <w:r>
        <w:rPr>
          <w:rFonts w:ascii="arial" w:eastAsia="arial" w:hAnsi="arial" w:cs="arial"/>
          <w:color w:val="000000"/>
          <w:sz w:val="20"/>
          <w:lang w:val="en-US" w:eastAsia="en-US" w:bidi="ar-SA"/>
        </w:rPr>
        <w:t xml:space="preserve"> have been enriched is, however, another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Sturm contends that the cancellation of shares by the defendants will cause each of the defendants to have a lower stated capital. The cancellation of Mr. Sturm and Arroyo's interests without compensation are said to cause the defendants to be able to report a more concentrated share base than they would otherwise be entitled to, with such concentration of shares resulting in the defendants being able to report higher earnings per share. This is said to be a benefit to the defendants which is over and above the benefit that accrues to the other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Whether this is a "benefit" and what that "benefit" to the defendants entails is anything but clear. However, in my view, it is not necessary to address that issue as the matter is more easily decided under the heading of juristic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Juristic reason is addressed in a two-part analysis. Firstly, the plaintiff must show that no juristic reason from an established category exists to deny recovery. The established categories include a contract, a disposition of law, a donative intent, and other valid common law, equitable or statutory obligations. If there is no juristic reason from an established category, then the plaintiff has made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unjust enrichment. This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is rebuttable if the defendant can show a reason why the enrichment should be retained: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at paras. 44-45; </w:t>
      </w:r>
      <w:r>
        <w:rPr>
          <w:rFonts w:ascii="arial" w:eastAsia="arial" w:hAnsi="arial" w:cs="arial"/>
          <w:i/>
          <w:color w:val="000000"/>
          <w:sz w:val="20"/>
          <w:lang w:val="en-US" w:eastAsia="en-US" w:bidi="ar-SA"/>
        </w:rPr>
        <w:t>Pacific National Investments Ltd.</w:t>
      </w:r>
      <w:r>
        <w:rPr>
          <w:rFonts w:ascii="arial" w:eastAsia="arial" w:hAnsi="arial" w:cs="arial"/>
          <w:color w:val="000000"/>
          <w:sz w:val="20"/>
          <w:lang w:val="en-US" w:eastAsia="en-US" w:bidi="ar-SA"/>
        </w:rPr>
        <w:t xml:space="preserve"> at paras. 23-25.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my view, the proceedings under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and the plan of arrangement, as approved and sanctioned by the Final Order, provide a juristic reason for any enrichment, as a "disposition of law" or "statutory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Supreme Court of Canada stated in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that "valid legislation can provide a juristic reason which bars recovery in restitution":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As discussed above, pursuant to s. 252(1) of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once approved by the court and entered by the Registrar of Companies, the plan of arrangement, including any sunset clause, becomes "binding" on the participating companies and their shareholders. In </w:t>
      </w:r>
      <w:r>
        <w:rPr>
          <w:rFonts w:ascii="arial" w:eastAsia="arial" w:hAnsi="arial" w:cs="arial"/>
          <w:i/>
          <w:color w:val="000000"/>
          <w:sz w:val="20"/>
          <w:lang w:val="en-US" w:eastAsia="en-US" w:bidi="ar-SA"/>
        </w:rPr>
        <w:t>L.S. v. E.P.</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1999 BCCA 393</w:t>
        </w:r>
      </w:hyperlink>
      <w:r>
        <w:rPr>
          <w:rFonts w:ascii="arial" w:eastAsia="arial" w:hAnsi="arial" w:cs="arial"/>
          <w:color w:val="000000"/>
          <w:sz w:val="20"/>
          <w:lang w:val="en-US" w:eastAsia="en-US" w:bidi="ar-SA"/>
        </w:rPr>
        <w:t xml:space="preserve"> at para. 25, leave to appeal to S.C.C. refused </w:t>
      </w:r>
      <w:hyperlink r:id="rId605" w:history="1">
        <w:r>
          <w:rPr>
            <w:rFonts w:ascii="arial" w:eastAsia="arial" w:hAnsi="arial" w:cs="arial"/>
            <w:i/>
            <w:color w:val="0077CC"/>
            <w:sz w:val="20"/>
            <w:u w:val="single"/>
            <w:shd w:val="clear" w:color="auto" w:fill="FFFFFF"/>
            <w:lang w:val="en-US" w:eastAsia="en-US" w:bidi="ar-SA"/>
          </w:rPr>
          <w:t>[1999] S.C.C.A. No. 444</w:t>
        </w:r>
      </w:hyperlink>
      <w:r>
        <w:rPr>
          <w:rFonts w:ascii="arial" w:eastAsia="arial" w:hAnsi="arial" w:cs="arial"/>
          <w:color w:val="000000"/>
          <w:sz w:val="20"/>
          <w:lang w:val="en-US" w:eastAsia="en-US" w:bidi="ar-SA"/>
        </w:rPr>
        <w:t>, the court recognized that a valid court order from which no appeal is taken, and which is final and binding on the parties, also constitutes a juristic reason for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Altschuler</w:t>
      </w:r>
      <w:r>
        <w:rPr>
          <w:rFonts w:ascii="arial" w:eastAsia="arial" w:hAnsi="arial" w:cs="arial"/>
          <w:color w:val="000000"/>
          <w:sz w:val="20"/>
          <w:lang w:val="en-US" w:eastAsia="en-US" w:bidi="ar-SA"/>
        </w:rPr>
        <w:t xml:space="preserve">, the court also rejected a claim for unjust enrichment in the same situation as we have here, finding under the </w:t>
      </w:r>
      <w:r>
        <w:rPr>
          <w:rFonts w:ascii="arial" w:eastAsia="arial" w:hAnsi="arial" w:cs="arial"/>
          <w:i/>
          <w:color w:val="000000"/>
          <w:sz w:val="20"/>
          <w:lang w:val="en-US" w:eastAsia="en-US" w:bidi="ar-SA"/>
        </w:rPr>
        <w:t>Civil Code of Québec</w:t>
      </w:r>
      <w:r>
        <w:rPr>
          <w:rFonts w:ascii="arial" w:eastAsia="arial" w:hAnsi="arial" w:cs="arial"/>
          <w:color w:val="000000"/>
          <w:sz w:val="20"/>
          <w:lang w:val="en-US" w:eastAsia="en-US" w:bidi="ar-SA"/>
        </w:rPr>
        <w:t xml:space="preserve"> that there was a "justification" as Mr. Altschuler had been negligent: paras.19-21.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Moreover, even if Mr. Sturm and Arroyo had established a </w:t>
      </w:r>
      <w:r>
        <w:rPr>
          <w:rFonts w:ascii="arial" w:eastAsia="arial" w:hAnsi="arial" w:cs="arial"/>
          <w:i/>
          <w:color w:val="000000"/>
          <w:sz w:val="20"/>
          <w:lang w:val="en-US" w:eastAsia="en-US" w:bidi="ar-SA"/>
        </w:rPr>
        <w:t>prima face</w:t>
      </w:r>
      <w:r>
        <w:rPr>
          <w:rFonts w:ascii="arial" w:eastAsia="arial" w:hAnsi="arial" w:cs="arial"/>
          <w:color w:val="000000"/>
          <w:sz w:val="20"/>
          <w:lang w:val="en-US" w:eastAsia="en-US" w:bidi="ar-SA"/>
        </w:rPr>
        <w:t xml:space="preserve"> case, the plan of arrangement itself constitutes "another reason to deny recovery":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A plaintiff's failure to protect his interests in a timely fashion and the ensuing interests that arise as a result can both constitute a juristic reason for a court to exercise its discretion to deny equitable relief: see for example, </w:t>
      </w:r>
      <w:r>
        <w:rPr>
          <w:rFonts w:ascii="arial" w:eastAsia="arial" w:hAnsi="arial" w:cs="arial"/>
          <w:i/>
          <w:color w:val="000000"/>
          <w:sz w:val="20"/>
          <w:lang w:val="en-US" w:eastAsia="en-US" w:bidi="ar-SA"/>
        </w:rPr>
        <w:t>Caterpillar Financial Services v. 360networks Corp.</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2007 BCCA 14</w:t>
        </w:r>
      </w:hyperlink>
      <w:r>
        <w:rPr>
          <w:rFonts w:ascii="arial" w:eastAsia="arial" w:hAnsi="arial" w:cs="arial"/>
          <w:color w:val="000000"/>
          <w:sz w:val="20"/>
          <w:lang w:val="en-US" w:eastAsia="en-US" w:bidi="ar-SA"/>
        </w:rPr>
        <w:t xml:space="preserve"> at paras. 65-66.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conclusion, Mr. Sturm and Arroyo have failed to make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unjust enrichment, as there were juristic reasons under established categories for any enrichment. In the alternative, if need be, I would have similarly rejected this claim in the second part of the analysis given the abject failure of Mr. Sturm and Arroyo to protect their interests in a timely manner in these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If the Sunset Clauses are valid, are Mr. Sturm and Arroyo's shares held on a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the alternative, Mr. Sturm and Arroyo seek a declaration that the effect of the plan of arrangement gives rise to a constructive trust such that the defendants hold the shares and related benefits such as dividends in trust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A constructive trust is a remedy frequently granted in relation to providing relief where there is unjust enrichment and corresponding deprivation: see </w:t>
      </w:r>
      <w:r>
        <w:rPr>
          <w:rFonts w:ascii="arial" w:eastAsia="arial" w:hAnsi="arial" w:cs="arial"/>
          <w:i/>
          <w:color w:val="000000"/>
          <w:sz w:val="20"/>
          <w:lang w:val="en-US" w:eastAsia="en-US" w:bidi="ar-SA"/>
        </w:rPr>
        <w:t>Soulos v. Korkontzilas</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xml:space="preserve">, para. 20. More to the point here, a constructive trust is granted where "there is reason to grant to the plaintiff the additional rights that flow from recognition of a right of property":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at 678.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Sturm and Arroyo claim a continuing property interest in the shares which are said to now be held by the defendants "in trust" for them. Accordingly, they seek to enjoin the defendants from retaining "their property" for themselves. Their argument is premised on the contention that such a trust arose either expressly by reason of the plan of arrangement, which created the entitlement to such shares, or alternatively, as a constructive trust arising by operation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Firstly, I see no basis upon which any trust relationship can be discerned from the plan of arrangement itself. The approval of the plan did not result in a transfer of the share rights held by Mr. Sturm and Arroyo to the defendants nor did it provide that the defendants somehow held, in any fashion, these shares or dividends on behalf of Mr. Sturm and Arroyo. During the time frame before the deadline in the Sunset Clauses, the Loki and Viceroy shares continued to represent property rights which were at the full disposal of Mr. Sturm and Arroyo, albeit subject to the plan of arrangement. The plan of arrangement clearly indicated that the shareholders were required to exchange their share certificates within the six years provided, </w:t>
      </w:r>
      <w:r>
        <w:rPr>
          <w:rFonts w:ascii="arial" w:eastAsia="arial" w:hAnsi="arial" w:cs="arial"/>
          <w:i/>
          <w:color w:val="000000"/>
          <w:sz w:val="20"/>
          <w:lang w:val="en-US" w:eastAsia="en-US" w:bidi="ar-SA"/>
        </w:rPr>
        <w:t>after which</w:t>
      </w:r>
      <w:r>
        <w:rPr>
          <w:rFonts w:ascii="arial" w:eastAsia="arial" w:hAnsi="arial" w:cs="arial"/>
          <w:color w:val="000000"/>
          <w:sz w:val="20"/>
          <w:lang w:val="en-US" w:eastAsia="en-US" w:bidi="ar-SA"/>
        </w:rPr>
        <w:t xml:space="preserve"> they would "cease to represent a right or claim of any kind or nature" of such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contrast, the plan of arrangement did provide for a limited trust, in relation to "Small Lot Shareholders". These shareholders were only entitled to cash, unless they elected to receive shares. In order to receive the cash, these shareholders had to deliver their shares and letters of transmittal. In the meantime, Mergeco/Quest Capital funded a trust account from which cash payments were made to these shareholders. However, even so, this right to cash from the trust account was only effective for the six year period from the Effective Date provided by the Sunset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There is also no reference in the plan of arrangement to the defendants (or their predecessors) holding any dividends declared prior to the Sunset Clause deadline in trust for shareholders. To the contrary, documents show that dividends were declared to "shareholders of record" from time to time. Even if there was a right to any unclaimed dividends, the effect of the Sunset Clauses was also to expressly deem the surrender of such amounts. Accordingly, I reject that any express trust relationship arose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Nor is there any basis upon which to imply any trust relationship arising from the plan of arrangement. Mr. Sturm argues that the defendants (and their predecessor companies before them) immediately came to hold trust property (i.e. the new shares) on behalf of the shareholders of the arranging companies. However, as I have stated above, Mr. Sturm and Arroyo continued to be in full possession and control of the shares they held. In addition, in relation to the "new" shares, there was no other "property", held in trust or otherwise, since these shares in Mergeco/Quest Capital, ViceroyEx and SpectrumGold had not been issued - because Mr. Sturm had not done what he was required to do. For this reason, I reject Mr. Sturm's contention that the defendants held in any way "new" shares and accrued dividends for the benefit of those persons who had yet to tender their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To put this in trust terms, there was no subject matter of any trust. Nor is there any basis, implied or otherwise, upon which to conclude that the intention between the parties to the plan of arrangement was to establish any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Secondly, for the reasons already stated above, I do not consider that the words in Article 2 of the plan, that Mr. Sturm and Arroyo were "entitled" to be shareholders in the arranged companies "without any act or formality", elevate these arrangements to that of a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Thirdly, there is nothing in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that might assist as a basis upon which to imply a trust. Section 255 of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deals with compulsory acquisitions and provides that on the expiry of two months after notice of compulsory acquisition is given, an acquiring company must send a copy of the notice to the subject company and pay to the subject company the amount representing the price payable by the acquiring company for the shares it is entitled to acquire. In completing these procedures, the subject company must pay this sum into a separate bank account and hold it "on trust" for the persons entitled to it, i.e., the shareholders of the subject company who did not accept the acquiring company's offer to purchase, and who the acquiring company is compelling to dispose of their shares: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ss. 255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There are no corresponding provisions in relation to plans of arrangement under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s. 252 requiring companies participating in such a plan to hold shares or funds "on trust" for their shareholders. As noted by the defendants, there are "different considerations and different approaches" as between a plan of arrangement and a takeover bid which dictate "greater protection" to shareholders in the latter situation since there is not necessarily any court oversight: </w:t>
      </w:r>
      <w:r>
        <w:rPr>
          <w:rFonts w:ascii="arial" w:eastAsia="arial" w:hAnsi="arial" w:cs="arial"/>
          <w:i/>
          <w:color w:val="000000"/>
          <w:sz w:val="20"/>
          <w:lang w:val="en-US" w:eastAsia="en-US" w:bidi="ar-SA"/>
        </w:rPr>
        <w:t>Gold Texas Resources Ltd. (Re)</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[1989] B.C.J. No. 167</w:t>
        </w:r>
      </w:hyperlink>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1989 CarswellBC 1397</w:t>
        </w:r>
      </w:hyperlink>
      <w:r>
        <w:rPr>
          <w:rFonts w:ascii="arial" w:eastAsia="arial" w:hAnsi="arial" w:cs="arial"/>
          <w:color w:val="000000"/>
          <w:sz w:val="20"/>
          <w:lang w:val="en-US" w:eastAsia="en-US" w:bidi="ar-SA"/>
        </w:rPr>
        <w:t xml:space="preserve"> (S.C.) at paras. 24-25 citing </w:t>
      </w:r>
      <w:r>
        <w:rPr>
          <w:rFonts w:ascii="arial" w:eastAsia="arial" w:hAnsi="arial" w:cs="arial"/>
          <w:i/>
          <w:color w:val="000000"/>
          <w:sz w:val="20"/>
          <w:lang w:val="en-US" w:eastAsia="en-US" w:bidi="ar-SA"/>
        </w:rPr>
        <w:t>Re National Bank Ltd.</w:t>
      </w:r>
      <w:r>
        <w:rPr>
          <w:rFonts w:ascii="arial" w:eastAsia="arial" w:hAnsi="arial" w:cs="arial"/>
          <w:color w:val="000000"/>
          <w:sz w:val="20"/>
          <w:lang w:val="en-US" w:eastAsia="en-US" w:bidi="ar-SA"/>
        </w:rPr>
        <w:t>, [1966] W.L.R. 819.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reject this argument of Mr. Sturm and Arroyo and find that no express or implied trust relationship arose, nor is there any basis upon which the court should impose a constructive trust.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Was there a Duty of Care and a Breach of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the further alternative, Mr. Sturm argues that the defendants owed him and Arroyo a duty of care and that they breached this duty of care. This allegation is founded on the notion that the defendants were required to:</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Mr. Sturm and Arroyo were aware of and understood the purpose and effect of the Sunset Clauses; or</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minimum, make attempts or efforts prior to the deadline to ensure that the shareholders are aware that they are going to be deprived of their proprietary rights as a result of the Sunset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If such a duty of care is established, Mr. Sturm and Arroyo contend that the defendants were required to take steps beyond what were taken, as outlined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test for determining whether a person owes a duty of care involves two questions:</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relationship between the parties disclose sufficient foreseeability and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and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are there any residual policy considerations which ought to negate or limit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at paras. 19-20, citing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and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Knight v. Imperial Tobacco Canada Ltd.</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2009 BCCA 541</w:t>
        </w:r>
      </w:hyperlink>
      <w:r>
        <w:rPr>
          <w:rFonts w:ascii="arial" w:eastAsia="arial" w:hAnsi="arial" w:cs="arial"/>
          <w:color w:val="000000"/>
          <w:sz w:val="20"/>
          <w:lang w:val="en-US" w:eastAsia="en-US" w:bidi="ar-SA"/>
        </w:rPr>
        <w:t xml:space="preserve"> at paras. 39-42, rev'd on other grounds </w:t>
      </w:r>
      <w:hyperlink r:id="rId44"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applying the first branch of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test, what is required is that it be reasonably foreseeable that the actions of a person would cause harm to the victim: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Further, in addressing proximity, a duty of care will only be imposed where there is a "close and direct relationship of proximity or neighbourhood" and where the imposition of legal liability would be "appropriate"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23) or "just and fair"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34). Factors that will be considered include "expectations, representations, reliance and property or other interests involved"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24 citing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noted by the defendants, only one of the defendants (Quest Capital, now Sprott Inc.) participated in the plan of arrangement. The other two defendants entered into subsequent transactions with companies which were party to the 2003 plan of arrangement - NovaGold through a statutory plan of arrangement and Yamana through a takeover bid followed by a compulsory acquisition. Mr. Sturm's arguments do not address how such a proximate relationship could have arisen between him, Arroyo and these other companies sufficient to give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my view, the crux of the issue is whether it is possible to conclude that a duty of care arose in relation to Mr. Sturm and Arroyo, to do more than what was required under the applicable legislation and court orders in implementing the plan of arrangement. In other words, the issue as I see it is not whether a duty existed at least in respect of the parties to the plan of arrangement, including Mr. Sturm and Arroyo, but the </w:t>
      </w:r>
      <w:r>
        <w:rPr>
          <w:rFonts w:ascii="arial" w:eastAsia="arial" w:hAnsi="arial" w:cs="arial"/>
          <w:i/>
          <w:color w:val="000000"/>
          <w:sz w:val="20"/>
          <w:lang w:val="en-US" w:eastAsia="en-US" w:bidi="ar-SA"/>
        </w:rPr>
        <w:t>extent</w:t>
      </w:r>
      <w:r>
        <w:rPr>
          <w:rFonts w:ascii="arial" w:eastAsia="arial" w:hAnsi="arial" w:cs="arial"/>
          <w:color w:val="000000"/>
          <w:sz w:val="20"/>
          <w:lang w:val="en-US" w:eastAsia="en-US" w:bidi="ar-SA"/>
        </w:rPr>
        <w:t xml:space="preserve"> of that duty of care. I will stress again that there is no suggestion that the arranging parties and their successors failed to comply in any respect with the statutory requirements and the court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It appears to be well taken that it was reasonably foreseeable that Mr. Sturm and Arroyo, as either Viceroy shareholders or as those entitled to become Viceroy shareholders, could be affected by the plan of arrangement. Further, when the plan of arrangement was being proposed, approved and then implemented, I also accept that there was a proximate relationship between them and the arranging parties, sufficient to satisfy the first branch of the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test. Nevertheless, the rights of Mr. Sturm and Arroyo to receive notification as to how their share rights were going to be affected were dictated by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in the first instance and also supplemented by Master Nitikman's Interim Order in terms of what notice and how such notice was to be given to Mr. Sturm and Arroyo.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Mr. Sturm and Arroyo argue by analogy that in other contexts there are significant safeguards to ensure that shareholders are treated fairly and equitably. Reference is made to various provisions in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xml:space="preserve"> (Parts 12, 16, 16.1) and also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(Part 8, s. 227 and Division 2). Further analogies in relation to proceedings where people are deprived of property are said to arise in relation to the specific schemes in foreclosure actions, expropriations under the </w:t>
      </w:r>
      <w:r>
        <w:rPr>
          <w:rFonts w:ascii="arial" w:eastAsia="arial" w:hAnsi="arial" w:cs="arial"/>
          <w:i/>
          <w:color w:val="000000"/>
          <w:sz w:val="20"/>
          <w:lang w:val="en-US" w:eastAsia="en-US" w:bidi="ar-SA"/>
        </w:rPr>
        <w:t>Expropriation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125</w:t>
      </w:r>
      <w:r>
        <w:rPr>
          <w:rFonts w:ascii="arial" w:eastAsia="arial" w:hAnsi="arial" w:cs="arial"/>
          <w:color w:val="000000"/>
          <w:sz w:val="20"/>
          <w:lang w:val="en-US" w:eastAsia="en-US" w:bidi="ar-SA"/>
        </w:rPr>
        <w:t xml:space="preserve"> and procedures under the </w:t>
      </w:r>
      <w:r>
        <w:rPr>
          <w:rFonts w:ascii="arial" w:eastAsia="arial" w:hAnsi="arial" w:cs="arial"/>
          <w:i/>
          <w:color w:val="000000"/>
          <w:sz w:val="20"/>
          <w:lang w:val="en-US" w:eastAsia="en-US" w:bidi="ar-SA"/>
        </w:rPr>
        <w:t>Unclaimed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1999, c. 48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With respect, I fail to see that any of these other legislative provisions and the specific procedures mandated by them have any application to this matter. The procedures under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s. 252 are separate and distinct and they expressly provide, subject to the court's approval, for the notice and manner of notice to be given to shareholders, including Mr. Sturm and Arroyo. As a shareholder voluntarily entering the market, Mr. Sturm must implicitly have agreed and acknowledged that his shareholdings could potentially be subject to proceedings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In terms of the factors that would assist in defining any duty of care arising from the relationship between them, Mr. Sturm's </w:t>
      </w:r>
      <w:r>
        <w:rPr>
          <w:rFonts w:ascii="arial" w:eastAsia="arial" w:hAnsi="arial" w:cs="arial"/>
          <w:i/>
          <w:color w:val="000000"/>
          <w:sz w:val="20"/>
          <w:lang w:val="en-US" w:eastAsia="en-US" w:bidi="ar-SA"/>
        </w:rPr>
        <w:t>expectations</w:t>
      </w:r>
      <w:r>
        <w:rPr>
          <w:rFonts w:ascii="arial" w:eastAsia="arial" w:hAnsi="arial" w:cs="arial"/>
          <w:color w:val="000000"/>
          <w:sz w:val="20"/>
          <w:lang w:val="en-US" w:eastAsia="en-US" w:bidi="ar-SA"/>
        </w:rPr>
        <w:t xml:space="preserve"> could only have been that the arranging parties would comply with the law (i.e.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that they would obtain the necessary court orders as required by the legislation and that they would act in accordance with both of those. Further, there is nothing in the legislation or the plan of arrangement and related documents that could be considered as any </w:t>
      </w:r>
      <w:r>
        <w:rPr>
          <w:rFonts w:ascii="arial" w:eastAsia="arial" w:hAnsi="arial" w:cs="arial"/>
          <w:i/>
          <w:color w:val="000000"/>
          <w:sz w:val="20"/>
          <w:lang w:val="en-US" w:eastAsia="en-US" w:bidi="ar-SA"/>
        </w:rPr>
        <w:t>representation</w:t>
      </w:r>
      <w:r>
        <w:rPr>
          <w:rFonts w:ascii="arial" w:eastAsia="arial" w:hAnsi="arial" w:cs="arial"/>
          <w:color w:val="000000"/>
          <w:sz w:val="20"/>
          <w:lang w:val="en-US" w:eastAsia="en-US" w:bidi="ar-SA"/>
        </w:rPr>
        <w:t xml:space="preserve"> that those parties would do more than what was required to be done by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and the court orders, including even sending reminder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addition, the </w:t>
      </w:r>
      <w:r>
        <w:rPr>
          <w:rFonts w:ascii="arial" w:eastAsia="arial" w:hAnsi="arial" w:cs="arial"/>
          <w:i/>
          <w:color w:val="000000"/>
          <w:sz w:val="20"/>
          <w:lang w:val="en-US" w:eastAsia="en-US" w:bidi="ar-SA"/>
        </w:rPr>
        <w:t>reliance</w:t>
      </w:r>
      <w:r>
        <w:rPr>
          <w:rFonts w:ascii="arial" w:eastAsia="arial" w:hAnsi="arial" w:cs="arial"/>
          <w:color w:val="000000"/>
          <w:sz w:val="20"/>
          <w:lang w:val="en-US" w:eastAsia="en-US" w:bidi="ar-SA"/>
        </w:rPr>
        <w:t xml:space="preserve"> factor here does not favour Mr. Sturm and Arroyo. As Mr. Sturm himself notes, the majority of investors choose to hold shares through intermediaries who assist in the administration of shares and who would respond to such notices as were sent in this case. In that way, the services provided assist in the timely response to transactions such as a plan of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Sturm knew that shares in public companies can be held through intermediaries, such as a brokerage house or a bank. Yet, he elected to have himself and Arroyo hold the shares directly. He admitted on discovery that if he had hired an intermediary such as a brokerage house, they would have assisted him in handling his shareholdings and responding to deadlines. He understood that by having shares registered in his and Arroyo's name, correspondence concerning their shares would come directly to him and it would be for him alone to respond if he decided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Sturm chose not to engage a broker to assist in this respect. While he reasonably expected to obtain notice of any transaction which affected his shareholdings, he did receive such notice and that notice was clear in what had to be done and by what time. I agree with the defendants that what is essentially being argued here is that because Mr. Sturm chose not to use the services of a broker and then either did not read his mail or if he did, he chose to disregard it, the defendants ought to have performed those services for him and in that regard, assumed a potential liability to safeguard his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Mr. Sturm's arguments demonstrate an extremely paternalistic attitude which is simply not reasonable and which only serves to allow Mr. Sturm to avoid the consequences of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argues that this duty of care required that more than one letter be sent to him regarding the approval of the plan of arrangement. I reject such a proposition and note that even so, a reminder letter was sent in 2007, which he similarly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Sturm suggests that the defendants were required to take further steps, closer to the deadline, to contact him. There is no evidence that any further letters closer to the deadline would have received any more attention that did the previous ones, whether received as registered or ordinary 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Sturm also appears to argue that the defendants were required to find him and speak to him personally so as to "ensure" that he had read his mail and understood the effect of the Sunset Clauses. Indeed, it appears that the only reason that Mr. Sturm ultimately responded to the matter at all was the phone call from Yamana's transfer agent in the fall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Crew Gold</w:t>
      </w:r>
      <w:r>
        <w:rPr>
          <w:rFonts w:ascii="arial" w:eastAsia="arial" w:hAnsi="arial" w:cs="arial"/>
          <w:color w:val="000000"/>
          <w:sz w:val="20"/>
          <w:lang w:val="en-US" w:eastAsia="en-US" w:bidi="ar-SA"/>
        </w:rPr>
        <w:t>, the court rejected the proposition that a corporation has a duty to provide shareholders with advice going beyond the requirements of the legislation and in the absence of misrepresentation or estoppel. In that case, the company was not required to ensure that the shareholder had registered the shares in order to exercise dissent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With respect, I do not agree with the application of such a broad statement to the legal duty of a corporation, absent specific legislation that might impose such a duty. Section 193 of the </w:t>
      </w:r>
      <w:r>
        <w:rPr>
          <w:rFonts w:ascii="arial" w:eastAsia="arial" w:hAnsi="arial" w:cs="arial"/>
          <w:i/>
          <w:color w:val="000000"/>
          <w:sz w:val="20"/>
          <w:lang w:val="en-US" w:eastAsia="en-US" w:bidi="ar-SA"/>
        </w:rPr>
        <w:t>YBCA</w:t>
      </w:r>
      <w:r>
        <w:rPr>
          <w:rFonts w:ascii="arial" w:eastAsia="arial" w:hAnsi="arial" w:cs="arial"/>
          <w:color w:val="000000"/>
          <w:sz w:val="20"/>
          <w:lang w:val="en-US" w:eastAsia="en-US" w:bidi="ar-SA"/>
        </w:rPr>
        <w:t xml:space="preserve"> is clear in its intent: shareholders bear the responsibility for the registration of their shares. Absent conduct on the part of the corporation that may amount to a misrepresentation or estoppel, and provided the corporation has discharged any duty to clearly and accurately inform shareholders of their dissent rights, the corporation does not have a duty to provide shareholders with specific advice on how to register his or her shares. In each instance, that advice may be different depending on the nature and form in which the shareholdings are held. Advice that might extend beyond referring shareholders to information already disseminated to them or to their legal advisor and/or intermediary(ies), who are expressly tasked with the responsibility of advising the beneficial shareholders on this issue, in my view, would result in the imposition of a positive or affirmative duty on a corporation that could give rise to potential liability for inaccurate advice and would undermine the clear intention of the legislation that this burden lies with the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Mr. Sturm has cited no authority to me in support of the extraordinary proposition that such a duty of care - that the defendants specifically speak to Mr. Sturm - could exist in these circumstances. Simply put, there are no factors such as mentioned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 expectations, representations, reliance - that establish any "close and direct relationship of proximity" towards finding that such a duty of care arose in the context of the relationship between Mr. Sturm and Arroyo and the arranging parties that would require the arranging parties to so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Altschuler</w:t>
      </w:r>
      <w:r>
        <w:rPr>
          <w:rFonts w:ascii="arial" w:eastAsia="arial" w:hAnsi="arial" w:cs="arial"/>
          <w:color w:val="000000"/>
          <w:sz w:val="20"/>
          <w:lang w:val="en-US" w:eastAsia="en-US" w:bidi="ar-SA"/>
        </w:rPr>
        <w:t xml:space="preserve"> is also of no assistance to Mr. Sturm. Similar to this case, although there was no legal obligation to do so, Teck Resources made efforts to contact Mr. Altschuler prior to the July 2007 deadline under the plan of arrangement. Seven letters were sent from July 2005 to January 2007 and one or two phone calls were made to him in August 2005. There is, however, nothing in the reasons or findings of the court to suggest that Teck Resources was under any duty obligation to do anything beyond what was required by the legislation and the court order. Nor of course was there any finding that Teck Resources had failed in its duty to notify Mr. Altschuler of the plan and the sunset clause and its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Just as with Mr. Sturm here, the fault lay at the feet of Mr. Altschuler by reason of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neglect in not responding to the mailings under the approved plan of arrangement: </w:t>
      </w:r>
      <w:r>
        <w:rPr>
          <w:rFonts w:ascii="arial" w:eastAsia="arial" w:hAnsi="arial" w:cs="arial"/>
          <w:i/>
          <w:color w:val="000000"/>
          <w:sz w:val="20"/>
          <w:lang w:val="en-US" w:eastAsia="en-US" w:bidi="ar-SA"/>
        </w:rPr>
        <w:t>Altschuler</w:t>
      </w:r>
      <w:r>
        <w:rPr>
          <w:rFonts w:ascii="arial" w:eastAsia="arial" w:hAnsi="arial" w:cs="arial"/>
          <w:color w:val="000000"/>
          <w:sz w:val="20"/>
          <w:lang w:val="en-US" w:eastAsia="en-US" w:bidi="ar-SA"/>
        </w:rPr>
        <w:t xml:space="preserve"> at paras. 12, 21 (see also </w:t>
      </w:r>
      <w:r>
        <w:rPr>
          <w:rFonts w:ascii="arial" w:eastAsia="arial" w:hAnsi="arial" w:cs="arial"/>
          <w:i/>
          <w:color w:val="000000"/>
          <w:sz w:val="20"/>
          <w:lang w:val="en-US" w:eastAsia="en-US" w:bidi="ar-SA"/>
        </w:rPr>
        <w:t>Francescutto v. Haines</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2011 BCSC 1637</w:t>
        </w:r>
      </w:hyperlink>
      <w:r>
        <w:rPr>
          <w:rFonts w:ascii="arial" w:eastAsia="arial" w:hAnsi="arial" w:cs="arial"/>
          <w:color w:val="000000"/>
          <w:sz w:val="20"/>
          <w:lang w:val="en-US" w:eastAsia="en-US" w:bidi="ar-SA"/>
        </w:rPr>
        <w:t xml:space="preserve"> at para. 22 and </w:t>
      </w:r>
      <w:r>
        <w:rPr>
          <w:rFonts w:ascii="arial" w:eastAsia="arial" w:hAnsi="arial" w:cs="arial"/>
          <w:i/>
          <w:color w:val="000000"/>
          <w:sz w:val="20"/>
          <w:lang w:val="en-US" w:eastAsia="en-US" w:bidi="ar-SA"/>
        </w:rPr>
        <w:t>Marigold Nursery Ltd. v. Victoria Ford Alliance Ltd.</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2009 BCSC 1255</w:t>
        </w:r>
      </w:hyperlink>
      <w:r>
        <w:rPr>
          <w:rFonts w:ascii="arial" w:eastAsia="arial" w:hAnsi="arial" w:cs="arial"/>
          <w:color w:val="000000"/>
          <w:sz w:val="20"/>
          <w:lang w:val="en-US" w:eastAsia="en-US" w:bidi="ar-SA"/>
        </w:rPr>
        <w:t xml:space="preserve"> at paras. 120-23 where similar failures to read and/or respond to mail were relevant in the court's decision to deny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Mr. Sturm cites </w:t>
      </w:r>
      <w:r>
        <w:rPr>
          <w:rFonts w:ascii="arial" w:eastAsia="arial" w:hAnsi="arial" w:cs="arial"/>
          <w:i/>
          <w:color w:val="000000"/>
          <w:sz w:val="20"/>
          <w:lang w:val="en-US" w:eastAsia="en-US" w:bidi="ar-SA"/>
        </w:rPr>
        <w:t>Penner v. Yorkton Continental Securities Inc.</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[1996] A.J. No. 278</w:t>
        </w:r>
      </w:hyperlink>
      <w:r>
        <w:rPr>
          <w:rFonts w:ascii="arial" w:eastAsia="arial" w:hAnsi="arial" w:cs="arial"/>
          <w:color w:val="000000"/>
          <w:sz w:val="20"/>
          <w:lang w:val="en-US" w:eastAsia="en-US" w:bidi="ar-SA"/>
        </w:rPr>
        <w:t xml:space="preserve"> (Q.B.) in support of the argument that even if Mr. Sturm failed to protect his own interests, he should only be held to have been contributorily negligent. In my view, that case is of no relevance here. In </w:t>
      </w:r>
      <w:r>
        <w:rPr>
          <w:rFonts w:ascii="arial" w:eastAsia="arial" w:hAnsi="arial" w:cs="arial"/>
          <w:i/>
          <w:color w:val="000000"/>
          <w:sz w:val="20"/>
          <w:lang w:val="en-US" w:eastAsia="en-US" w:bidi="ar-SA"/>
        </w:rPr>
        <w:t>Penner</w:t>
      </w:r>
      <w:r>
        <w:rPr>
          <w:rFonts w:ascii="arial" w:eastAsia="arial" w:hAnsi="arial" w:cs="arial"/>
          <w:color w:val="000000"/>
          <w:sz w:val="20"/>
          <w:lang w:val="en-US" w:eastAsia="en-US" w:bidi="ar-SA"/>
        </w:rPr>
        <w:t>, the court found that a stock broker was negligent and in breach of his fiduciary relationship by churning the account to generate commissions and generally failing to look after the interests of his client, Mr. Penner. Mr. Penner was found to be contributorily negligent to the extent of 25% because he only opened some of the mail from the broker and the court found that if he had opened it all, he would reasonably have seen that his account was being improperly administered: paras. 66-71. Here of course, no such relationship existed and again, by Mr. Sturm's own admission, not having retained a broker, he knew that he was the person who had the responsibility to open his mail and if necessary, respond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Finally, the further comments of the court in </w:t>
      </w:r>
      <w:r>
        <w:rPr>
          <w:rFonts w:ascii="arial" w:eastAsia="arial" w:hAnsi="arial" w:cs="arial"/>
          <w:i/>
          <w:color w:val="000000"/>
          <w:sz w:val="20"/>
          <w:lang w:val="en-US" w:eastAsia="en-US" w:bidi="ar-SA"/>
        </w:rPr>
        <w:t>Crew Gold</w:t>
      </w:r>
      <w:r>
        <w:rPr>
          <w:rFonts w:ascii="arial" w:eastAsia="arial" w:hAnsi="arial" w:cs="arial"/>
          <w:color w:val="000000"/>
          <w:sz w:val="20"/>
          <w:lang w:val="en-US" w:eastAsia="en-US" w:bidi="ar-SA"/>
        </w:rPr>
        <w:t xml:space="preserve"> are of relevance. In that case, the shareholders said they were confused by their dissent rights under a plan of arrangement but they had failed to contact their intermediary. Ultimately, since they had failed to take any action to register the shares, as they were required to do before dissenting, their dissent rights had expired. The court rejected the claim as the evidence demonstrated that the shareholders had failed to act in the face of clear documentation sent by Crew Gold setting out the requirements for registration, all in accordance with the legislation and related court orders: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 The requirement that only registered shareholders are entitled to dissent is not a mere "technicality" but a matter of law. The respondents were not disqualified from exercising validly held rights; rather, </w:t>
      </w:r>
      <w:r>
        <w:rPr>
          <w:rFonts w:ascii="arial" w:eastAsia="arial" w:hAnsi="arial" w:cs="arial"/>
          <w:color w:val="000000"/>
          <w:sz w:val="20"/>
          <w:u w:val="single"/>
          <w:lang w:val="en-US" w:eastAsia="en-US" w:bidi="ar-SA"/>
        </w:rPr>
        <w:t>they failed to acquire those rights by failing to become registered shareholders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 </w:t>
      </w:r>
      <w:r>
        <w:rPr>
          <w:rFonts w:ascii="arial" w:eastAsia="arial" w:hAnsi="arial" w:cs="arial"/>
          <w:color w:val="000000"/>
          <w:sz w:val="20"/>
          <w:u w:val="single"/>
          <w:lang w:val="en-US" w:eastAsia="en-US" w:bidi="ar-SA"/>
        </w:rPr>
        <w:t>importance of this legal requirement for registration was communicated</w:t>
      </w:r>
      <w:r>
        <w:rPr>
          <w:rFonts w:ascii="arial" w:eastAsia="arial" w:hAnsi="arial" w:cs="arial"/>
          <w:color w:val="000000"/>
          <w:sz w:val="20"/>
          <w:lang w:val="en-US" w:eastAsia="en-US" w:bidi="ar-SA"/>
        </w:rPr>
        <w:t xml:space="preserve"> throughout the materials forwarded by Crew to DnB NOR and in the letter from DnB NOR to the respondents. If the respondents were confused as to DnB NOR's statement that their shares were registered with the VPS, </w:t>
      </w:r>
      <w:r>
        <w:rPr>
          <w:rFonts w:ascii="arial" w:eastAsia="arial" w:hAnsi="arial" w:cs="arial"/>
          <w:color w:val="000000"/>
          <w:sz w:val="20"/>
          <w:u w:val="single"/>
          <w:lang w:val="en-US" w:eastAsia="en-US" w:bidi="ar-SA"/>
        </w:rPr>
        <w:t>it was imperative for them to have contacted DnB NOR for clarification as they were directed so to do. Crew cannot be faulted for that omission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As previously noted, the complexity of today's capital markets offer a myriad of forms for the holding of shares including, in some cases, a myriad of intermediaries. Requiring a corporation to have full knowledge of the nature and form of all its shareholdings is the very undue burden the registration requirement is meant to avoid. In the absence of that knowledge, </w:t>
      </w:r>
      <w:r>
        <w:rPr>
          <w:rFonts w:ascii="arial" w:eastAsia="arial" w:hAnsi="arial" w:cs="arial"/>
          <w:color w:val="000000"/>
          <w:sz w:val="20"/>
          <w:u w:val="single"/>
          <w:lang w:val="en-US" w:eastAsia="en-US" w:bidi="ar-SA"/>
        </w:rPr>
        <w:t>the best and only advice Crew could give its beneficial shareholders was to direct them to the Information Circular which in turn urged shareholders wishing to dissent to consult their legal advisors. Again, the fact that the respondents did not follow this advice cannot be laid at the feet of Crew</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While a very narrow judicial exception has been carved out in regard to this legal requirement, short of misleading and inaccurate information or conduct amounting to estoppel, in my view any gap in the legislation that results in an outcome that may be perceived as unfair is more appropriately dealt with by the legislature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In these circumstances, I am satisfied that </w:t>
      </w:r>
      <w:r>
        <w:rPr>
          <w:rFonts w:ascii="arial" w:eastAsia="arial" w:hAnsi="arial" w:cs="arial"/>
          <w:color w:val="000000"/>
          <w:sz w:val="20"/>
          <w:u w:val="single"/>
          <w:lang w:val="en-US" w:eastAsia="en-US" w:bidi="ar-SA"/>
        </w:rPr>
        <w:t>Crew fulfilled its responsibilities to the respondents by forwarding to their intermediary clear and accurate materials on the need for the beneficial shareholders to register their shares in order to exercise their dissent rights, and in referring Mr. Matre to the Information Circular for advice on how to register his shares in order to exercise his dissent rights</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Crew's advice cannot be said to have been misleading</w:t>
      </w:r>
      <w:r>
        <w:rPr>
          <w:rFonts w:ascii="arial" w:eastAsia="arial" w:hAnsi="arial" w:cs="arial"/>
          <w:color w:val="000000"/>
          <w:sz w:val="20"/>
          <w:lang w:val="en-US" w:eastAsia="en-US" w:bidi="ar-SA"/>
        </w:rPr>
        <w:t xml:space="preserve"> or reprehensible in some other way, nor can it be said to have amounted to estoppel such as to permit this Court to relieve Mr. Matre and the other respondents from compliance with the legislation.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Similarly in this case, the arranging parties also fulfilled their responsibilities to Mr. Sturm and Arroyo by sending out the necessary documentation regarding the plan of arrangement which clearly identified how they were affected and what they must do in order to secure the new shares to which they were entitled. Mr. Sturm does not argue that the materials were in any way deficient, misleading or inaccurate nor, to the extent that it is relevant, that the procedure to exchange the shares was onerous. Nor does he challenge the adequacy of the content of that material in the sense of raising the importance of the Sunset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There is no basis upon which to impose a duty of care on the arranging parties, let alone their successors' defendants, to do more than what they did as required by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and the Interim Order. In particular, there was no obligation to send a reminder letter as Quest Capital did and certainly no obligation to phone Mr. Sturm to beseech him to do what he was advised he had to do some six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Altschuler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Crew Gold</w:t>
      </w:r>
      <w:r>
        <w:rPr>
          <w:rFonts w:ascii="arial" w:eastAsia="arial" w:hAnsi="arial" w:cs="arial"/>
          <w:color w:val="000000"/>
          <w:sz w:val="20"/>
          <w:lang w:val="en-US" w:eastAsia="en-US" w:bidi="ar-SA"/>
        </w:rPr>
        <w:t>, the loss of the entitlement to these shares came about only by reason of the inaction and/or inattention of Mr. Sturm; thus, in my view, the result cannot be laid at the feet of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Are the Sunset Clauses a Penalty/Should the Plaintiffs obtain Relief from Forfeiture?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Sturm and Arroyo argue that the effect of the Sunset Clauses operates as a penalty since it deprives them as shareholders of their right to the shares of the defendants and any accumulated dividends. Further, they say they should obtain relief from forfeiture or the strict application of the Sunset Clauses arising from the result of them not tendering their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Section 24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provides for equitable relief: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relieve against all penalties and forfeitures, and in granting the relief may impose any terms as to costs, expenses, damages, compensations and all other matters that the court thinks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concepts of penalty and relief from forfeiture are distinct but overlap in their application: </w:t>
      </w:r>
      <w:r>
        <w:rPr>
          <w:rFonts w:ascii="arial" w:eastAsia="arial" w:hAnsi="arial" w:cs="arial"/>
          <w:i/>
          <w:color w:val="000000"/>
          <w:sz w:val="20"/>
          <w:lang w:val="en-US" w:eastAsia="en-US" w:bidi="ar-SA"/>
        </w:rPr>
        <w:t>Pope v. Potter</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2011 BCSC 697</w:t>
        </w:r>
      </w:hyperlink>
      <w:r>
        <w:rPr>
          <w:rFonts w:ascii="arial" w:eastAsia="arial" w:hAnsi="arial" w:cs="arial"/>
          <w:color w:val="000000"/>
          <w:sz w:val="20"/>
          <w:lang w:val="en-US" w:eastAsia="en-US" w:bidi="ar-SA"/>
        </w:rPr>
        <w:t xml:space="preserve"> para. 23. Both of these concepts arise in the context of a contractual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the bankruptcy context, when a debtor makes a proposal to its creditors and the creditors approve that proposal in accordance with the legislation, a contract is formed between the debtor and creditors. Once the debtor complies with the required formalities, such as obtaining court approval, that contract binds all the creditors including any dissenting minority: </w:t>
      </w:r>
      <w:r>
        <w:rPr>
          <w:rFonts w:ascii="arial" w:eastAsia="arial" w:hAnsi="arial" w:cs="arial"/>
          <w:i/>
          <w:color w:val="000000"/>
          <w:sz w:val="20"/>
          <w:lang w:val="en-US" w:eastAsia="en-US" w:bidi="ar-SA"/>
        </w:rPr>
        <w:t>Employer's Liability Assurance Corp. v. Ideal Petroleum (1959) Ltd.</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[1978] 1 S.C.R. 230</w:t>
        </w:r>
      </w:hyperlink>
      <w:r>
        <w:rPr>
          <w:rFonts w:ascii="arial" w:eastAsia="arial" w:hAnsi="arial" w:cs="arial"/>
          <w:color w:val="000000"/>
          <w:sz w:val="20"/>
          <w:lang w:val="en-US" w:eastAsia="en-US" w:bidi="ar-SA"/>
        </w:rPr>
        <w:t xml:space="preserve"> at 239; </w:t>
      </w:r>
      <w:r>
        <w:rPr>
          <w:rFonts w:ascii="arial" w:eastAsia="arial" w:hAnsi="arial" w:cs="arial"/>
          <w:i/>
          <w:color w:val="000000"/>
          <w:sz w:val="20"/>
          <w:lang w:val="en-US" w:eastAsia="en-US" w:bidi="ar-SA"/>
        </w:rPr>
        <w:t>Society of Composers, Authors and Music Publishers of Canada v. Armitage</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[2000] O.J. No. 3993</w:t>
        </w:r>
      </w:hyperlink>
      <w:r>
        <w:rPr>
          <w:rFonts w:ascii="arial" w:eastAsia="arial" w:hAnsi="arial" w:cs="arial"/>
          <w:color w:val="000000"/>
          <w:sz w:val="20"/>
          <w:lang w:val="en-US" w:eastAsia="en-US" w:bidi="ar-SA"/>
        </w:rPr>
        <w:t xml:space="preserve"> (C.A.) at para. 11. In </w:t>
      </w:r>
      <w:r>
        <w:rPr>
          <w:rFonts w:ascii="arial" w:eastAsia="arial" w:hAnsi="arial" w:cs="arial"/>
          <w:i/>
          <w:color w:val="000000"/>
          <w:sz w:val="20"/>
          <w:lang w:val="en-US" w:eastAsia="en-US" w:bidi="ar-SA"/>
        </w:rPr>
        <w:t>ATB Financial v. Metcalfe &amp; Mansfield Alternative Investments II Corp.</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2008 ONCA 587</w:t>
        </w:r>
      </w:hyperlink>
      <w:r>
        <w:rPr>
          <w:rFonts w:ascii="arial" w:eastAsia="arial" w:hAnsi="arial" w:cs="arial"/>
          <w:color w:val="000000"/>
          <w:sz w:val="20"/>
          <w:lang w:val="en-US" w:eastAsia="en-US" w:bidi="ar-SA"/>
        </w:rPr>
        <w:t xml:space="preserve">, leave to appeal to S.C.C. refused, </w:t>
      </w:r>
      <w:hyperlink r:id="rId619" w:history="1">
        <w:r>
          <w:rPr>
            <w:rFonts w:ascii="arial" w:eastAsia="arial" w:hAnsi="arial" w:cs="arial"/>
            <w:i/>
            <w:color w:val="0077CC"/>
            <w:sz w:val="20"/>
            <w:u w:val="single"/>
            <w:shd w:val="clear" w:color="auto" w:fill="FFFFFF"/>
            <w:lang w:val="en-US" w:eastAsia="en-US" w:bidi="ar-SA"/>
          </w:rPr>
          <w:t>[2008] S.C.C.A. No. 337</w:t>
        </w:r>
      </w:hyperlink>
      <w:r>
        <w:rPr>
          <w:rFonts w:ascii="arial" w:eastAsia="arial" w:hAnsi="arial" w:cs="arial"/>
          <w:color w:val="000000"/>
          <w:sz w:val="20"/>
          <w:lang w:val="en-US" w:eastAsia="en-US" w:bidi="ar-SA"/>
        </w:rPr>
        <w:t xml:space="preserve">, the court applied this concept in the related context of proceedings under the </w:t>
      </w:r>
      <w:r>
        <w:rPr>
          <w:rFonts w:ascii="arial" w:eastAsia="arial" w:hAnsi="arial" w:cs="arial"/>
          <w:i/>
          <w:color w:val="000000"/>
          <w:sz w:val="20"/>
          <w:lang w:val="en-US" w:eastAsia="en-US" w:bidi="ar-SA"/>
        </w:rPr>
        <w:t>Companies' Creditors Arrangement Act</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finding at para. 62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compromise or arrangement under the CCAA is directly analogous to a proposal for these purposes, and </w:t>
      </w:r>
      <w:r>
        <w:rPr>
          <w:rFonts w:ascii="arial" w:eastAsia="arial" w:hAnsi="arial" w:cs="arial"/>
          <w:color w:val="000000"/>
          <w:sz w:val="20"/>
          <w:u w:val="single"/>
          <w:lang w:val="en-US" w:eastAsia="en-US" w:bidi="ar-SA"/>
        </w:rPr>
        <w:t>therefore is to be treated as a contract</w:t>
      </w:r>
      <w:r>
        <w:rPr>
          <w:rFonts w:ascii="arial" w:eastAsia="arial" w:hAnsi="arial" w:cs="arial"/>
          <w:color w:val="000000"/>
          <w:sz w:val="20"/>
          <w:lang w:val="en-US" w:eastAsia="en-US" w:bidi="ar-SA"/>
        </w:rPr>
        <w:t xml:space="preserve"> between the debtor and its creditors. Consequently, parties are entitled to put anything into such a plan that could lawfully be incorporated into any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scheme under the </w:t>
      </w:r>
      <w:r>
        <w:rPr>
          <w:rFonts w:ascii="arial" w:eastAsia="arial" w:hAnsi="arial" w:cs="arial"/>
          <w:i/>
          <w:color w:val="000000"/>
          <w:sz w:val="20"/>
          <w:lang w:val="en-US" w:eastAsia="en-US" w:bidi="ar-SA"/>
        </w:rPr>
        <w:t>Company Act</w:t>
      </w:r>
      <w:r>
        <w:rPr>
          <w:rFonts w:ascii="arial" w:eastAsia="arial" w:hAnsi="arial" w:cs="arial"/>
          <w:color w:val="000000"/>
          <w:sz w:val="20"/>
          <w:lang w:val="en-US" w:eastAsia="en-US" w:bidi="ar-SA"/>
        </w:rPr>
        <w:t xml:space="preserve"> is analogous to the cases cited above and similar principles are applicable. While not in the bankruptcy or </w:t>
      </w:r>
      <w:r>
        <w:rPr>
          <w:rFonts w:ascii="arial" w:eastAsia="arial" w:hAnsi="arial" w:cs="arial"/>
          <w:i/>
          <w:color w:val="000000"/>
          <w:sz w:val="20"/>
          <w:lang w:val="en-US" w:eastAsia="en-US" w:bidi="ar-SA"/>
        </w:rPr>
        <w:t>CCAA</w:t>
      </w:r>
      <w:r>
        <w:rPr>
          <w:rFonts w:ascii="arial" w:eastAsia="arial" w:hAnsi="arial" w:cs="arial"/>
          <w:color w:val="000000"/>
          <w:sz w:val="20"/>
          <w:lang w:val="en-US" w:eastAsia="en-US" w:bidi="ar-SA"/>
        </w:rPr>
        <w:t xml:space="preserve"> context, that scheme provides that the arranging companies can make a proposal by which shareholders rights are to be affected. In addition, providing that the shareholders approve that proposal in accordance with the legislation, and providing that the court also approves the proposal, the plan of arrangement becomes a "binding" contract on all parties, including Mr. Sturm and Arroyo.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Dealing first with the penalty issue, </w:t>
      </w:r>
      <w:r>
        <w:rPr>
          <w:rFonts w:ascii="arial" w:eastAsia="arial" w:hAnsi="arial" w:cs="arial"/>
          <w:i/>
          <w:color w:val="000000"/>
          <w:sz w:val="20"/>
          <w:lang w:val="en-US" w:eastAsia="en-US" w:bidi="ar-SA"/>
        </w:rPr>
        <w:t>Pope</w:t>
      </w:r>
      <w:r>
        <w:rPr>
          <w:rFonts w:ascii="arial" w:eastAsia="arial" w:hAnsi="arial" w:cs="arial"/>
          <w:color w:val="000000"/>
          <w:sz w:val="20"/>
          <w:lang w:val="en-US" w:eastAsia="en-US" w:bidi="ar-SA"/>
        </w:rPr>
        <w:t xml:space="preserve">, cited by Mr. Sturm, discusses penalty in the context of considering whether the consequences of a </w:t>
      </w:r>
      <w:r>
        <w:rPr>
          <w:rFonts w:ascii="arial" w:eastAsia="arial" w:hAnsi="arial" w:cs="arial"/>
          <w:i/>
          <w:color w:val="000000"/>
          <w:sz w:val="20"/>
          <w:lang w:val="en-US" w:eastAsia="en-US" w:bidi="ar-SA"/>
        </w:rPr>
        <w:t>breach of contract</w:t>
      </w:r>
      <w:r>
        <w:rPr>
          <w:rFonts w:ascii="arial" w:eastAsia="arial" w:hAnsi="arial" w:cs="arial"/>
          <w:color w:val="000000"/>
          <w:sz w:val="20"/>
          <w:lang w:val="en-US" w:eastAsia="en-US" w:bidi="ar-SA"/>
        </w:rPr>
        <w:t xml:space="preserve"> amount to punishment or a "genuine pre-estimate of damages": see paras. 21-22.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To similar effect, relief from forfeiture is addressed in relation to a forfeiture arising from a </w:t>
      </w:r>
      <w:r>
        <w:rPr>
          <w:rFonts w:ascii="arial" w:eastAsia="arial" w:hAnsi="arial" w:cs="arial"/>
          <w:i/>
          <w:color w:val="000000"/>
          <w:sz w:val="20"/>
          <w:lang w:val="en-US" w:eastAsia="en-US" w:bidi="ar-SA"/>
        </w:rPr>
        <w:t>breach of contract</w:t>
      </w:r>
      <w:r>
        <w:rPr>
          <w:rFonts w:ascii="arial" w:eastAsia="arial" w:hAnsi="arial" w:cs="arial"/>
          <w:color w:val="000000"/>
          <w:sz w:val="20"/>
          <w:lang w:val="en-US" w:eastAsia="en-US" w:bidi="ar-SA"/>
        </w:rPr>
        <w:t xml:space="preserve"> which then invites a consideration of whether the value of the forfeited property is in proportion to the loss suffered by reason of the breach: </w:t>
      </w:r>
      <w:r>
        <w:rPr>
          <w:rFonts w:ascii="arial" w:eastAsia="arial" w:hAnsi="arial" w:cs="arial"/>
          <w:i/>
          <w:color w:val="000000"/>
          <w:sz w:val="20"/>
          <w:lang w:val="en-US" w:eastAsia="en-US" w:bidi="ar-SA"/>
        </w:rPr>
        <w:t>Pope</w:t>
      </w:r>
      <w:r>
        <w:rPr>
          <w:rFonts w:ascii="arial" w:eastAsia="arial" w:hAnsi="arial" w:cs="arial"/>
          <w:color w:val="000000"/>
          <w:sz w:val="20"/>
          <w:lang w:val="en-US" w:eastAsia="en-US" w:bidi="ar-SA"/>
        </w:rPr>
        <w:t xml:space="preserve"> at para. 25. As noted in </w:t>
      </w:r>
      <w:r>
        <w:rPr>
          <w:rFonts w:ascii="arial" w:eastAsia="arial" w:hAnsi="arial" w:cs="arial"/>
          <w:i/>
          <w:color w:val="000000"/>
          <w:sz w:val="20"/>
          <w:lang w:val="en-US" w:eastAsia="en-US" w:bidi="ar-SA"/>
        </w:rPr>
        <w:t>Pope</w:t>
      </w:r>
      <w:r>
        <w:rPr>
          <w:rFonts w:ascii="arial" w:eastAsia="arial" w:hAnsi="arial" w:cs="arial"/>
          <w:color w:val="000000"/>
          <w:sz w:val="20"/>
          <w:lang w:val="en-US" w:eastAsia="en-US" w:bidi="ar-SA"/>
        </w:rPr>
        <w:t xml:space="preserve">, relief from forfeiture is applied where firstly, there is great disparity between the value of the property forfeited and the damages caused by the breach, and secondly, it would be unconscionable to retain the amount forfeited: </w:t>
      </w:r>
      <w:r>
        <w:rPr>
          <w:rFonts w:ascii="arial" w:eastAsia="arial" w:hAnsi="arial" w:cs="arial"/>
          <w:i/>
          <w:color w:val="000000"/>
          <w:sz w:val="20"/>
          <w:lang w:val="en-US" w:eastAsia="en-US" w:bidi="ar-SA"/>
        </w:rPr>
        <w:t>Pope</w:t>
      </w:r>
      <w:r>
        <w:rPr>
          <w:rFonts w:ascii="arial" w:eastAsia="arial" w:hAnsi="arial" w:cs="arial"/>
          <w:color w:val="000000"/>
          <w:sz w:val="20"/>
          <w:lang w:val="en-US" w:eastAsia="en-US" w:bidi="ar-SA"/>
        </w:rPr>
        <w:t xml:space="preserve"> at para. 23, see also </w:t>
      </w:r>
      <w:r>
        <w:rPr>
          <w:rFonts w:ascii="arial" w:eastAsia="arial" w:hAnsi="arial" w:cs="arial"/>
          <w:i/>
          <w:color w:val="000000"/>
          <w:sz w:val="20"/>
          <w:lang w:val="en-US" w:eastAsia="en-US" w:bidi="ar-SA"/>
        </w:rPr>
        <w:t>British Columbia Development Corp. v. NAB Holdings Ltd.</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(1986), 30 D.L.R. (4th) 560</w:t>
        </w:r>
      </w:hyperlink>
      <w:r>
        <w:rPr>
          <w:rFonts w:ascii="arial" w:eastAsia="arial" w:hAnsi="arial" w:cs="arial"/>
          <w:color w:val="000000"/>
          <w:sz w:val="20"/>
          <w:lang w:val="en-US" w:eastAsia="en-US" w:bidi="ar-SA"/>
        </w:rPr>
        <w:t xml:space="preserve"> at 570-72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difficulty in applying either concept in this case is that there is no contract between Mr. Sturm and Arroyo and the defendants which has been </w:t>
      </w:r>
      <w:r>
        <w:rPr>
          <w:rFonts w:ascii="arial" w:eastAsia="arial" w:hAnsi="arial" w:cs="arial"/>
          <w:i/>
          <w:color w:val="000000"/>
          <w:sz w:val="20"/>
          <w:lang w:val="en-US" w:eastAsia="en-US" w:bidi="ar-SA"/>
        </w:rPr>
        <w:t>breached</w:t>
      </w:r>
      <w:r>
        <w:rPr>
          <w:rFonts w:ascii="arial" w:eastAsia="arial" w:hAnsi="arial" w:cs="arial"/>
          <w:color w:val="000000"/>
          <w:sz w:val="20"/>
          <w:lang w:val="en-US" w:eastAsia="en-US" w:bidi="ar-SA"/>
        </w:rPr>
        <w:t xml:space="preserve"> by Mr. Sturm/Arroyo giving rise to any contractual remedy of the defendants to recover losses which could be described as a "penalty" or a "forfeiture of property". As the defendants argue, to the contrary, Mr. Sturm and Arroyo simply had the opportunity to exchange their shares and they failed to do so within the required time due to their own inaction.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analogous circumstances, the courts have held that the failure by a person to take steps to secure certain contractual rights did not amount to a relief from forfeiture. In the insurance context, the failure of an employee to apply for insurance benefits was not a forfeiture of any rights since the employee had not breached any covenant or condition by which he was deprived of insurance benefits: </w:t>
      </w:r>
      <w:r>
        <w:rPr>
          <w:rFonts w:ascii="arial" w:eastAsia="arial" w:hAnsi="arial" w:cs="arial"/>
          <w:i/>
          <w:color w:val="000000"/>
          <w:sz w:val="20"/>
          <w:lang w:val="en-US" w:eastAsia="en-US" w:bidi="ar-SA"/>
        </w:rPr>
        <w:t>Grams Estate v. Maple Leaf Metal Industries Ltd.</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2006 ABQB 146</w:t>
        </w:r>
      </w:hyperlink>
      <w:r>
        <w:rPr>
          <w:rFonts w:ascii="arial" w:eastAsia="arial" w:hAnsi="arial" w:cs="arial"/>
          <w:color w:val="000000"/>
          <w:sz w:val="20"/>
          <w:lang w:val="en-US" w:eastAsia="en-US" w:bidi="ar-SA"/>
        </w:rPr>
        <w:t xml:space="preserve"> at paras. 183-192, citing</w:t>
      </w:r>
      <w:r>
        <w:rPr>
          <w:rFonts w:ascii="arial" w:eastAsia="arial" w:hAnsi="arial" w:cs="arial"/>
          <w:i/>
          <w:color w:val="000000"/>
          <w:sz w:val="20"/>
          <w:lang w:val="en-US" w:eastAsia="en-US" w:bidi="ar-SA"/>
        </w:rPr>
        <w:t xml:space="preserve"> Yao v. Exide Canada Inc</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(1987), 44 Man. R. (2d) 287</w:t>
        </w:r>
      </w:hyperlink>
      <w:r>
        <w:rPr>
          <w:rFonts w:ascii="arial" w:eastAsia="arial" w:hAnsi="arial" w:cs="arial"/>
          <w:color w:val="000000"/>
          <w:sz w:val="20"/>
          <w:lang w:val="en-US" w:eastAsia="en-US" w:bidi="ar-SA"/>
        </w:rPr>
        <w:t xml:space="preserve"> (C.A.), leave to appeal to S.C.C. granted and discontinued, </w:t>
      </w:r>
      <w:hyperlink r:id="rId623" w:history="1">
        <w:r>
          <w:rPr>
            <w:rFonts w:ascii="arial" w:eastAsia="arial" w:hAnsi="arial" w:cs="arial"/>
            <w:i/>
            <w:color w:val="0077CC"/>
            <w:sz w:val="20"/>
            <w:u w:val="single"/>
            <w:shd w:val="clear" w:color="auto" w:fill="FFFFFF"/>
            <w:lang w:val="en-US" w:eastAsia="en-US" w:bidi="ar-SA"/>
          </w:rPr>
          <w:t>[1987] S.C.C.A. No. 158</w:t>
        </w:r>
      </w:hyperlink>
      <w:r>
        <w:rPr>
          <w:rFonts w:ascii="arial" w:eastAsia="arial" w:hAnsi="arial" w:cs="arial"/>
          <w:color w:val="000000"/>
          <w:sz w:val="20"/>
          <w:lang w:val="en-US" w:eastAsia="en-US" w:bidi="ar-SA"/>
        </w:rPr>
        <w:t>, where an employee's failure to apply to convert his insurance policies within a certain time frame was held to be neither a penalty nor a forfeiture.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a similar vein, the court will not intervene if rather than a breach of a contractual covenant, there is simply a failure to satisfy a condition precedent to the exercise of a contractual right. This distinction was made in relation to the exercise of an option to extend a lease in </w:t>
      </w:r>
      <w:r>
        <w:rPr>
          <w:rFonts w:ascii="arial" w:eastAsia="arial" w:hAnsi="arial" w:cs="arial"/>
          <w:i/>
          <w:color w:val="000000"/>
          <w:sz w:val="20"/>
          <w:lang w:val="en-US" w:eastAsia="en-US" w:bidi="ar-SA"/>
        </w:rPr>
        <w:t>Clark Auto Body Ltd. v. Integra Custom Collision Ltd.</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2007 BCCA 24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In my opinion, it is essential to distinguish between the court's equitable jurisdiction to grant relief from forfeiture for the non-observance of covenants in an existing lease and from the failure to comply with conditions precedent to the exercise of an option to renew a lease. In the former, equity recognizes that a tenant may be permitted to cure its default and be relieved from forfeiture to allow it to retain the balance of the term of the lease. In the latter, there is no compulsion on the tenant to exercise the renewal option, but if it does so, the tenant must comply with the conditions precedent. If the tenant fails to comply, it does not suffer a penalty or forfeiture of an existing tenancy. Equity will not intervene.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Sturm and Arroyo were entitled to obtain the new shares in accordance with the plan of arrangement. A condition precedent to doing so was that they deliver the share certificates and letters of transmittal within the six year time frame. Their failure to do so was not a breach of these new arrangements, but simply a failure to take steps that would allow them to exercise their entitlement to obtain these new shares. As such, no issue of penalty or relief from forfeiture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Further, even if such equitable relief was available in the abstract, in my view, the circumstances of Mr. Sturm and Arroyo's inaction dictate that the court should not intervene.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Relief against forfeiture is a discretionary equitable remedy arising from the disproportionate consequences of a breach of contract. When exercising that discretion, courts will consider "the conduct of the applicant, the gravity of the breaches, and the disparity between the value of the property forfeited and the damage caused by the breach": </w:t>
      </w:r>
      <w:r>
        <w:rPr>
          <w:rFonts w:ascii="arial" w:eastAsia="arial" w:hAnsi="arial" w:cs="arial"/>
          <w:i/>
          <w:color w:val="000000"/>
          <w:sz w:val="20"/>
          <w:lang w:val="en-US" w:eastAsia="en-US" w:bidi="ar-SA"/>
        </w:rPr>
        <w:t>Saskatchewan River Bungalow Ltd. v. Maritime Life Assurance Co.</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[1994] 2 S.C.R. 490</w:t>
        </w:r>
      </w:hyperlink>
      <w:r>
        <w:rPr>
          <w:rFonts w:ascii="arial" w:eastAsia="arial" w:hAnsi="arial" w:cs="arial"/>
          <w:color w:val="000000"/>
          <w:sz w:val="20"/>
          <w:lang w:val="en-US" w:eastAsia="en-US" w:bidi="ar-SA"/>
        </w:rPr>
        <w:t xml:space="preserve"> at 504. In that case, relief from forfeiture was rejected by reason of the conduct of the applicant since it did not act reasonably in ensuring that payments under the insurance policy were made and that it received timely notice of matters arising under the policy, including that the policy was about to be cancelled for nonpayment.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reasoning in </w:t>
      </w:r>
      <w:r>
        <w:rPr>
          <w:rFonts w:ascii="arial" w:eastAsia="arial" w:hAnsi="arial" w:cs="arial"/>
          <w:i/>
          <w:color w:val="000000"/>
          <w:sz w:val="20"/>
          <w:lang w:val="en-US" w:eastAsia="en-US" w:bidi="ar-SA"/>
        </w:rPr>
        <w:t>Saskatchewan River Bungalow</w:t>
      </w:r>
      <w:r>
        <w:rPr>
          <w:rFonts w:ascii="arial" w:eastAsia="arial" w:hAnsi="arial" w:cs="arial"/>
          <w:color w:val="000000"/>
          <w:sz w:val="20"/>
          <w:lang w:val="en-US" w:eastAsia="en-US" w:bidi="ar-SA"/>
        </w:rPr>
        <w:t xml:space="preserve"> is squarely raised here as Mr. Sturm either did not read his mail or if he did read his mail, he disregarded the clearly worded requirements. The requirement to act within the deadline was communicated to Mr. Sturm a number of times, beginning in the spring/summer of 2003 and again in October 2007, all well before the deadline. In all these communications, the existence and effect of the Sunset Clauses were specifically highlighted. All these communications included a request that Mr. Sturm take action as he was required to do to ensure that he received the new shares in accordance with the plan of arrangement. Yet Mr. Sturm did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these circumstances, there is no principled basis upon which this court should exercise its discretion to save Mr. Sturm from the consequences of the choices that he freely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Nor do these circumstances raise any issue of unconscionability where an unfair advantage is gained by a stronger party against a weaker: </w:t>
      </w:r>
      <w:r>
        <w:rPr>
          <w:rFonts w:ascii="arial" w:eastAsia="arial" w:hAnsi="arial" w:cs="arial"/>
          <w:i/>
          <w:color w:val="000000"/>
          <w:sz w:val="20"/>
          <w:lang w:val="en-US" w:eastAsia="en-US" w:bidi="ar-SA"/>
        </w:rPr>
        <w:t>Pope</w:t>
      </w:r>
      <w:r>
        <w:rPr>
          <w:rFonts w:ascii="arial" w:eastAsia="arial" w:hAnsi="arial" w:cs="arial"/>
          <w:color w:val="000000"/>
          <w:sz w:val="20"/>
          <w:lang w:val="en-US" w:eastAsia="en-US" w:bidi="ar-SA"/>
        </w:rPr>
        <w:t xml:space="preserve"> at para. 23-24. No one, least of all Mr. Sturm, has suggested that the requirement to forward the share certificates and transmittal letters was unfair. Rather, he simply failed to take these basic steps. While Mr. Sturm views the loss of his and Arroyo's shareholdings as harsh, he has only himself to blame for that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5"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Thandi (Re), [2017] B.C.J. No. 1369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Bankruptcy and Insolvency)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W.J. Harris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B150396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1369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2017 BCSC 1201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2017 CarswellBC 1936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2017 D.T.C. 5090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281 A.C.W.S. (3d) 21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Bankruptcy of Ajmer Singh Thandi (a.k.a. Ajmer S Thandi, Ajmer S S Thandi, Ajmer Thandi, Thandi Ajmer Singh)</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6"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1" w:name="Keywords_28"/>
      <w:bookmarkEnd w:id="201"/>
      <w:r>
        <w:rPr>
          <w:rFonts w:ascii="arial" w:eastAsia="arial" w:hAnsi="arial" w:cs="arial"/>
          <w:b/>
          <w:color w:val="000000"/>
          <w:sz w:val="20"/>
          <w:lang w:val="en-US" w:eastAsia="en-US" w:bidi="ar-SA"/>
        </w:rPr>
        <w:t xml:space="preserve">Bankruptcy and insolvency law — Creditors and claims — Claims — Claims by Crown — Application by Thandi to expunge $758,262 CRA claim in bankruptcy, and for discharge, allowed in part — CRA claim arose from Thandi's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handling financial affairs in 1990s — Claim no out of time because Thandi acknowledged debt in 2006 — Thandi not malicious or fraudulent and sold home to repay some CRA debt — Thandi living modestly and did not incur post-bankruptcy debt — Discharge granted on condition Thandi pay $40,000 to CRA — Bankruptcy and Insolvency Act, ss. 135, 172.1, 173.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Bankruptcy and insolvency law — Discharge of bankrupt — Conditional discharge — Upon total or partial repayment — Conduct of bankrupt — Lifestyle of bankrupt — Application by Thandi to expunge $758,262 CRA claim in bankruptcy, and for discharge, allowed in part — CRA claim arose from Thandi's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handling financial affairs in 1990s — Claim no out of time because Thandi acknowledged debt in 2006 — Thandi not malicious or fraudulent and sold home to repay some CRA debt — Thandi living modestly and did not incur post-bankruptcy debt — Discharge granted on condition Thandi pay $40,000 to CRA — Bankruptcy and Insolvency Act, ss. 135, 172.1, 173.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2" w:name="Case Summary_26"/>
            <w:bookmarkEnd w:id="2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Thandi to expunge the CRA's proof of claim in his bankruptcy, and for his absolute discharge. Thandi made his assignment into bankruptcy on August 1, 2014. He was 57 years old, and this was his first bankruptcy. CRA submitted a proof of claim for income taxes, penalties and interest totalling $758,262 for 1991 through 1994 and 1999. CRA's claim represented 89 per cent of Thandi's proven unsecured liabilities. The trustee opposed Thandi's discharge because Thandi failed to perform several of his duties as a bankrupt. The Crown also opposed the application. Thandi deposed that his tax liability resulted from CRA imposing taxes for revenues generated by other drivers who used his hauling license in exchange for a small portion of their earnings. He admitted that he was an alcoholic during the relevant years and that his memory of relevant events was therefore compromised. CRA provided affidavit evidence about garnishees that had been placed against Thandi's wages and a property he had owned with his ex-wife. Thandi had not maintained consistent employment since the early 2000s and was living with his son who also provided him with financial support. He made his assignment on the advice of an insolvency trustee, Saunders.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3" w:name="Holdings of Court_19"/>
            <w:bookmarkEnd w:id="203"/>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CRA's claim was not expunged. Thandi was entitled to his discharge conditional on his payment of $40,000 or five per cent of the tax debt. The present application was not the proper forum for challenging the underlying tax assessments. CRA demonstrated that Thandi acknowledged his tax debt in correspondence in 2006, such that the limitation period applicable to CRA's claim re-started and was not out of time. Thandi was negligent in managing his financial affairs in the 1990s, and negligent in failing to pursue a remedy for what he considered unfair treatment by CRA, but there was no evidence of malicious or fraudulent intent. He took steps to pay some of the debt by selling his home. He was not living a lavish lifestyle and had not incurred any post-bankruptcy debt.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4" w:name="Legislation Cited_19"/>
      <w:bookmarkEnd w:id="2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7"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634" w:history="1">
        <w:r>
          <w:rPr>
            <w:rFonts w:ascii="arial" w:eastAsia="arial" w:hAnsi="arial" w:cs="arial"/>
            <w:i/>
            <w:color w:val="0077CC"/>
            <w:sz w:val="20"/>
            <w:u w:val="single"/>
            <w:shd w:val="clear" w:color="auto" w:fill="FFFFFF"/>
            <w:lang w:val="en-US" w:eastAsia="en-US" w:bidi="ar-SA"/>
          </w:rPr>
          <w:t>R.S.C. 1985, c. B-3, s. 135(4)</w:t>
        </w:r>
      </w:hyperlink>
      <w:hyperlink r:id="rId634" w:history="1">
        <w:r>
          <w:rPr>
            <w:rFonts w:ascii="arial" w:eastAsia="arial" w:hAnsi="arial" w:cs="arial"/>
            <w:i/>
            <w:color w:val="0077CC"/>
            <w:sz w:val="20"/>
            <w:u w:val="single"/>
            <w:shd w:val="clear" w:color="auto" w:fill="FFFFFF"/>
            <w:lang w:val="en-US" w:eastAsia="en-US" w:bidi="ar-SA"/>
          </w:rPr>
          <w:t>, s. 135(5)</w:t>
        </w:r>
      </w:hyperlink>
      <w:hyperlink r:id="rId635" w:history="1">
        <w:r>
          <w:rPr>
            <w:rFonts w:ascii="arial" w:eastAsia="arial" w:hAnsi="arial" w:cs="arial"/>
            <w:i/>
            <w:color w:val="0077CC"/>
            <w:sz w:val="20"/>
            <w:u w:val="single"/>
            <w:shd w:val="clear" w:color="auto" w:fill="FFFFFF"/>
            <w:lang w:val="en-US" w:eastAsia="en-US" w:bidi="ar-SA"/>
          </w:rPr>
          <w:t>, s. 172.1</w:t>
        </w:r>
      </w:hyperlink>
      <w:hyperlink r:id="rId635" w:history="1">
        <w:r>
          <w:rPr>
            <w:rFonts w:ascii="arial" w:eastAsia="arial" w:hAnsi="arial" w:cs="arial"/>
            <w:i/>
            <w:color w:val="0077CC"/>
            <w:sz w:val="20"/>
            <w:u w:val="single"/>
            <w:shd w:val="clear" w:color="auto" w:fill="FFFFFF"/>
            <w:lang w:val="en-US" w:eastAsia="en-US" w:bidi="ar-SA"/>
          </w:rPr>
          <w:t>, s. 172.1(3)</w:t>
        </w:r>
      </w:hyperlink>
      <w:hyperlink r:id="rId635" w:history="1">
        <w:r>
          <w:rPr>
            <w:rFonts w:ascii="arial" w:eastAsia="arial" w:hAnsi="arial" w:cs="arial"/>
            <w:i/>
            <w:color w:val="0077CC"/>
            <w:sz w:val="20"/>
            <w:u w:val="single"/>
            <w:shd w:val="clear" w:color="auto" w:fill="FFFFFF"/>
            <w:lang w:val="en-US" w:eastAsia="en-US" w:bidi="ar-SA"/>
          </w:rPr>
          <w:t>, s. 172.1(4)</w:t>
        </w:r>
      </w:hyperlink>
      <w:hyperlink r:id="rId636" w:history="1">
        <w:r>
          <w:rPr>
            <w:rFonts w:ascii="arial" w:eastAsia="arial" w:hAnsi="arial" w:cs="arial"/>
            <w:i/>
            <w:color w:val="0077CC"/>
            <w:sz w:val="20"/>
            <w:u w:val="single"/>
            <w:shd w:val="clear" w:color="auto" w:fill="FFFFFF"/>
            <w:lang w:val="en-US" w:eastAsia="en-US" w:bidi="ar-SA"/>
          </w:rPr>
          <w:t>, s. 173(1)(a)</w:t>
        </w:r>
      </w:hyperlink>
      <w:hyperlink r:id="rId636" w:history="1">
        <w:r>
          <w:rPr>
            <w:rFonts w:ascii="arial" w:eastAsia="arial" w:hAnsi="arial" w:cs="arial"/>
            <w:i/>
            <w:color w:val="0077CC"/>
            <w:sz w:val="20"/>
            <w:u w:val="single"/>
            <w:shd w:val="clear" w:color="auto" w:fill="FFFFFF"/>
            <w:lang w:val="en-US" w:eastAsia="en-US" w:bidi="ar-SA"/>
          </w:rPr>
          <w:t>, s. 173(1)(e)</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Act, R.S.C. 1985, c. 1(5th Supp.), s. 129(2), s. 131(3), s. 132(2), s. 164(2), s. 203, s. 222, s. 222(1), s. 222(4), s. 222(5), s. 222(5)(b), s. 222(6), s. 222(7)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5" w:name="Counsel_28"/>
      <w:bookmarkEnd w:id="2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8"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Applicant: R. Pollard.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Creditor Minister of National Revenue: N.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Trustee Campbell Saunders Ltd.: H. Saunders.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6" w:name="Judgment_27"/>
      <w:bookmarkEnd w:id="206"/>
      <w:r>
        <w:pict>
          <v:line id="_x0000_s1169"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7" w:name="W.J. HARRIS J."/>
            <w:bookmarkEnd w:id="207"/>
            <w:r>
              <w:rPr>
                <w:rFonts w:ascii="arial" w:eastAsia="arial" w:hAnsi="arial" w:cs="arial"/>
                <w:b/>
                <w:color w:val="000000"/>
                <w:sz w:val="30"/>
                <w:lang w:val="en-US" w:eastAsia="en-US" w:bidi="ar-SA"/>
              </w:rPr>
              <w:t>W.J. HARRIS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applicant in these proceedings, Ajmer Singh Thandi, made a voluntary assignment into bankruptcy on August 1, 2014. On assignment, the Canada Revenue Agency (the "CRA") submitted a proof of claim for Mr. Thandi's outstanding personal income tax debt, penalties, and interest totalling $758,261.78 for the 1991, 1992, 1993, 1994, and 1999 taxation years (on a principal amount of $88,317.32), representing over 89% of Mr. Thandi's total proven unsecured liabilities at the time of bankruptcy (the "Proof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Thandi now brings two applications: one, seeking an order under s. 135(5)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that the CRA's Proof of Claim be expunged, and, the other, seeking an absolute discharge from bankruptcy. Her Majesty the Queen in right of Canada as represented by the Minister of National Revenue on behalf of the CRA opposes both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trustee had opposed the discharge because Mr. Thandi had failed to perform several of his duties under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in relation to his income reporting requirements. However, Mr. Thandi is now compliant and the trustee takes no position on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Thandi is 57 years old and has not been previously bankrupt. He has been separated from his wife since around 1999 and currently lives with his daughter and son-in-law in Surrey,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Thandi moved to Canada in 1973 from India. Despite only having completed grade 8 while in India, Mr. Thandi was able to secure employment in the forestry sector after moving to Canada. Mr. Thandi worked for a sawmill in Prince George from 1974 to 1992. From 1987 to 1989, he owned a truck that was used to haul lumber for the sawmill.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circumstances that lead to Mr. Thandi's tax debt are unclear. Mr. Thandi does not recall the specifics of the assessments that gave rise to his debt. In his filed affidavit, he explains:</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recall the specifics of the assessments that gave rise to my existing income tax liability. To the best of my memory, I recall that when I owned a truck involved in the trucking industry in 1989, the provincial government only granted a limited number of licenses to trucking businesses. Because my business had such a license, other truckers who wanted to work asked me if they could work for my business and I agreed to let them haul using my licence provided they paid me 5% of the profits. However, because all of the hauling done by the other drivers was done under my license, the CRA held me responsible for tax on all of the income that was generated under my licence number in 1989, even though I only received 5% of the income from the other drivers. I remember that I was assessed for approximately $70,000 in tax in the 1989 tax year due to this issue, but that is the only problem I remember having with the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does recall that, in the early 1990s, the CRA garnished his wages for a period of time and that he had difficulty finding work during this period due to "employers' reluctance to engage someone who was being pursued by the CRA". Mr. Thandi was also an alcoholic during this period which he claims further affected his memory of events and his ability to retain employment after he left the forestry sector.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CRA filed several affidavits in these proceedings in which it claims that the tax debt is a result of Mr. Thandi's failure to report his income appropriately. Howard Goldberg, a collections officer with the CRA and the officer with conduct of the CRA file concerning the bankruptcy of Mr. Thandi, deposed that the debts relate to the 1991, 1992, 1993, 1994, and 1999 taxation years. One of his affidavits exhibits collection diary notes made by various CRA agents over the years that indicate that the debt was largely a result of a reassessment of the 1991 tax year that occurred in or around 2000 that added business and RRSP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Goldberg deposed that Mr. Thandi objected to his tax assessments in respect of the 1991, 1992 and 1993 years and that the objections in respect of the 1992 and 1993 years were unsuccessful but that his objection in respect of the 1991 year was allowed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Goldberg deposed that Mr. Thandi's debt was certified with the Federal Court of Canada and judgments were registered against two properties owned and used as rental properties by Mr. Thandi and his former wife -- one in Surrey and the other in Prince George. The CRA proceeded to garnish wages from the rental incomes generated off of these properties from 2002 until 2004. When Mr. Thandi and his former wife sold the property in Surrey in 2004, the CRA received over $30,000 from the sale. In 2005, foreclosure proceedings were initiated by CIBC Mortgage Corporation against Mr. Thandi in respect of the property in Prince George. The CRA participated in those proceedings until their conclusion in 2006 when Mr. Thandi and his former spouse were permitted to sell the property on their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Since this period, Mr. Thandi has not maintained consistent employment and has had limited means. From 2009 until 2016, Mr. Thandi deposed that he was living with his son who supported him financially. Mr. Thandi attended to his son's children but did not do any other full time work. Occasionally, he worked as a delivery driver for Sonny's Pizza, a restaurant which is owned and operated by his former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2011, Mr. Thandi began working regularly for Sonny's Pizza as a delivery driver. However, in October of 2011, he was in a motor vehicle accident while driving impaired by alcohol. Mr. Thandi does not recall the nature of the injuries that were sustained in the accident, but, as a result of his inability to pay approximately $44,000 owed to the Insurance Corporation of British Columbia due to the accident, he was unable to renew his driver's licence and, therefore, unable to retain his employment as a delivery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Since April 2014, Mr. Thandi has been employed in the kitchen at Sonny's Pizza. He moved in with his daughter and son-in-law in January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April of 2014, Mr. Thandi spoke to Harold Saunders, a licensed insolvency trustee, who recommended bankruptcy as a means of dealing with Mr. Thandi's tax debt. Mr. Thandi deposed that he was not familiar with the bankruptcy system in Canada prior to this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respect of Mr. Thandi's assignment into bankruptcy on August 1, 2014, the CRA filed with the trustee the Proof of Claim on January 19, 2015, which was amended on March 5, 2015. The Proof of Claim was admitted by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will first consider the expungement application, and then I will turn to the application for discharge.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Expungement under s. 135(5) of the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Mr. Thandi's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Thandi submits that the Proof of Claim, which relates to assessments made prior to March 4, 2004, is statute-barred as exceeding the limitation period under s. 222(4)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R.S.C. 1985, c. 1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That section provides a limitation period of 10 years beginning on March 4, 2004 for the collection of a debt arising from an assessment that was issued prior to March 4, 2004. Mr. Thandi submits that he made his assignment into bankruptcy on August 1, 2014, more than 10 years after March 4, 2004 and that the claim should therefore be expunged.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Thandi also contends that he was not in a position to challenge the 1999 reassessment when it was completed as it occurred some years after the taxation years at issue and he did not have the relevant documentation. He claims he was not required to retain the documents for the relevant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CRA's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CRA submits that, under ss. 222(5) and (6)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the limitation period for the collections was restarted and has been extended beyond the original 10 years. It submits that the CRA's participation in the foreclosure proceedings in 2006 and certain written communications received by the CRA from Mr. Thandi's lawyer during this period are sufficient to satisfy the provisions to restart the applicable limitation period. The CRA contends that the stay imposed on bankruptcy would then have halted the limitation period: </w:t>
      </w:r>
      <w:r>
        <w:rPr>
          <w:rFonts w:ascii="arial" w:eastAsia="arial" w:hAnsi="arial" w:cs="arial"/>
          <w:i/>
          <w:color w:val="000000"/>
          <w:sz w:val="20"/>
          <w:lang w:val="en-US" w:eastAsia="en-US" w:bidi="ar-SA"/>
        </w:rPr>
        <w:t>Forsyth (Re)</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2011 BCSC 1203</w:t>
        </w:r>
      </w:hyperlink>
      <w:r>
        <w:rPr>
          <w:rFonts w:ascii="arial" w:eastAsia="arial" w:hAnsi="arial" w:cs="arial"/>
          <w:color w:val="000000"/>
          <w:sz w:val="20"/>
          <w:lang w:val="en-US" w:eastAsia="en-US" w:bidi="ar-SA"/>
        </w:rPr>
        <w:t xml:space="preserve"> at paras. 15 and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CRA also submits that, in seeking to expunge the claim, Mr. Thandi is attempting to re-litigate the foundation of his tax debt which is beyond the jurisdiction of this Court. Relying on the decision in </w:t>
      </w:r>
      <w:r>
        <w:rPr>
          <w:rFonts w:ascii="arial" w:eastAsia="arial" w:hAnsi="arial" w:cs="arial"/>
          <w:i/>
          <w:color w:val="000000"/>
          <w:sz w:val="20"/>
          <w:lang w:val="en-US" w:eastAsia="en-US" w:bidi="ar-SA"/>
        </w:rPr>
        <w:t>Jones (Re)</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2012 BCSC 1146</w:t>
        </w:r>
      </w:hyperlink>
      <w:r>
        <w:rPr>
          <w:rFonts w:ascii="arial" w:eastAsia="arial" w:hAnsi="arial" w:cs="arial"/>
          <w:color w:val="000000"/>
          <w:sz w:val="20"/>
          <w:lang w:val="en-US" w:eastAsia="en-US" w:bidi="ar-SA"/>
        </w:rPr>
        <w:t>, the CRA contends that this is a collateral attack on the jurisdiction of the Tax Court of Canada and the Federal Court of Appeal. The CRA notes that while Mr. Thandi did object to his tax assessments, he chose not to appeal further to the Tax Court of Canada and/or the Federal Court of Appeal when the assessments were made. He therefore cannot now challenge the assessments through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application to expunge is brought under s. 135(5)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expunge or reduce a proof of claim or a proof of security on the application of a creditor or of the debtor if the trustee declines to interfere in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Absent a successful challenge, a claim accepted by the trustee is deemed a provable claim in the amount accepted by the trustee, and this determination is "final and conclusive":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s. 135(4); </w:t>
      </w:r>
      <w:r>
        <w:rPr>
          <w:rFonts w:ascii="arial" w:eastAsia="arial" w:hAnsi="arial" w:cs="arial"/>
          <w:i/>
          <w:color w:val="000000"/>
          <w:sz w:val="20"/>
          <w:lang w:val="en-US" w:eastAsia="en-US" w:bidi="ar-SA"/>
        </w:rPr>
        <w:t>Green v. Green</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2015 ONCA 541</w:t>
        </w:r>
      </w:hyperlink>
      <w:r>
        <w:rPr>
          <w:rFonts w:ascii="arial" w:eastAsia="arial" w:hAnsi="arial" w:cs="arial"/>
          <w:color w:val="000000"/>
          <w:sz w:val="20"/>
          <w:lang w:val="en-US" w:eastAsia="en-US" w:bidi="ar-SA"/>
        </w:rPr>
        <w:t xml:space="preserve">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limitation periods for the collection of tax debts are found in s. 222(4)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period for the collection of a tax debt of a taxpayer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begins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notice of assessment, or a notice referred to in subsection 226(1), in respect of the tax debt is sent to or served on the taxpayer, after March 3, 2004, on the day that is 90 days after the day on which the last one of those notices is sent or served, and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subparagraph (i) does not apply and the tax debt was payable on March 4, 2004, or would have been payable on that date but for a limitation period that otherwise applied to the collection of the tax debt, on March 4, 2004;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ends, subject to subsection (8), on the day that is 10 years after the day on which it begins.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as the CRA notes, s. 222 goes on to read: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period described in subsection (4) for the collection of a tax debt of a taxpayer restarts (and ends, subject to subsection (8), on the day that is 10 years after the day on which it restarts) on any day, before it would otherwise end, on which</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taxpayer acknowledges the tax debt in accordance with subsection (6);</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commences an action to collect the tax debt; or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under subsection 159(3) or 160(2) or paragraph 227(10)(a), assesses any person in respect of the tax debt.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taxpayer acknowledges a tax debt if the taxpayer</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promises, in writing, to pay the tax debt;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makes a written acknowledgement of the tax debt, whether or not a promise to pay can be inferred from the acknowledgement and whether or not it contains a refusal to pay; or</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makes a payment, including a purported payment by way of a negotiable instrument that is dishonoured, on account of the tax debt.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 an acknowledgement made by a taxpayer's agent or legal representative has the same effect as if it were made by the taxpayer.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Before considering the limitation period applicable in these circumstances, I will address the CRA's arguments concerning re-litigation and collateral attack. The CRA relies on the decision in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xml:space="preserve"> to support the proposition that the application is inappropriate as it is an attempt to re-litigate the foundation of the tax debt which is beyond the jurisdiction of this Court. In that decision, a trustee had disallowed a CRA proof of claim because, in the trustee's view, the tax debt was based on evidence seized by police in violation of the bankrupt's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Justice Griffin rejected the trustee's arguments and held that the trustee had been wrong to disallow the claim as the bankrupt had previously exhausted all avenues available under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which provides a "complete code for a taxpayer to challenge any assessments levied":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xml:space="preserve"> at para. 78 citing from </w:t>
      </w:r>
      <w:r>
        <w:rPr>
          <w:rFonts w:ascii="arial" w:eastAsia="arial" w:hAnsi="arial" w:cs="arial"/>
          <w:i/>
          <w:color w:val="000000"/>
          <w:sz w:val="20"/>
          <w:lang w:val="en-US" w:eastAsia="en-US" w:bidi="ar-SA"/>
        </w:rPr>
        <w:t>Foote v. Canada (Attorney General)</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2011 BCSC 1062</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Here, Mr. Thandi's counsel raised issues about the lack of clarity of the tax debt underlying the Proof of Claim, referencing the CRA's failure to respond to their requests for evidence of the grounds for the 1991 reassessment and the delay in the reassessment that occurred in or around 2000. I accept the CRA's submissions that this is an inappropriate forum for Mr. Thandi to challenge the underlying assessments. Mr. Thandi chose not to further challenge his assessments and reassessments at the time they were completed through the Tax Court of Canada or the Federal Court of Appeal and cannot do so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Turning to whether the claim is barred due to the limitation period in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as noted above, the general limitation period to collect debts under s. 222(4) is 10 years for collection of a debt arising from an assessment that was issued prior to March 4, 2004. However, the limitation period can be restarted under s. 222(5). The relevant parts of that section state that a limitation period restarts on any day on which "the taxpayer acknowledges the tax debt" or any day on which "the Minister commences an action to collect the tax debt". Under s. 222(6), a taxpayer acknowledges a tax debt if the taxpayer promises, in writing, to pay the tax debt; makes a written acknowledgement of the tax debt; or makes a payment on account of the tax debt. For the purposes of the section, an acknowledgement made by a taxpayer's agent or legal representative has the same effect as if it were made by the taxpayer: s. 222(7).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Thandi submits that the CRA has failed to establish that the provisions have been satisfied such that the limitation period was restarted. While Mr. Thandi acknowledges that there were some proceedings taken by the Minister prior to 2004 to collect the debt, he argues that the only actions taken after 2004 was an appearance in CIBC's foreclosure proceedings in 2006 and that this is not sufficient to restart the limitation period under s.222(5)(b). Moreover, Mr. Thandi submits that the CRA has not provided sufficient evidence that he acknowledged the debt after 2004, specifically arguing that there is not sufficient evidence that he or his representative acknowledged the debt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CRA responds that its participation in the foreclosure proceeding is sufficient to be an "action" such as to restart the limitation period. Further, the CRA references the collection diary notes which contain an annotation that, in July 2006, the CRA received a letter from the lawyer for the bankrupt Mr. Thandi requesting confirmation that the CRA was prepared to release judgment so that the sale could proceed and the funds from the sale of the house could be sent to the CRA. It submits that this written acknowledgment is sufficient to restart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2004, the Minister's only action taken in relation to Mr. Thandi's debt was the participation in the foreclosure proceedings. While circumstances of their participation are not fully described, the evidence of Mr. Goldberg was that the CRA filed an Appearance on December 12, 2005, a Response was filed by the Minister of National Revenue on December 23, 2005, and that the "CRA participated in those foreclosure proceedings until their conclusion in or about October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Counsel did not direct me to cases that have considered s. 222(5)(b), however, "action" is defined under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in s. 222(1) to mean "</w:t>
      </w:r>
      <w:r>
        <w:rPr>
          <w:rFonts w:ascii="arial" w:eastAsia="arial" w:hAnsi="arial" w:cs="arial"/>
          <w:color w:val="000000"/>
          <w:sz w:val="20"/>
          <w:u w:val="single"/>
          <w:lang w:val="en-US" w:eastAsia="en-US" w:bidi="ar-SA"/>
        </w:rPr>
        <w:t>an action to collect a tax debt of a taxpayer</w:t>
      </w:r>
      <w:r>
        <w:rPr>
          <w:rFonts w:ascii="arial" w:eastAsia="arial" w:hAnsi="arial" w:cs="arial"/>
          <w:color w:val="000000"/>
          <w:sz w:val="20"/>
          <w:lang w:val="en-US" w:eastAsia="en-US" w:bidi="ar-SA"/>
        </w:rPr>
        <w:t xml:space="preserve"> and includes a proceeding in a court and anything done by the Minister under subsection 129(2), 131(3), 132(2) or 164(2), section 203 or any provision of this Part"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Applying the modern, purposeful and contextual approach to statutory interpretation as set out in </w:t>
      </w:r>
      <w:r>
        <w:rPr>
          <w:rFonts w:ascii="arial" w:eastAsia="arial" w:hAnsi="arial" w:cs="arial"/>
          <w:i/>
          <w:color w:val="000000"/>
          <w:sz w:val="20"/>
          <w:lang w:val="en-US" w:eastAsia="en-US" w:bidi="ar-SA"/>
        </w:rPr>
        <w:t>Bell ExpressVu Ltd. Partnership v. Rex</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2002 SCC 42</w:t>
        </w:r>
      </w:hyperlink>
      <w:r>
        <w:rPr>
          <w:rFonts w:ascii="arial" w:eastAsia="arial" w:hAnsi="arial" w:cs="arial"/>
          <w:color w:val="000000"/>
          <w:sz w:val="20"/>
          <w:lang w:val="en-US" w:eastAsia="en-US" w:bidi="ar-SA"/>
        </w:rPr>
        <w:t xml:space="preserve"> at paras. 26 and 27, I do not read these sections as requiring the Minister to have been the one to have initiated the proceedings in which the action to collect the debt occurs. Such a requirement would not be in line with the objectives of the </w:t>
      </w:r>
      <w:r>
        <w:rPr>
          <w:rFonts w:ascii="arial" w:eastAsia="arial" w:hAnsi="arial" w:cs="arial"/>
          <w:i/>
          <w:color w:val="000000"/>
          <w:sz w:val="20"/>
          <w:lang w:val="en-US" w:eastAsia="en-US" w:bidi="ar-SA"/>
        </w:rPr>
        <w:t>ITA</w:t>
      </w:r>
      <w:r>
        <w:rPr>
          <w:rFonts w:ascii="arial" w:eastAsia="arial" w:hAnsi="arial" w:cs="arial"/>
          <w:color w:val="000000"/>
          <w:sz w:val="20"/>
          <w:lang w:val="en-US" w:eastAsia="en-US" w:bidi="ar-SA"/>
        </w:rPr>
        <w:t xml:space="preserve"> to ensure individuals pay their required tax obligations. In my opinion, participation in the foreclosure proceedings with the express purpose of attempting to collect on the outstanding debt would be an "action to collect a tax debt" and is therefore sufficient to engage the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Moreover, I find that there is sufficient evidence to support the CRA having established that they received a written acknowledgement of the debt by counsel for Mr. Thandi in July 2006. The evidence provided in support is the notation found in the collection diary that states that Rai &amp; Company, lawyer for Mr. Thandi at the time, sent a letter dated July 18, 2006 requesting confirmation that the CRA would release judgments once any excess funds come to CRA. This evidence is not contradicted by Mr. Thandi in his affidavit and in the absence of evidence to the contrary, I find that in July 2006, Mr. Thandi acknowledged his debt in writing such that the limitation was restarted.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Given the above, I would dismiss the application to have the CRA's Proof of Claim expunged.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Discharge from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Mr. Thandi's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Thandi seeks an absolute discharge from bankruptcy, or, in the alternative, a discharge suspended for one week. He submits that there is no evidence of misconduct on his part other than the failure to pay his taxes and that, in the event a conditional order is imposed, the case law supports a condition that he repay on the lower end of 1% to 5% of the tax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Thandi provides several authorities where partial repayment has been imposed as a condition of bankruptcy. These include: </w:t>
      </w:r>
      <w:r>
        <w:rPr>
          <w:rFonts w:ascii="arial" w:eastAsia="arial" w:hAnsi="arial" w:cs="arial"/>
          <w:i/>
          <w:color w:val="000000"/>
          <w:sz w:val="20"/>
          <w:lang w:val="en-US" w:eastAsia="en-US" w:bidi="ar-SA"/>
        </w:rPr>
        <w:t>Stanzel (Re)</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2014 SKQB 187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Wutzke v. Minister of National Revenue</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2011 SKQB 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McRudden (Re)</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2014 BCSC 217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Gelpke (Re)</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2012 BCSC 1770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Baran (Re)</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2013 ONSC 7501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Desai (Re)</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2014 ONSC 136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Paine (Re)</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2011 BCSC 309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Birnie (Re)</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2015 BCSC 1350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McKinney (Re)</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2013 BCSC 1311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Mulyk (Re)</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2014 BCSC 351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Perrier (Re)</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2016 BCSC 912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Tjelta (Re)</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2012 BCSC 984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CRA's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CRA opposes an absolute discharge and instead seeks an order that Mr. Thandi's discharge be made conditional on a payment of the sum of $125,000 payable in monthly installments of not less than $500 with the right to prepay either in whole or in part. This represents approximately 16% of the outstanding debt. Further, the CRA requests that any discharge be conditional on Mr. Thandi completing all outstanding income tax and GST returns and paying any post-bankruptcy taxes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CRA provides several grounds for their opposition to an absolute discharge for Mr. Thandi. It submits that: as Mr. Thandi's assets are not of a value equal to fifty cents on the dollar on the amount of his unsecured liabilities, he is justly responsible for the shortfall under s. 173(1)(a)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Mr. Thandi has brought on or contributed to the bankruptcy by unjustifiable extravagance in living or by culpable neglect of his business affairs as defined in s.173(1)(e)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and that this is a tax-driven bankruptcy as defined by section 172.1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where Mr. Thandi is attempting to use the bankruptcy process to avoid payment of his tax liabilities. It submits that the principles of commercial morality, deterrence, and denunciation mandate a substantial condition for Mr. Thandi's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CRA relies on the following cases: </w:t>
      </w:r>
      <w:r>
        <w:rPr>
          <w:rFonts w:ascii="arial" w:eastAsia="arial" w:hAnsi="arial" w:cs="arial"/>
          <w:i/>
          <w:color w:val="000000"/>
          <w:sz w:val="20"/>
          <w:lang w:val="en-US" w:eastAsia="en-US" w:bidi="ar-SA"/>
        </w:rPr>
        <w:t>Kalenuik (Re)</w:t>
      </w:r>
      <w:r>
        <w:rPr>
          <w:rFonts w:ascii="arial" w:eastAsia="arial" w:hAnsi="arial" w:cs="arial"/>
          <w:color w:val="000000"/>
          <w:sz w:val="20"/>
          <w:lang w:val="en-US" w:eastAsia="en-US" w:bidi="ar-SA"/>
        </w:rPr>
        <w:t xml:space="preserve"> (7 July 2004), Vancouver Registry, 220612 VA01 (B.C.S.C.); </w:t>
      </w:r>
      <w:r>
        <w:rPr>
          <w:rFonts w:ascii="arial" w:eastAsia="arial" w:hAnsi="arial" w:cs="arial"/>
          <w:i/>
          <w:color w:val="000000"/>
          <w:sz w:val="20"/>
          <w:lang w:val="en-US" w:eastAsia="en-US" w:bidi="ar-SA"/>
        </w:rPr>
        <w:t>Paine (Re), Pinc (Re)</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2007 BCSC 380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Wagner (Re)</w:t>
      </w:r>
      <w:r>
        <w:rPr>
          <w:rFonts w:ascii="arial" w:eastAsia="arial" w:hAnsi="arial" w:cs="arial"/>
          <w:color w:val="000000"/>
          <w:sz w:val="20"/>
          <w:lang w:val="en-US" w:eastAsia="en-US" w:bidi="ar-SA"/>
        </w:rPr>
        <w:t xml:space="preserve">, (27 October 2015) Kelowna B52887 (B.C.S.C.); </w:t>
      </w:r>
      <w:r>
        <w:rPr>
          <w:rFonts w:ascii="arial" w:eastAsia="arial" w:hAnsi="arial" w:cs="arial"/>
          <w:i/>
          <w:color w:val="000000"/>
          <w:sz w:val="20"/>
          <w:lang w:val="en-US" w:eastAsia="en-US" w:bidi="ar-SA"/>
        </w:rPr>
        <w:t>Williams (Re)</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2005 BCSC 289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 Eeuwen (Re)</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2013 BCSC 1113</w:t>
        </w:r>
      </w:hyperlink>
      <w:r>
        <w:rPr>
          <w:rFonts w:ascii="arial" w:eastAsia="arial" w:hAnsi="arial" w:cs="arial"/>
          <w:color w:val="000000"/>
          <w:sz w:val="20"/>
          <w:lang w:val="en-US" w:eastAsia="en-US" w:bidi="ar-SA"/>
        </w:rPr>
        <w:t xml:space="preserve"> aff'g, </w:t>
      </w:r>
      <w:hyperlink r:id="rId658" w:history="1">
        <w:r>
          <w:rPr>
            <w:rFonts w:ascii="arial" w:eastAsia="arial" w:hAnsi="arial" w:cs="arial"/>
            <w:i/>
            <w:color w:val="0077CC"/>
            <w:sz w:val="20"/>
            <w:u w:val="single"/>
            <w:shd w:val="clear" w:color="auto" w:fill="FFFFFF"/>
            <w:lang w:val="en-US" w:eastAsia="en-US" w:bidi="ar-SA"/>
          </w:rPr>
          <w:t>2013 BCSC 26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Luoma (Re)</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2012 BCSC 922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Mr. Thandi's bankruptcy is subject to s. 172.1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xml:space="preserve"> which applies to individuals who have an outstanding personal income tax debt in excess of $200,000, where the amount owing represents 75% or more of the bankrupt's total unsecured proven claims. The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172.1 (1) In the case of a bankrupt who has $200,000 or more of personal income tax debt and whose personal income tax debt represents 75% or more of the bankrupt's total unsecured proven claims, the hearing of an application for a discharge may not be held before the expiry of</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bankrupt has never before been bankrupt under the laws of Canada or of any prescribed jurisdiction,</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9 months after the date of bankruptcy if the bankrupt has not been required to make payments under section 68 to the estate of the bankrupt at any time during those 9 months, or</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21 months after the date of bankruptcy, in any other case;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bankrupt has been a bankrupt one time before under the laws of Canada or of any prescribed jurisdiction,</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24 months after the date of bankruptcy if the bankrupt has not been required to make payments under section 68 to the estate of the bankrupt at any time during those 24 months, or</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36 months after the date of bankruptcy, in any other case;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any other bankrupt, 36 months after the date of the bankruptcy.</w:t>
      </w:r>
    </w:p>
    <w:p>
      <w:pPr>
        <w:numPr>
          <w:numId w:val="2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proceeding to the trustee's discharge and before the first day that the hearing could be held in respect of a bankrupt referred to in subsection (1), the trustee must, on five days notice to the bankrupt, apply to the court for an appointment for a hearing of the application for the bankrupt's discharge.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an application for a discharge referred to in subsection (1), the court shall, subject to subsection (4),</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 the discharge;</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suspend the discharge for any period that the court thinks proper; or</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the bankrupt, as a condition of his or her discharge, to perform any acts, pay any moneys, consent to any judgments or comply with any other terms that the court may direct.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 decision in respect of the application, the court must take into account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the bankrupt at the time the personal income tax debt was incurred;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efforts, if any, made by the bankrupt to pay the personal income tax debt;</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bankrupt made payments in respect of other debts while failing to make reasonable efforts to pay the personal income tax debt; and</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bankrupt's financial prospects for the future.</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makes an order suspending the discharge, the court shall, in the order, require the bankrupt to file income and expense statements with the trustee each month and to file all returns of income required by law to be filed.</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at any time after the expiry of one year after the day on which any order is made under this section, the bankrupt satisfies the court that there is no reasonable probability that he or she will be in a position to comply with the terms of the order, the court may modify the terms of the order or of any substituted order, in any manner and on any conditions that it thinks fit.</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powers of suspending and of attaching conditions to the discharge of a bankrupt may be exercised concurrently.</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this section, personal income tax debt means the amount payable, within the meaning of subsection 223(1) of the Income Tax Act without reference to paragraphs (b) to (c), by an individual and the amount payable by an individual under any provincial legislation that imposes a tax similar in nature to the income tax imposed on individuals under the Income Tax Act, including, for greater certainty, the amount of any interest, penalties or fines imposed under the Income Tax Act or the provincial legislation. It does not include an amount payable by the individual if the individual is or was a director of a corporation and the amount relates to an obligation of the corporation for which the director is liable in their capacity as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 court hearing is required for these individuals to obtain a discharge and, by s. 172.1(3), the court has the power during the hearing to: refuse the discharge; suspend the discharge; or require the bankrupt, as a condition of his or her discharge, to perform any acts, pay any moneys, consent to any judgments or comply with any other terms that the court may direct. In an application for discharge under the provision, courts must consider the factors found in s. 172.1(4). These factors closely align with the factors courts considered in tax-driven bankruptcies prior to the enactment of the provision: see </w:t>
      </w:r>
      <w:r>
        <w:rPr>
          <w:rFonts w:ascii="arial" w:eastAsia="arial" w:hAnsi="arial" w:cs="arial"/>
          <w:i/>
          <w:color w:val="000000"/>
          <w:sz w:val="20"/>
          <w:lang w:val="en-US" w:eastAsia="en-US" w:bidi="ar-SA"/>
        </w:rPr>
        <w:t>Pinc</w:t>
      </w:r>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section is aimed at ensuring that bankrupt individuals with significant income tax debt do not take advantage of the bankruptcy system by paying their other creditors to the exclusion of the government and by not paying their fair share of the public expenses. This was emphasized by the Ontario Superior Court of Justice in </w:t>
      </w:r>
      <w:r>
        <w:rPr>
          <w:rFonts w:ascii="arial" w:eastAsia="arial" w:hAnsi="arial" w:cs="arial"/>
          <w:i/>
          <w:color w:val="000000"/>
          <w:sz w:val="20"/>
          <w:lang w:val="en-US" w:eastAsia="en-US" w:bidi="ar-SA"/>
        </w:rPr>
        <w:t>Baran</w:t>
      </w:r>
      <w:r>
        <w:rPr>
          <w:rFonts w:ascii="arial" w:eastAsia="arial" w:hAnsi="arial" w:cs="arial"/>
          <w:color w:val="000000"/>
          <w:sz w:val="20"/>
          <w:lang w:val="en-US" w:eastAsia="en-US" w:bidi="ar-SA"/>
        </w:rPr>
        <w:t xml:space="preserve"> where the court noted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general approach on discharge applications taken by courts in tax-driven bankruptcies can be gleaned from two sources. In </w:t>
      </w:r>
      <w:r>
        <w:rPr>
          <w:rFonts w:ascii="arial" w:eastAsia="arial" w:hAnsi="arial" w:cs="arial"/>
          <w:i/>
          <w:color w:val="000000"/>
          <w:sz w:val="20"/>
          <w:lang w:val="en-US" w:eastAsia="en-US" w:bidi="ar-SA"/>
        </w:rPr>
        <w:t>Re Johnson</w:t>
      </w:r>
      <w:r>
        <w:rPr>
          <w:rFonts w:ascii="arial" w:eastAsia="arial" w:hAnsi="arial" w:cs="arial"/>
          <w:color w:val="000000"/>
          <w:sz w:val="20"/>
          <w:lang w:val="en-US" w:eastAsia="en-US" w:bidi="ar-SA"/>
        </w:rPr>
        <w:t xml:space="preserve">, [ </w:t>
      </w:r>
      <w:hyperlink r:id="rId660" w:history="1">
        <w:r>
          <w:rPr>
            <w:rFonts w:ascii="arial" w:eastAsia="arial" w:hAnsi="arial" w:cs="arial"/>
            <w:i/>
            <w:color w:val="0077CC"/>
            <w:sz w:val="20"/>
            <w:u w:val="single"/>
            <w:shd w:val="clear" w:color="auto" w:fill="FFFFFF"/>
            <w:lang w:val="en-US" w:eastAsia="en-US" w:bidi="ar-SA"/>
          </w:rPr>
          <w:t>(1987), 62 C.B.R. (N.S.) 108</w:t>
        </w:r>
      </w:hyperlink>
      <w:r>
        <w:rPr>
          <w:rFonts w:ascii="arial" w:eastAsia="arial" w:hAnsi="arial" w:cs="arial"/>
          <w:color w:val="000000"/>
          <w:sz w:val="20"/>
          <w:lang w:val="en-US" w:eastAsia="en-US" w:bidi="ar-SA"/>
        </w:rPr>
        <w:t xml:space="preserve"> (Ont. S.C.)] Saunders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remarkable feature of this particular application is the failure by the bankrupt to pay any significant amount towards income tax for the years 1983 and 1984 notwithstanding the substantial income earned in those years. While it is proper to arrange one's affairs to attract the minimum amount of tax, once tax has been assessed it is the duty of all Canadian taxpayers to pay the tax imposed. While family responsibilities are, of course, important, there is, apart from emergency medical expenses, no debt more important than the payment of taxes by persons enjoying a good income. If a taxpayer does not pay his fair share, the burden arising from that failure falls on the other members of the community. Most Canadians have their tax collected at source or pay what is owing when they file their return.6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Also, in the more recent case of </w:t>
      </w:r>
      <w:r>
        <w:rPr>
          <w:rFonts w:ascii="arial" w:eastAsia="arial" w:hAnsi="arial" w:cs="arial"/>
          <w:i/>
          <w:color w:val="000000"/>
          <w:sz w:val="20"/>
          <w:lang w:val="en-US" w:eastAsia="en-US" w:bidi="ar-SA"/>
        </w:rPr>
        <w:t>Re Rivers</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2013 BCSC 324</w:t>
        </w:r>
      </w:hyperlink>
      <w:r>
        <w:rPr>
          <w:rFonts w:ascii="arial" w:eastAsia="arial" w:hAnsi="arial" w:cs="arial"/>
          <w:color w:val="000000"/>
          <w:sz w:val="20"/>
          <w:lang w:val="en-US" w:eastAsia="en-US" w:bidi="ar-SA"/>
        </w:rPr>
        <w:t xml:space="preserve">], Master Baker quoted from </w:t>
      </w:r>
      <w:r>
        <w:rPr>
          <w:rFonts w:ascii="arial" w:eastAsia="arial" w:hAnsi="arial" w:cs="arial"/>
          <w:i/>
          <w:color w:val="000000"/>
          <w:sz w:val="20"/>
          <w:lang w:val="en-US" w:eastAsia="en-US" w:bidi="ar-SA"/>
        </w:rPr>
        <w:t>Bennett on Bankrupty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of the cases provide that a tax avoider should not be able to use the bankruptcy system as a means to escape payment. A bankrupt who does not pay taxes is not an honest and unfortunate debtor. Where the sole or principal creditor is the Canada Revenue Agency, the court has made orders requiring payment somewhere between 40 and 65 per cent of the claims as a deterrent.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This deterrence objective was emphasised in the decision of Master Young in </w:t>
      </w:r>
      <w:r>
        <w:rPr>
          <w:rFonts w:ascii="arial" w:eastAsia="arial" w:hAnsi="arial" w:cs="arial"/>
          <w:i/>
          <w:color w:val="000000"/>
          <w:sz w:val="20"/>
          <w:lang w:val="en-US" w:eastAsia="en-US" w:bidi="ar-SA"/>
        </w:rPr>
        <w:t>Tjelta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 the court has noted that the bankrupt who persistently ignores tax obligations is not a bankrupt who has suffered through an unhappy accident or unfortunate event which overtook him, but he or she is one who is indifferent to sharing the tax responsibility with other Canadians and who scoffs at the tax system, leaving other Canadians to pay for the benefits that this bankrupt also enjoys. This indifference towards tax obligations is considered misconduct, and in each case, the courts have imposed an obligation on the bankrupt to pay a percentage of the outstanding debt as a condition of discharge of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Based on these cases, a condition of repayment is required that advances the objective of deterrence and the condition should be "sufficiently burdensome to make the point that the bankrupt's conduct cannot be tolerated, but should not be unduly hard to the bankrupt to bear on a "go forward" basis": </w:t>
      </w:r>
      <w:r>
        <w:rPr>
          <w:rFonts w:ascii="arial" w:eastAsia="arial" w:hAnsi="arial" w:cs="arial"/>
          <w:i/>
          <w:color w:val="000000"/>
          <w:sz w:val="20"/>
          <w:lang w:val="en-US" w:eastAsia="en-US" w:bidi="ar-SA"/>
        </w:rPr>
        <w:t>Desai</w:t>
      </w:r>
      <w:r>
        <w:rPr>
          <w:rFonts w:ascii="arial" w:eastAsia="arial" w:hAnsi="arial" w:cs="arial"/>
          <w:color w:val="000000"/>
          <w:sz w:val="20"/>
          <w:lang w:val="en-US" w:eastAsia="en-US" w:bidi="ar-SA"/>
        </w:rPr>
        <w:t xml:space="preserve"> at para. 94. That said, the authorities vary on the appropriate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Baran</w:t>
      </w:r>
      <w:r>
        <w:rPr>
          <w:rFonts w:ascii="arial" w:eastAsia="arial" w:hAnsi="arial" w:cs="arial"/>
          <w:color w:val="000000"/>
          <w:sz w:val="20"/>
          <w:lang w:val="en-US" w:eastAsia="en-US" w:bidi="ar-SA"/>
        </w:rPr>
        <w:t>, the court dealt with an appeal of a decision of a registrar to decline to impose any condition on the discharge of a bankrupt in a tax-driven bankruptcy. The court held that the registrar had erred by not imposing a condition of repayment and imposed a condition on the bankrupt to repay approximately 1% of the principal given the bankrupt's obligation to care for her young children and her husband's gross yearly salary of $50,000.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survey of the case law filed by the appellant disclosed that in the last four years courts most usually impose, as a condition of discharge, payments in the range of 5% to 15% of the tax debt, with only two cases resulting in payments of 50% or more of the tax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Several other authorities provided by Mr. Thandi also support a lower repayment condition. In </w:t>
      </w:r>
      <w:r>
        <w:rPr>
          <w:rFonts w:ascii="arial" w:eastAsia="arial" w:hAnsi="arial" w:cs="arial"/>
          <w:i/>
          <w:color w:val="000000"/>
          <w:sz w:val="20"/>
          <w:lang w:val="en-US" w:eastAsia="en-US" w:bidi="ar-SA"/>
        </w:rPr>
        <w:t>Tjelta</w:t>
      </w:r>
      <w:r>
        <w:rPr>
          <w:rFonts w:ascii="arial" w:eastAsia="arial" w:hAnsi="arial" w:cs="arial"/>
          <w:color w:val="000000"/>
          <w:sz w:val="20"/>
          <w:lang w:val="en-US" w:eastAsia="en-US" w:bidi="ar-SA"/>
        </w:rPr>
        <w:t xml:space="preserve">, Master Young (as Registrar) ordered payment of approximately 5% of an outstanding tax debt. Further, in </w:t>
      </w:r>
      <w:r>
        <w:rPr>
          <w:rFonts w:ascii="arial" w:eastAsia="arial" w:hAnsi="arial" w:cs="arial"/>
          <w:i/>
          <w:color w:val="000000"/>
          <w:sz w:val="20"/>
          <w:lang w:val="en-US" w:eastAsia="en-US" w:bidi="ar-SA"/>
        </w:rPr>
        <w:t>Wutzke</w:t>
      </w:r>
      <w:r>
        <w:rPr>
          <w:rFonts w:ascii="arial" w:eastAsia="arial" w:hAnsi="arial" w:cs="arial"/>
          <w:color w:val="000000"/>
          <w:sz w:val="20"/>
          <w:lang w:val="en-US" w:eastAsia="en-US" w:bidi="ar-SA"/>
        </w:rPr>
        <w:t>, Schwann, J. ordered repayment of approximately 1% of the income tax claim in a "tax driven" bankruptcy. In reaching the amount, Schwann J. considered the bankrupt's young age; his working experience; the many earning years ahead of him; and his high tax debt, concluding that an order of payment was required to protect the integrity of the bankruptcy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CRA referred to several cases in support of a higher payment than requested by Mr. Thandi. In </w:t>
      </w:r>
      <w:r>
        <w:rPr>
          <w:rFonts w:ascii="arial" w:eastAsia="arial" w:hAnsi="arial" w:cs="arial"/>
          <w:i/>
          <w:color w:val="000000"/>
          <w:sz w:val="20"/>
          <w:lang w:val="en-US" w:eastAsia="en-US" w:bidi="ar-SA"/>
        </w:rPr>
        <w:t>Wagner</w:t>
      </w:r>
      <w:r>
        <w:rPr>
          <w:rFonts w:ascii="arial" w:eastAsia="arial" w:hAnsi="arial" w:cs="arial"/>
          <w:color w:val="000000"/>
          <w:sz w:val="20"/>
          <w:lang w:val="en-US" w:eastAsia="en-US" w:bidi="ar-SA"/>
        </w:rPr>
        <w:t xml:space="preserve">, Master Baker commented at para. 16 that cases in this Province reflected a range of 20% to 70% depending on the circumstances of the individual.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Registrar Bouck ordered a bankrupt to pay 40% of an outstanding CRA debt. In </w:t>
      </w:r>
      <w:r>
        <w:rPr>
          <w:rFonts w:ascii="arial" w:eastAsia="arial" w:hAnsi="arial" w:cs="arial"/>
          <w:i/>
          <w:color w:val="000000"/>
          <w:sz w:val="20"/>
          <w:lang w:val="en-US" w:eastAsia="en-US" w:bidi="ar-SA"/>
        </w:rPr>
        <w:t>Van Eeuwen</w:t>
      </w:r>
      <w:r>
        <w:rPr>
          <w:rFonts w:ascii="arial" w:eastAsia="arial" w:hAnsi="arial" w:cs="arial"/>
          <w:color w:val="000000"/>
          <w:sz w:val="20"/>
          <w:lang w:val="en-US" w:eastAsia="en-US" w:bidi="ar-SA"/>
        </w:rPr>
        <w:t xml:space="preserve"> this court upheld a decision of Registrar Cameron that ordered a bankrupt to pay 60% of the principal amount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While these judgments provide guidance for determination of an appropriate amount, I do not accept the CRA's suggestion that they establish a strict rule that where the sole or principal creditor is the CRA, the lower range for a conditional order is 20%. In reviewing these cases, it is clear that, while the goals in ordering partial repayment include deterrence, these orders must take into account the circumstances of the bankrupt and their ability to pay on an ongoing basis. For example, in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the bankrupt was a medical doctor that had historically enjoyed a net yearly income in excess of $70,000 and had been able to pay spousal and child support; purchase an RRSP; pay rent; and lease a vehicle during the bankruptcy. In </w:t>
      </w:r>
      <w:r>
        <w:rPr>
          <w:rFonts w:ascii="arial" w:eastAsia="arial" w:hAnsi="arial" w:cs="arial"/>
          <w:i/>
          <w:color w:val="000000"/>
          <w:sz w:val="20"/>
          <w:lang w:val="en-US" w:eastAsia="en-US" w:bidi="ar-SA"/>
        </w:rPr>
        <w:t>Van Eeuwen</w:t>
      </w:r>
      <w:r>
        <w:rPr>
          <w:rFonts w:ascii="arial" w:eastAsia="arial" w:hAnsi="arial" w:cs="arial"/>
          <w:color w:val="000000"/>
          <w:sz w:val="20"/>
          <w:lang w:val="en-US" w:eastAsia="en-US" w:bidi="ar-SA"/>
        </w:rPr>
        <w:t>, this court upheld the amount imposed by the Registrar specifically because the registrar "gave consideration to the ability of the appellant to meet the conditions imposed" which included a finding that the bankrupt had the ability to earn "substantial income":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Here, I find that Mr. Thandi has limited means to repay his tax debt going forward. He is 57 years old and has a grade 8 education from India and has not earned a significant income since sometime before 2009. Mr. Thandi's tax assessments since 2009 show no reported income and the trustee reports that his average net monthly income for the nine month bankruptcy period was approximately $700 a month. Mr. Thandi also has a history of alcoholism and is only currently working at a business owned by his former wife. I recognize that intentional under or non-employment should be considered and given weight in assessing ability to pay: </w:t>
      </w:r>
      <w:r>
        <w:rPr>
          <w:rFonts w:ascii="arial" w:eastAsia="arial" w:hAnsi="arial" w:cs="arial"/>
          <w:i/>
          <w:color w:val="000000"/>
          <w:sz w:val="20"/>
          <w:lang w:val="en-US" w:eastAsia="en-US" w:bidi="ar-SA"/>
        </w:rPr>
        <w:t>Luoma</w:t>
      </w:r>
      <w:r>
        <w:rPr>
          <w:rFonts w:ascii="arial" w:eastAsia="arial" w:hAnsi="arial" w:cs="arial"/>
          <w:color w:val="000000"/>
          <w:sz w:val="20"/>
          <w:lang w:val="en-US" w:eastAsia="en-US" w:bidi="ar-SA"/>
        </w:rPr>
        <w:t xml:space="preserve"> at para. 18. I am satisfied that Mr. Thandi does not have any significant assets and that Mr. Thandi is currently employed in as good of a position as he will likely be able to find - given his limited skills and history of alcoholism.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 lower repayment amount is also supported by consideration of the factors found in s. 172.1(4)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 As noted above, the factors mandate consideration of the circumstances of the bankrupt at the time the personal income tax debt was incurred; the efforts, if any, made by the bankrupt to pay the personal income tax debt; whether the bankrupt made payments in respect of other debts while failing to make reasonable efforts to pay the personal income tax debt; and the bankrupt's financial prospects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Thandi was negligent in managing his financial affairs in the 1990s in relation to his tax liabilities. He had an obligation to pay his taxes and bear his portion of the public cost or to pursue the available remedies at the time if he felt he was being treated unfairly. He did not do so. However, there is no evidence of maliciousness or fraudulent activity by Mr. Thandi. He previously took steps to deal with his tax obligations. Mr. Thandi voluntarily sold his home in Surrey in 2004, with a significant amount of the sale proceeds going to the CRA. I do not accept that Mr. Thandi has lived a lavish lifestyle before or during the bankruptcy. There is also no evidence that Mr. Thandi has incurred any post-bankruptcy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Given his circumstances, I find that requiring a payment of $40,000, which is approximately 5% of the tax debt, as a condition of discharge would satisfy the policy objectives of s. 172.1 of the </w:t>
      </w:r>
      <w:r>
        <w:rPr>
          <w:rFonts w:ascii="arial" w:eastAsia="arial" w:hAnsi="arial" w:cs="arial"/>
          <w:i/>
          <w:color w:val="000000"/>
          <w:sz w:val="20"/>
          <w:lang w:val="en-US" w:eastAsia="en-US" w:bidi="ar-SA"/>
        </w:rPr>
        <w:t>BIA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Thandi is granted a discharge from bankruptcy, conditional on payment of the sum of $40,000 with minimum monthly payments in the amount agreed to by the parties based on Mr. Thandi's income as it may change from time to time until paid in full, with liberty to pre-pay all or part of the full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will also be an order requiring Mr. Thandi to comply with his post-bankruptcy income tax obligations as reported by the CRA to the trustee, such that all personal income tax and GST returns be filed by their due dates, with payments in full if tax is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success in this application is divided, there will be no order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W.J. HARRIS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0"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Uppal v. Chung, [2017] B.C.J. No. 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MacNaughton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21-25, 28-30, December 1-2, 5-6,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M130654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Gaganjit Singh Uppal, Plaintiff, and Kulwinder S. Chung, Sovereign Vehicle Leasing Ltd., Seven Horses Transport Ltd., Neha Sawal, and Ashok Kumar Sawal,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1"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8" w:name="Keywords_29"/>
      <w:bookmarkEnd w:id="208"/>
      <w:r>
        <w:rPr>
          <w:rFonts w:ascii="arial" w:eastAsia="arial" w:hAnsi="arial" w:cs="arial"/>
          <w:b/>
          <w:color w:val="000000"/>
          <w:sz w:val="20"/>
          <w:lang w:val="en-US" w:eastAsia="en-US" w:bidi="ar-SA"/>
        </w:rPr>
        <w:t>Damages — Physical and psychological injuries — Physical injuries — Body injuries — Soft tissue — Considerations impacting on award — Credibility — Action by plaintiff for damages to compensate for two motor vehicle accidents allowed in part — Plaintiff, age 54, collided with semi in May 2011 and oncoming vehicle in December 2012 — Liability was established with respect to first accident, but not second — Plaintiff sought extensive damages for physical and psychological injuries — Plaintiff was unrepresented and failed to adduce expert evidence establishing causation — Plaintiff likely suffered soft tissue injuries in first accident that would have resolved in 18 months — Plaintiff awarded general damages of $40,000 plus $20,000 for lost income — Remainder of claims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Special damages — Past loss of income — Non-pecuniary loss — Action by plaintiff for damages to compensate for two motor vehicle accidents allowed in part — Plaintiff, age 54, collided with semi in May 2011 and oncoming vehicle in December 2012 — Liability was established with respect to first accident, but not second — Plaintiff sought extensive damages for physical and psychological injuries — Plaintiff was unrepresented and failed to adduce expert evidence establishing causation — Plaintiff likely suffered soft tissue injuries in first accident that would have resolved in 18 months — Plaintiff awarded general damages of $40,000 plus $20,000 for lost income — Remainder of claims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9" w:name="Case Summary_27"/>
            <w:bookmarkEnd w:id="2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against multiple defendants, for damages to compensate for personal injuries sustained in two motor vehicle accidents. In May 2011, the plaintiff's vehicle collided with a semi-trailer truck driven by Chung and leased from Sovereign Vehicle Leasing. Chung towed trailers owned by his employer, Seven Horses Transport. The second accident occurred in December 2012. The plaintiff was turning left when he was struck by a vehicle owned and operated by the Sawal defendants. Liability was at issue in both accidents. The plaintiff, age 54, alleged that the accidents caused chronic pain, a major depressive disorder and severe psychological stress. He sought general damages, plus damages for lost income, past and future loss of earning capacity, costs of future care, special damages, and damages for lost housekeeping capacity. The plaintiff was unrepresented at trial and did not file any expert evidence supporting a causal connection between his injuries and either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0" w:name="Holdings of Court_20"/>
            <w:bookmarkEnd w:id="210"/>
            <w:r>
              <w:rPr>
                <w:rFonts w:ascii="arial" w:eastAsia="arial" w:hAnsi="arial" w:cs="arial"/>
                <w:color w:val="000000"/>
                <w:sz w:val="20"/>
                <w:lang w:val="en-US" w:eastAsia="en-US" w:bidi="ar-SA"/>
              </w:rPr>
              <w:t>HELD: Action against Chung allowed in part, with remainder of claims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evidence regarding the cause of the first accident was credible and consistent, whereas Chung was evasive and contradictory. The evidence as a whole established that Chung was entirely responsible for the first accident by moving into the plaintiff's lane and colliding with his vehicle. With respect to the second accident, an independent account supported Sawal's evidence the plaintiff turned left without yielding to oncoming traffic. The plaintiff was thus entirely responsible for the second accident. The plaintiff's account of his pain was entirely subjective. The plaintiff likely suffered a soft tissue injury in the first accident that would have affected his ability to work for approximately 18 months. The plaintiff was awarded general damages of $40,000 plus damages of $20,000 for past loss of income. The remainder of his claims were unsupported by evidence and were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1" w:name="Legislation Cited_20"/>
      <w:bookmarkEnd w:id="2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2"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11-6(10), Rule 11-7(2)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669" w:history="1">
        <w:r>
          <w:rPr>
            <w:rFonts w:ascii="arial" w:eastAsia="arial" w:hAnsi="arial" w:cs="arial"/>
            <w:i/>
            <w:color w:val="0077CC"/>
            <w:sz w:val="20"/>
            <w:u w:val="single"/>
            <w:shd w:val="clear" w:color="auto" w:fill="FFFFFF"/>
            <w:lang w:val="en-US" w:eastAsia="en-US" w:bidi="ar-SA"/>
          </w:rPr>
          <w:t>R.S.B.C. 1996, c.318, s. 174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2" w:name="Counsel_29"/>
      <w:bookmarkEnd w:id="2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3"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Gaganjit Singh Uppal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Bretton.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3" w:name="Judgment_28"/>
      <w:bookmarkEnd w:id="213"/>
      <w:r>
        <w:pict>
          <v:line id="_x0000_s1174"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4" w:name="H. MacNAUGHTON"/>
            <w:bookmarkEnd w:id="214"/>
            <w:r>
              <w:rPr>
                <w:rFonts w:ascii="arial" w:eastAsia="arial" w:hAnsi="arial" w:cs="arial"/>
                <w:b/>
                <w:color w:val="000000"/>
                <w:sz w:val="30"/>
                <w:lang w:val="en-US" w:eastAsia="en-US" w:bidi="ar-SA"/>
              </w:rPr>
              <w:t>H. MacNAUGHTON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Gaganjit Uppal claims damages for personal injuries he says he sustained in two motor vehicle accidents (the "first MVA" and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MVA occurred on May 20, 2011, on the Alex Fraser Bridge (the "Bridge"). Mr. Uppal was travelling from his workplace in Richmond to his home in Surrey. Mr. Uppal's Toyota Corolla collided with a semi-trailer truck, towing two trailers, and driven by Kulwinder Chung (the "semi"). The semi was leased by Mr. Chung from Sovereign Vehicle Leasing Ltd. The two trailers were owned by Seven Horses Transport Ltd., who, at the time, employed Mr. Chung as an owner/operator. Mr. Uppal and Mr. Chung disagree about who was at fault for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MVA was on December 4, 2012, when Mr. Uppal was on his way to work. He turned left in front of a vehicle driven by Neha Sawal and owned by her father, Ashok Sawal. Mr. Uppal argues that Ms. Sawal should have driven with more care and that if she had done so, she could have avoided the collision. Ms. Sawal denies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is a significant issue in both MVAs. If Mr. Uppal is able to establish liability, the quantum of any damages to which he may be entitled is also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Uppal was represented by counsel until the summer of 2016. He was not represented at the trial. At two trial management conferences, and in correspondence from the defendants' counsel, he was urged to seek counsel either to represent him or to give him advice about the various procedural steps necessary to present his case. At the commencement of trial, I asked him whether he was seeking an adjournment, and he advised me that he was not and just wanted to get the trial over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Uppal did not file any expert reports or call any expert medical evidence to support a causal connection between his injuries and either of the two MVAs. As a result, the only direct evidence I have about Mr. Uppal's injuries is his. Certain clinical records from his family doctor and various other treating specialists were in evidence; but, as is settled law, absent an expert report from a medical practitioner, clinical records may only be considered for limited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Those purposes were explained by Justice Metzger in </w:t>
      </w:r>
      <w:r>
        <w:rPr>
          <w:rFonts w:ascii="arial" w:eastAsia="arial" w:hAnsi="arial" w:cs="arial"/>
          <w:i/>
          <w:color w:val="000000"/>
          <w:sz w:val="20"/>
          <w:lang w:val="en-US" w:eastAsia="en-US" w:bidi="ar-SA"/>
        </w:rPr>
        <w:t>Seaman v. Crook</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2003 BCSC 464</w:t>
        </w:r>
      </w:hyperlink>
      <w:r>
        <w:rPr>
          <w:rFonts w:ascii="arial" w:eastAsia="arial" w:hAnsi="arial" w:cs="arial"/>
          <w:color w:val="000000"/>
          <w:sz w:val="20"/>
          <w:lang w:val="en-US" w:eastAsia="en-US" w:bidi="ar-SA"/>
        </w:rPr>
        <w:t xml:space="preserve"> at paras. 14 - 15. In summary, a doctor's observations and prescribed treatments are facts and admissible as such without further proof; diagnoses made by a doctor, statements made by a patient, and diagnoses made by a person to whom a doctor has referred the patient are admissible for the fact they were made, but not their truth; and any statement by a patient or a third party that is not within the observation of a doctor or person who, in the ordinary course of business, has a duty to record those statements, is not admissible for any purpose. Finally, opinions contained in clinical records are not admissible for their truth; they are admissible only for the fact that they were reached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addition to Mr. Uppal's testimony, I heard from his daughter, Sukhjinder Kaur Uppal, and his daughter-in-law, Chandeep Lamba. Ms. Uppal testified about the changes she saw in her father after the first MVA, and his current physical condition and limitations. Ms. Lamba testified about his current physical condition and limitations. She did not meet him until after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her trial brief filed for a November 16, 2016 trial management conference, defendants' counsel advised that, depending on the evidence tendered by Mr. Uppal, she might submit expert reports and call evidence from three experts who examined Mr. Uppal on behalf of the defendants. They were: Dr. Rakesh Lamba, a psychiatrist; Dr. Robin Rickards, an orthopaedic surgeon; and Robert Gander, an occupational therapist who conducted a functional capacity evaluation. At the trial management conference, defendants' counsel advised the Court that she would not be calling Dr. Lamba, but depending on Mr. Uppal's case, she expected to call Dr. Rickards and Mr. Gander.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trial, after hearing Mr. Uppal's opening statement and evidence, and on learning that he was not calling any medical evidence, defendants' counsel advised that she would not be calling any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explained to Mr. Uppal that the defence was not required to call any experts, and that defendants' counsel had advised him of that possibility in written and email correspondence, in the defendants' trial brief, and orally at the trial management conference. Despite that advance notice, Mr. Uppal expressed some dismay.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Despite Mr. Uppal's not having objected to Dr. Rickards' report under R. 11-6(10)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or formally advising defendants' counsel that he required Dr. Rickards for cross-examination under R. 11-7(2), I was concerned about the fairness of the process to a self-represented litigant. At my request, defence counsel made arrangements for Dr. Rickards to attend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Mr. Uppal's request, I also permitted him to call Mr. Gander as his own expert despite the fact that he had not re-served Mr. Gander's report as part of his case. In my view, a fair trial required both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Uppal's Personal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Uppal is 54 years old. He was born and educated in India. He obtained a Bachelor's Degree in Commerce and, in the mid-1980s, did post-graduate work in computer science. He worked in the computer field, developing business application systems for various employers. After his family moved to Punjab, Mr. Uppal began teaching computer courses to post-graduate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2002, Mr. Uppal came to Canada with his wife and two children. His son had then completed Grade 10, and his daughter Grade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Despite his education and background, Mr. Uppal was unable to find work in his field in Canada. His wife went to work at berry farms and greenhouses, and supported the family while Mr. Uppal researched work opportunities at centres for new immigrants. A few months later, Mr. Uppal got his first job at a Mac's convenience store in downtown Vancouver. He worked ten-hour graveyard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less than two years, Mr. Uppal and his wife were able to save enough money for him to attend the BC Institute of Technology ("BCIT") where he took an intensive course in office administration and technology. The program also gave him co-operative opportunities. He excelled in the program and in 2004, upon completion, he obtained a customer support position with Incomm Canada ("Incomm"), a technology company which provided 24-hour technical support for vendors of prepaid electronic gift cards across Canada and, at one time,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Initially, Mr. Uppal worked the graveyard shift at Incomm but he began working day shifts after about a year. He testified that he was a quick learner. Mr. Uppal testified that he maintained a disciplined life and enjoyed both his work and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about three or four years, Incomm provided Mr. Uppal with a month's annual vacation. He did not usually take his vacation but accumulated it or had it paid out. At some point, prior to the first MVA, Mr. Uppal took a vacation to India and Great Britain with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Shortly after the family returned from vacation, Mr. Uppal's wife suffered a significant health issue, and Mr. Uppal took three weeks off work to care for her. Otherwise, he took very little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meantime, Mr. Uppal's son graduated from high school, completed an engineering degree and is now employed as an engineer. He is a married father of one. Mr. Uppal's daughter also completed high school and, at trial, was in her final year of studies at Simon Fraser University. The extended family resides together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Uppal continued working with Incomm, on a full-time basis, until his first MVA on May 20, 2011. Following it, he was off work for a period of months but was well into a gradual return to work program, working towards full-time hours, when the second MVA occurred. Mr. Uppal has not returned to work since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Uppal assigns most of the blame for his current health and work situation to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about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Uppal and Mr. Chung agree about the date, time, and approximate location of the first MVA, but give very different accounts of how the accident happened, and who was responsible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Chung called three witnesses who were at the accident scene on the date of the accident: Michael Vandas, a pick-up truck driver who was also crossing the Bridge that evening; Constable Grayson Smith, an off-duty RCMP officer who came upon the accident shortly after it occurred; and RCMP Constable Sean Jeffery who was one of two investigating officers. Neither Constable Smith or Constable Jeffery observed the accident. They could only describe the scene when they arrived and what they were told. Mr. Vandas did not see the initial collision, only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Thus, for the most part, liability must be resolved by assessing the credibility of the two drivers, taking into account that Mr. Uppal has the onus of proving that Mr. Chung was, in whole or in part, liable for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evidence of Mr. Vandas, and Constables Smith and Jeffery was helpful in assessing Mr. Uppal's and Mr. Chung's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behalf of Mr. Chung, I also heard evidence from Kim Suto, an independent investigator retained by the defendants. She provided testimony and photographs about the scene of the first MVA. As set out below, Ms. Suto also investigated the second MVA.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Uppal's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May 20, 2011, Mr. Uppal was driving from his office in Richmond to his home in Surrey. He testified that he left his office at about 3:30 p.m. and joined Highway 91, travelling southbound, over the Bridge, towards the Nordel Way exit at the south end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testified that, at the point of impact, the Bridge has three southbound lanes. Two lanes have joined the Bridge from Highway 91 in Richmond, and one lane has joined from Highway 91A in New Westminster. The two lanes from Richmond become the left and middle lanes on the Bridge, and the lane from New Westminster becomes the right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Uppal testified that he was travelling in the right lane, having earlier positioned himself in that lane to facilitate his upcoming right exit onto Nordel Way. He said he had no reason to leave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Uppal testified that it was rush hour and, as is typical on the Bridge, there was stop-and-go traffic. As is usual in multi-lane traffic, the traffic in the right and middle lanes proceeded at different speeds: one would advance and then the other as traffic proceeded across the Bridge. He noticed, what he now knows to be Mr. Chung's semi, travelling in the middle lane beside him and said that sometimes the semi was ahead of him and, at other times, parallel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Vandas, and Constables Smith and Jeffrey all agreed that there was heavy traffic on the Bridge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Uppal testified that, as he reached the point of the Bridge where traffic began picking up speed, which he estimated to be after the first lane of merging traffic from Annacis Island, and as the gap between his car and the car ahead of him widened, he started to speed up as did the semi in the middle lane. Mr. Uppal testified that the semi was somewhat ahead of him and travelling faster than he was. He estimated that the distance from the front of the semi to the front of his car was five to seven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Uppal testified that the semi swerved dangerously close to the white line dividing the middle and right lanes. He said he sensed danger and believed that Mr. Chung was going to change lanes. He said he could not brake or slow down because he believed that, if the semi travelled into his lane, he would be killed. Mr. Uppal got a firm grip on his steering wheel. He sped up, fully depressing his accelerator, to move ahead of the semi, hoping that the semi would slow down when the driver saw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Uppal testified that he felt, what he described as, a gentle nudge to, or pushing on, the left rear of his car which caused his steering to wobble a little. Slowly, he felt the pushing on the left rear increasing, and he had more difficulty steering straight. He then felt something "dig deep" into the left rear of his car, causing it to turn sideways in front of the semi.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Uppal testified that, for what he estimated to be the next eight to ten seconds, his car remained sideways in front of the semi, with the driver's side of his car against the front bumper of the semi. The semi repeatedly hit him, pushed him forward, released, and then hit him again. He testified that this happened "hundreds" of times, causing severe jolts to his head and neck, and pushes to his shoulder. He said that his life passed before him, and he believed that he was going to be killed either because the semi would crush his car or flip it over and roll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Uppal testified that, after eight to ten seconds, Mr. Chung realized that Mr. Uppal's vehicle was in front of his semi and braked. Mr. Uppal heard a loud noise and felt as if he was being pushed off a cliff. The vehicles separated, and Mr. Uppal's car spun and ended up in the left lane facing southbound. Mr. Uppal braked and brought his car to a halt and put on his hazard lights. The air bags in his vehicle did not deploy. He was concerned that he would be rear-ended but saw, in his rear-view mirror, that the traffic behind him in the left lane had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Uppal testified that he was in shock and traumatized, but relieved because he had survived the accident. He was approached by a man, now known to be Mr. Vandas, who knocked on his window and asked him if he was okay. Mr. Uppal rolled down his window part way, but was unable to speak and felt that if he forced himself to, he would cry. He gave Mr. Vandas a "thumbs up" to let him know he was okay. Mr. Vandas called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Uppal said that, in his rear-view mirror, he saw Mr. Chung move the semi into the right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Uppal said that he was unsure whether he was able to speak to Constable Smith when the latter asked him if he was okay. Constable Smith directed him to move his vehicle into the right lane and, after hesitating, he did so with Constable Smith guiding him. Constable Smith then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the fire crew arrived, they also asked Mr. Uppal if he was okay and opened his car door so that he could receive assistance from the ambulance crew. He believes that the fire crew assisted him to walk to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ambulance crew asked him about his prior health, and he answered. When asked, he said he was not in pain but described himself as still being in shock and traumatized. He was given an option of going to the hospital or home. He was worried about his wife. He asked the ambulance crew for their opinion as to what he should do and decided that he would go home. Mr. Uppal acknowledged that he was not cut or bleeding and suffered no broken bones in the MVA. Mr. Uppal described himself as "shivering"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Uppal signed a release for the ambulance crew and waited for Constable Jeffery, who was speaking to Mr. Chung, to come and talk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Constable Jeffery asked him what had happened and he started to slowly explain how he and Mr. Chung had travelled parallel to each other, but that as traffic sped up, he was five - seven feet behind the semi. Mr. Uppal testified that Constable Jeffery cut him off and said that he was contradicting himself. Constable Jeffrey said that "the other driver said you changed lanes", and that he was in Mr. Chung's blind spot and Mr. Chung did not see him. Mr. Uppal tried to explain that it was Mr. Chung who was pushing his vehicle, but despite his protestations, Constable Jeffery walked away and told him to give his complete statement to the Insurance Corporation of British Columbia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Uppal testified that arrangements were made to tow his vehicle and a second officer, Constable Gill, drove him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Chung's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Chung was returning from delivering a load and travelling across the Bridge from Richmond to go to his employer's yard in Surrey. He intended to take the exit at Highway 17, formerly the River Road exit. The semi was a 1999 Peterbilt, and he was hauling two trailers. He testified that the total length of his vehicle was between 82 and 83.5 feet. He had conducted a safety inspection of the truck before leaving Richmond. There were no issues with respect to the steering or brakes. The semi had four mirrors: two larger ones which show the load, and two smaller ones which are lower down. He acknowledged that he had a blind spot from six to eight feet back from the front bumper of the semi to about where he was seated in the cab of the semi.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Chung said that he was very familiar with the Bridge as he regularly travelled across it in the course of his employment, sometimes more than twice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Chung testified that he was not "100%" sure but believed that the accident happened where the first of two lanes of traffic merges from Annacis Island into the right lane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Chung testified that he had been travelling at speeds of 70-80 kph but, as traffic slowed, he decreased his speed to 50-55 kph. He was driving in the middle lane with both windows rolled down. He testified that he heard something hit his truck near the front, and he applied his brakes right away. He saw a car touch his vehicle, and he believed it then went into the left lane. He recalled that the car stopped after some distance. A pick-up truck travelling in the left lane also stopped, and the driver, Mr. Vandas, and he both walked towards Mr. Uppal's car. Mr. Uppal was sitting in his car leaning backwards. Mr. Chung did not speak to Mr. Uppal, but Mr. Vandas did. Mr. Uppal did not say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Chung testified that Constable Smith, an off-duty police officer, arrived on a motorcycle and told him, Mr. Uppal, and Mr. Vandas to move their vehicles into the right lane. Mr. Chung moved his truck to the right about where a second lane from Annacis Island merges with the Bridge. Mr. Uppal and Mr. Vandas also moved their vehicles to the right. Fire trucks were the first emergency vehicles to arrive, followed by an ambulance and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the investigating officers arrived, and checked Mr. Chung's identification and insurance, they gave him a file number and told him to go. The fire, ambulance, and police were still there. While Mr. Uppal was being attended to by the ambulance crew, Mr. Chung left and reported the accident to ICBC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Chung denied that he ever moved out of the middle lane of traffic. He testified that his route required him to move into the right lane eventually, and that he always waited to do so until after the second lane of traffic merges from Annacis Island, closer to the top of the Bridge.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Michael Vandas'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Vandas, who works as a professional driver in the film industry, was driving home in his pick-up truck from Burnaby to Surrey crossing the Bridge. He was in the left lane, approaching the Bridge. At a location, which he estimated to be where the second Annacis Island lane merged with the Bridge traffic, he observed a semi ahead of him in the middle lane, repeatedly hitting its brakes and letting go. The trailers were moving forwards and backwards, not side to side. He described the braking as not "normal", which is why it caught his attention. As he passed the semi, the trailers continued jerking, and he noticed a car sideways in front of the semi and being pushed by it. In cross-examination, Mr. Vandas said that as the car was being pushed, it would separate from the front of the truck, and then get hit repeatedly.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Vandas testified that when he first saw the semi, it was in the middle lane driving ahead of him and, during the time it caught his attention, it stayed in that lane. He was unsure what lane it was in after the accident. He did not see the initial collision or how the car came to be in front of the semi, nor could he tell how long the car had been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Vandas looked in his rear-view mirror and noticed that traffic had come to a stop. He stopped his vehicle and ran back. He saw Mr. Uppal in his car and, because it appeared that Mr. Uppal was in shock, Mr. Vandas called 911 to have a professional assess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said he then approached the driver of the semi who was sitting in the driver's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Vandas said that an off-duty police officer, whom we know to be Constable Smith, arrived and asked him to move his pick-up truck. Mr. Uppal moved his car, but he did not recall Mr. Chung moving the semi. Constable Smith gave Mr. Vandas his business card, to be given to the first emergency responder who arrived at the scene, and left. Mr. Vandas recalled giving Constable Smith's card to a fireman.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Later that month, he signed a statement for ICBC. At a later date, he signed a second statement prepared by Kim Suto, an independent adjuster who did some investigation work for defendants' counsel. He also filed an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Constable Grayson Smith's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Constable Smith is an officer with the Delta Police. On May 20, 2011, he was on his way from home to work, driving across the Bridge on his personal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did not see the collision between Mr. Uppal's car and Mr. Chung's semi. He testified that he was driving for several minutes in stop-and-go traffic before he reached the area of the collision, which he described as being at, or past, the curve on the uphill climb from Annacis Island. He believed that the accident was recent as there were no emergency personnel on the scene. Two vehicles were stopped in the left lane, and the semi was stopped in the right lane, causing all traffic to have to funnel into one lane. He pulled in front of Mr. Uppal's car and Mr. Vandas' pick-up truck. He did not see any debris or markings on the road but said, if there had been any, it would have been highly disturbed by the heavy traffic. He did not recall the details of the damage to Mr. Uppal's car, but his impression was that it was not severe, and the car looked drivable.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Constable Smith said that he saw Mr. Vandas on the phone, and he spoke to Mr. Uppal who was still behind the wheel of his car. He tried to get Mr. Uppal's attention by knocking on the window several times before Mr. Uppal responded. He asked Mr. Uppal if he was injured, and Mr. Uppal said no. He did not observe Mr. Uppal shivering, shaking, or gasping. In cross-examination, Constable Smith acknowledged that Mr. Uppal's failure to respond when he first knocked on his window could have been because of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Constable Smith concluded that it was a minor collision, and he was concerned about traffic safety as, to avoid the scene of the accident, vehicles in two lanes had to funnel into one. He asked Mr. Uppal and Mr. Vandas to move their vehicles into the right lane and blocked all Bridge traffic to permit them to do so. He gave Mr. Vandas his business card to give to the emergency personnel who would be arriving, and he left the scene.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Constable Sean Jeffery's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Constable Sean Jeffery is employed by the Deas Island RCMP Highway Patrol. He was called to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When Constable Jeffery arrived, the vehicles had already been moved to the right side of the Bridge. He saw the damage to Mr. Uppal's vehicle and Mr. Chung's semi, and concluded that it had been a minor accident in which two vehicles had sideswiped each other. He testified that he concluded that it was a minor accident because, due to heavy traffic, the vehicles had not been travelling quickly and they were both travelling in the same direction. In his experience, such accidents tend to be less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Constable Jeffery testified that his first concerns were public safety and restoring traffic flow on the Bridge. In this case, his focus was not on investigating the accident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R.S.B.C. 1996, </w:t>
      </w:r>
      <w:r>
        <w:rPr>
          <w:rFonts w:ascii="arial" w:eastAsia="arial" w:hAnsi="arial" w:cs="arial"/>
          <w:i/>
          <w:color w:val="000000"/>
          <w:sz w:val="20"/>
          <w:lang w:val="en-US" w:eastAsia="en-US" w:bidi="ar-SA"/>
        </w:rPr>
        <w:t xml:space="preserve">c. </w:t>
      </w:r>
      <w:r>
        <w:rPr>
          <w:rFonts w:ascii="arial" w:eastAsia="arial" w:hAnsi="arial" w:cs="arial"/>
          <w:i/>
          <w:color w:val="000000"/>
          <w:sz w:val="20"/>
          <w:lang w:val="en-US" w:eastAsia="en-US" w:bidi="ar-SA"/>
        </w:rPr>
        <w:t>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or as a crime scene. As a result, he did not take formal statements from either Mr. Uppal or Mr. Chung. He also did not take photographs of the damage to the vehicles or photographs or measurements of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Constable Jeffery had a brief encounter with both drivers and asked them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Constable Jeffery did not recall his conversation with Mr. Uppal but recorded in his notes that Mr. Uppal said he was changing lanes from the right to the centre lane and was unsure why he struck Mr. Chung's vehicle. Constable Jeffery also spoke with Mr. Chung who said he was in the centre lane and did not see Mr. Uppal's vehicle because it was in his blind spot.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Constable Jeffery did not see any evidence of injury to Mr. Uppal who was being treated by ambulance staff. Mr. Uppal signed a waiver for the ambulance attendants, choosing not to be transported to the hospital. He was taken home by Constable Gill, the other officer who attended, when his car was towed from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Constable Jeffery learned that there were no witnesses to the accident, concluded that there were no infractions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shortly afterwards, generated a police report on his car computer. Constable Jeffery was not aware that Constable Smith had been at the scene before him, or that Mr. Vandas was a witness to at least some of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Constable Jeffery denied that he misunderstood or misheard what Mr. Uppal said to him about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the Credibility of Mr. Uppal and Mr. Chung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set out above, for the most part, determination of who is at fault for the first MVA depends on my assessment of the credibility of the two drivers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factors to be considered when assessing credibility were helpfully summarized by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paras. 186-187, aff'd </w:t>
      </w:r>
      <w:hyperlink r:id="rId672"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677"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I have found this approach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Applying the factors and methodology described by Justice Dillon, I conclude that Mr. Uppal has been consistent throughout about the cause of the first MVA. His direct evidence about the circumstances which led to the accident was the same as his report to emergency staff on his first attendance at the Surrey Memorial Hospital on the evening of May 20, 2011, and to the reports he made to various treating doctors and other health practitioners who have seen him since. His evidence was not shaken on cross-examination. It was clear from the manner in which Mr. Uppal delivered his evidence that he has repeatedly relived the circumstances of the first MVA which was a traumatic and memorable event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Uppal presented as a careful and methodical person. He testified that before immigrating to Canada, he sat down with his family and prepared them for the difficulties they might experience in establishing themselves here. Upon his arrival, he took months to research career opportunities before accepting his first job. He and his wife worked hard to save enough money for him to attend BCIT to upgrade his credentials to allow him to work in the computer field he had worked in before coming here. He carefully selected the exams he chose to sit and his co-operative placement to enhance his employment opportunities. He described his life as "disciplined" and I consider that an apt description. I also accept that as a careful person, he would take early steps to position himself in the lane from which he was to exit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only evidence which contradicts his version of events is the written report filed by Constable Jeffery, in which he records that Mr. Uppal told him that he was changing lanes. Mr. Uppal cross-examined Constable Jeffery about that, and while the Constable had no independent recollection of what Mr. Uppal said to him, he maintained the accuracy of the note he made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his evidence, Mr. Uppal recalled Constable Jeffery being impatient with him when he tried to explain how the two vehicles had been parallel at one point, and the semi had been in front at other points, Constable Jeffery said he was contradicting himself and cut him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accept that Constable Jeffery may have been impatient with Mr. Uppal and therefore misunderstood what Mr. Uppal said to him. It was clear from Constable Jeffery's responses to Mr. Uppal's questions in cross-examination that Constable Jeffery had little patience with Mr. Uppal's presentation style which tended to approach issues indirectly, and was slow and repetitive. It was also clear that Constable Jeffery did not see his role at the accident scene as being there to investigate, but rather he was there to ensure public safety and to keep traffic moving. He repeatedly said that in his evidence. He concluded that the cars had sideswiped each other based on what he heard and saw, and he told Mr. Uppal to report the accident to ICBC. He believed that ICBC would sort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Because he did not ask, Constable Jeffery was not aware that Mr. Vandas was a witness to at least part of the events, and Mr. Vandas' evidence might lead to a conclusion other than the vehicles had sideswiped each other. He was also not aware that Constable Smith had been at the accident scene and asked for the vehicles to be moved. By these comments, I mean no criticism of Constable Jeffery. He assessed the collision as minor. He was not there to assess liability. He took steps to ensure public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contrast to Mr. Uppal's evidence, Mr. Chung's evidence was more problematic. There was a marked difference between the certainty of his direct evidence and his uncertainty in cross-examination. For example, when he was asked in direct whether he met with Ms. Suto, and gave her a statement and a diagram, he asked whether Ms. Suto was a woman and then answered that he had. However, in cross-examination, he repeatedly said that he did not recall giving a statement to Ms. Suto.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When Mr. Chung was shown a copy of his statement, he identified his signature, but said that he did not know what it was about, or whether he had read it before he signed it. He said that he had just seen it "today" despite the fact that it was marked as an exhibit on his September 24, 2014 examination for discovery. After reviewing the statement over a lunch break, his recollection with respect to the statement improved, and he recalled meeting with Ms. Suto two or three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Chung acknowledged that, in his September 24, 2014 statement, he had guessed where Mr. Uppal was coming from and going to. He said that nothing in his statement was 100%, but that whatever he remembered at the time was what he put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Chung testified that when he stopped after the accident, Mr. Uppal's car was some distance away from his semi. In cross-examination he estimated that Mr. Uppal's car was three to four car lengths away. In his September 24, 2014 statement, he indicated that, immediately after the accident, the rear driver quarter panel of Mr. Uppal's car was pressed against the front passenger corner of his vehicle. When cross-examined about this inconsistency, he said he was guessing when he made the statement. The difficulty with this evidence is that the statement purports to report what Mr. Chung did and saw after the accident. It does not purport to be a guess.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cross-examination he said, with respect to the statement, "I must have recalled these things and that's why I gave this statement and signed it. Today, I don't recall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Chung's evidence about when he moved his semi was internally inconsistent and inconsistent with Constable Smith's evidence. When first asked about when he moved his semi into the right lane, in cross-examination, he testified that he did so after Constable Smith arrived and at the Constable's request. This evidence was contradicted by Constable Smith's evidence that, when he arrived at the accident scene, the semi had already been moved into the right lane. When Mr. Chung was pressed about the inconsistency, he changed his answer and said he could not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agree with defendants' counsel's submission that determining precisely when Mr. Chung moved his semi into the right lane is not directly relevant to the cause of the accident, but the change to his evidence in that regard is relevant to the overall reliability of his recollection about this and other aspects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Chung's evidence was also inconsistent with Mr. Vandas' evidence about how he brought his vehicle to a halt. Mr. Chung's evidence was that, once he felt or heard the impact of Mr. Uppal's vehicle hitting his, he braked once and brought his vehicle to a stop. However, Mr. Vandas testified that he saw Mr. Chung's semi brake and release repeatedly while pushing Mr. Uppal's car. It was this unusual braking that caught Mr. Vandas' attention. Mr. Vandas is a professional driver, and I accept that he would have noticed unusual braking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Vandas' evidence is consistent with Mr. Uppal's evidence about his car being repeatedly hit by the semi.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evidence about which Mr. Chung was consistent and certain was where it was helpful to him: he never changed lanes out of the middle lane. In light of his uncertainty about other events on May 20, 2011, I cannot accept the certainty of this evidence. The fact is that Mr. Chung had a reason to move into the right lane, as he was taking the next exit, and Mr. Uppal had no reason to move out of it, as he was already in the lane he needed to be in to make his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also cannot accept Mr. Chung's evidence that he "always" waited to change into the right lane until he was closer to the top of the Bridge. Drivers who are required to make a lane change do so whenever there is a sufficient gap in traffic to make the change; they do not always wait to a particular point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on Liability for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Overall, I prefer Mr. Uppal's evidence about the cause of the accident. Mr. Uppal was more credible and consistent. By contrast, in cross-examination, Mr. Chung was somewhat evasive in his responses, wavered about committing himself to his written statement, changed his mind about whether he remembered things, and gave testimony which was contradicted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Considering their evidence as a whole, I determine that Mr. Chung was entirely responsible for the first MVA when he moved into Mr. Uppal's lane, without seeing Mr. Uppal's car, and collided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about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With respect to the circumstance of the second accident, I heard from: Mr. Uppal; Ms. Sawal; Prabjob Suri, an independent witness; and Constable Oleksiy Venglyarskyy, the investigating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Suto provided photographs and measurements of the scene.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Uppal's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December 4, 2012, Mr. Uppal was going to work from home. He was proceeding westbound on 96th Ave. in Surrey, and intended to make a left turn to go southbound on 120th St.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is no dispute that, westbound at the Intersection, 96th Ave. is a three-lane road consisting of a dedicated left-turn lane, a lane which proceeds straight through, and a mandatory right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Drivers proceeding eastbound on 96th Ave. come down a hill on a single-lane road which then flattens and widens into three lanes just before the Intersection. There is a dedicated left-turn lane and two lanes which proceed straight through across 120th Street. The rightmost of these lanes is not a mandatory right-turn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Suto physically measured some of the distances involved and then confirmed her measurements on the Cosmos site for the City of Surrey. On a photograph filed as an exhibit, the Intersection was visible from 84.9 meters away, and 96th Ave. eastbound widens from a single-lane road into three lanes 37.9 meters back from the crosswalk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Uppal testified that, although the right lane is not a mandatory right-turn lane and goes straight through the Intersection, most drivers who are going straight through use the middle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a green light, Mr. Uppal proceeded into the Intersection, signalling his intent to make a left turn. He stopped in the Intersection and waited for a number of cars travelling straight through to clear. He recalled that some vehicles were waiting to turn left onto 120th St. northbound. His view of Ms. Sawal's car was not obstructed, and he first saw it when it was some distance away from the Intersection. He observed her signalling right, and moving into the right lane. He also says that he saw Ms. Sawal slowing down as she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When Ms. Sawal was two or three car lengths from the Intersection, travelling at a speed which Mr. Uppal estimated to be 20-30 kph, and still signalling right, he took his eyes off her vehicle, did a quick shoulder check for pedestrians and any other traffic hazards, and proceeded to make his left turn. Ms. Sawal did not turn right as Mr. Uppal expected, but proceeded straight through. Mr. Uppal testified that as Ms. Sawal approached the Intersection, she increased her speed and went "zooming"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front passenger side of Mr. Uppal's vehicle collided with the front driver's side of Ms. Sawal's vehicle somewhere in the middle of the Intersection. The air bags in both vehicles deployed.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Sawal's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Sawal testified that she was travelling eastbound on 96th Ave. at about 50 kph, and that she never reduced or increased her speed. She said that as she came to the flat part of 96th Ave, she could see the green light at the Intersection. As she neared the Intersection, she gave a quick flick of her right-turn signal to indicate to drivers behind her that she was moving into the right lane. She immediately turned her signal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Sawal said that she had no reason to turn right onto 120th St. as she was on her way to work at the Toronto Dominion Bank at 96th Ave. and 128th St., eight blocks further down 96th Ave., on the right side. She testified that she almost always moved into the right lane, before the Intersection, to give herself lots of time to make the turn into the bank parking lot. She explained that she did not do so if there were stopped vehicles waiting to turn right at the Intersection because of, for example, pedestrians who were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Sawal saw Mr. Uppal's vehicle stopped in the Intersection waiting to turn. She testified that as she was entering the Intersection, she did not see Mr. Uppal initiate his turn but saw him make an abrupt turn in front of her. She applied her brakes but was unable to avoid a collision. She testified that if she had not braked, Mr. Uppal's vehicle would have collided with her driver's door and might have caused her more significant injuries. As it was, his car collided with her front end.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Prabjob Suri's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Suri, a bus driver, was driving his children to school on December 4, 2012. He approached the Intersection and intended to make a left turn onto 120th St. He pulled into the left-turn lane behind Mr. Uppal's vehicle. He particularly noticed Mr. Uppal's Nissan because he had just bought the same vehicle for his wife, and he pointed it out to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Suri testified that the light was green. He saw a white car, which he now knows to be Ms. Sawal's vehicle, which he estimated was travelling at a consistent speed of 50-55 kph, and concluded that it was travelling straight through the Intersection. He did not recall whether Ms. Sawal was signalling right. He said that Mr. Uppal's vehicle did not stop but turned abruptly in front of Ms. Sawal's vehicle. He said to his children, "That's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Suri completed his turn as the light was still green, and he pulled over just beyond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Suri saw the driver of the Nissan, whom he now knows to be Mr. Uppal, and said there was another person talking to him. He approached Ms. Sawal to see if she was all right, and another witness told him that she had called an ambulance. Mr. Suri told Ms. Sawal that she had nothing to worry about as she had done nothing wrong. He gave her a card with his contact information and told her to give it to ICBC. He left and proceeded to take his children to school.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Constable Okeksiy Venglyarskyy's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Constable Venglyarskyy was the investigating officer for the second MVA. He arrived sometime after the accident while Mr. Uppal was being attended to by ambulance staff. He interviewed Ms. Sawal at the scene and an independent witness, Kimberly Lund. Based on those interviews, the damage to the vehicles, and speaking to Mr. Uppal, Constable Venglyarskyy issued a violation ticket to Mr. Uppal for "failing to yield on left turn" pursuant to s. 174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Uppal unsuccessfully disputed the ticket in Traffic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on Liability for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While there were some inconsistencies between Ms. Sawal's recounting of the circumstances of the second MVA at her examination for discovery and at trial, they were minor and the essential elements of her evidence did not change. Her evidence was supported by Mr. Suri's independent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my view the slight differences between Ms. Sawal's and Mr. Suri's evidence, including whether Mr. Uppal had come to a complete or a rolling stop in the Intersection before turning left, and the speed at which Ms. Sawal was travelling, do not materially affect their evidence and do not affect its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Sawal's evidence was clear. She was neither speeding nor distracted at the time of the second MVA. She could not avoid Mr. Uppal's car or the collision as Mr. Uppal turned abruptly in front of her. Mr. Suri confirmed that Ms. Sawal was not speeding, and that, in his view, she could not have avoided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Uppal cross-examined Ms. Sawal about her use of the term "abruptly" to describe the manner of his turn. In her discovery, she had used the term "unexpectedly". He suggested that her use of the same descriptor as used by Mr. Suri in his evidence implied or meant that they had discussed and tailored their evidence. I accept that there is a slight difference between the meaning of "abruptly" and "unexpectedly" but nothing turns on it in this case. By all accounts, Mr. Uppal made a turn that was unexpected. There was no evidence to support the suggestion that Ms. Sawal and Mr. Suri discussed or tailored their evidence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During his cross-examination of Mr. Suri, Mr. Uppal suggested that Mr. Suri knew Ms. Sawal or her family before the accident and implied that he was not actually a witness, but had been found later to corroborate Ms. Sawal's story. He called no evidence to support either the suggestion or the implication. Both Ms. Sawal and Mr. Suri testified that they did not know each other. There was no evidence to refute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Uppal also suggested that Mr. Suri should have left his car in the middle of the Intersection rather than complete his turn. However, in my view, it was safer for Mr. Suri to complete his turn and place his vehicle safely out of the Intersection particularly because he had his children in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Uppal also suggested that Mr. Suri should not have conveyed to Ms. Sawal his belief that she was not at fault. He witnessed the collision. He concluded that Ms. Sawal had the right of way and that Mr. Uppal had created the hazard by abruptly turning in front of her car and caused the collision. Ms. Sawal was upset, and he told her she had nothing to worry about. It was not inappropriate for him to tell her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Finally, Mr. Uppal suggested that Mr. Suri's credibility was affected by his failure to wait for the police to arrive. He was on his way to his children's school, gave his information to Ms. Sawal, and she passed it on to ICBC. Mr. Uppal knew that Mr. Suri was a witness at Ms. Sawal's examination for discovery in September 2014. There is nothing inappropriate in this sequence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Suto's measurements of the scene, and Ms. Sawal's travelling speed makes clear that, in the one or two seconds which were available to Ms. Sawal after realizing that Mr. Uppal was making his left turn in front of her, it would have been impossible for her to avoid the collision. Mr. Uppal confirmed in his evidence that Ms. Sawal only had a few seconds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Section 174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As set out in a number of cases, the driver attempting the left turn is commonly referred to as the "servient" driver and the on-coming driver is referred to as the "dominant" driver. The dominant driver is entitled to assume that a servient driver will yield the right of way, and the burden of demonstrating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dominant driver falls on the servient driver. Any doubt must be resolved in favour of the dominant driver: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 left turn must not be commenced unless it is clearly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accept that Mr. Uppal was stopped in the Intersection when Ms. Sawal first saw him. A stopped vehicle is not a hazard. He proceeded with his left turn unexpectedly, suddenly, or abruptly. He did so without satisfying himself of Ms. Sawal's intention to turn right. He could not assume that because she was in the right lane she was making a right turn as traffic in that lane may either turn right or proceed straight through the Intersection. He should have waited for her to clear the Intersection before commencing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Having breached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by failing to yield on a left turn, he has the burden of showing that Ms. Sawal could have, by reasonable conduct, avoided the accident. There is no evidence that she was speeding. I accept her evidence that: she was not signalling right at the Intersection; she had a green light and the right of way; and upon seeing Mr. Uppal make his left turn, she had one or two seconds to react. I conclude that there was nothing she could have done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For all of these reasons, I am satisfied that Mr. Uppal was entirely responsible for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Uppal's Evidence about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this part of the decision, from time to time, I will refer to the content of Dr. Aulakh's clinical notes and the consult reports that he received from the various treating specialists to whom he referred Mr. Uppal. I do so while keeping in mind the limited use to which those records and consult reports may be 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Uppal said that after Constable Gill dropped him off at home, he rested and then started feeling pain in his left side, chest, ribs, left arm, neck, and head. He went to Surrey Memorial Hospital. He was administered a pain killer by injection, x-rayed, provided a note relieving him from work, given Tylenol 3s, and told to see his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hospital records indicate that Mr. Uppal reported no loss of consciousness and, initially, no pain. He then complained of left arm pain and numbness.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Uppal said that he awoke the next morning, totally frozen. He was unable to rotate his neck at all, his rib cage was frozen, and he had a headache and shoulder pain. He visited his family doctor three days after the accident. In Dr. Aulakh's notes, he recorded that Mr. Uppal was in that condition for a few months, but it started to improve. Dr. Aulakh recorded that Mr. Uppal told him that there was no loss of consciousness, and he was shivering but had no pain. He complained of left arm and neck pain. Dr. Aulakh recorded a constant but bearable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Following this visit to Dr. Aulakh after the first MVA, and between it and the second MVA, by my count, Mr. Uppal attended Dr. Aulukh's office 31 times. He continually complained about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June 2011, Dr. Aulakh referred Mr. Uppal to a chiropractor, Dr. Jujhar Sidhu. According to Dr. Sidhu's discharge report, Mr. Uppal attended for 20 treatments between June 24 and August 22, 2011. Dr. Sidhu reported that Mr. Uppal's condition was improving, but on physical examination, there was palpatory tenderness of the cervical, thoracic, and lumbar spines, and pain on flexion, extension, and rotation in the cervical and thoracic spines. Dr. Sidhu recorded that Mr. Uppal had a good prognosis due to his age and health, and recommended that he attend a rehab exercise program. Dr. Sidhu also noted that Mr. Uppal started a gradual return to work for two hours a day on August 22, 2011. It appears he was incorrect as to the start date for Mr. Uppal's gradual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August 2011, Dr. Aulakh referred Mr. Uppal to the CBI Health Centre ("CBI") to develop a comprehensive rehabilitation program with a return to work focus. According to CBI's November 16, 2011 discharge report, Mr. Uppal was assessed on August 29, 2011. He attended for a total of 25 sessions and then, on October 6, started a six-week gradual return to work plan. He started working two hours a day and gradually increased to working six hours a day, which was his schedule on the date of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CBI reported that Mr. Uppal was able to complete up to four hours of exercise activity at their clinic, working on core stability and strengthening and endurance. Mr. Uppal reported to CBI that he was "tolerating" four hours at work but was finding it difficult. He had difficulty increasing his work hours due to pain. In their discharge report, CBI wrote that there were no outstanding barriers to Mr. Uppal continuing to work as a customer service representative. They discharged him from the active rehabilitation program on November 14, 2011 as "fit to continue work." They recommended that he continue a home exercise program to increase the gains he had made with them and that he have acute physiotherapy once or twice a week, or as recommended by Dr. Aulakh, who was to monitor Mr. Uppal's gradual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Uppal continued to complain to Dr. Aulakh about pain in his neck and back, and about neck sensitivity. In his evidence at trial, Mr. Uppal described an area of his neck, near the top of his spine, which felt raw and sensitive. The first mention of this complaint in Dr. Aulakh's notes was on November 19,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Uppal also complained about difficulty sleeping and nightmares or flashbacks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November 2011, Dr. Aulakh referred Mr. Uppal to Dr. Harinath Mallavarapu, a psychiatrist. Mr. Uppal met with Dr. Mallavarapu on February 15, 2012. In a consult report written to Dr. Aulakh, Dr. Mallavarapu diagnosed Mr. Uppal with major depressive disorder, chronic pain disorder, and severe psychological stress on account of associated functional limitations. He described Mr. Uppal as depressed and said that his concentration was not good. Mr. Uppal continued to experience anxiety attacks, flashbacks, nightmares, and fear of driving, but he continued to drive. His sleep was 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Uppal has regularly seen Dr. Mallavarapu since his first visit. Mr. Uppal had been prescribed amitriptyline by Dr. Aulakh, but Dr. Mallavarapu discontinued it and prescribed Cymbalta which he felt would be more effective in treating Mr. Uppal's pain symptoms and depression. He recommended that Mr. Uppal see a psychologist for cognitive behaviour therapy for management of Post-Traumatic Stress Disorder ("PTSD") symptoms, major depressive disorder, and chronic pain disorder. There is no evidence that Mr. Uppal ever saw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his March and May 2012 consult letters to Dr. Aulakh, Dr. Mallavarapu reported Mr. Uppal's continued complaints of pain, difficulty in sitting in a chair in his office, restlessness, and difficulty sleeping. Mr. Uppal is described as depressed and unhappy, tired and lacking energy. PTSD is added to Mr. Uppal's diagnosis. In addition to Cymbalta, Mr. Uppal was prescribed clonazepam. Dr. Mallavarapu provided Mr. Uppal with support and counselling. Both consult letters reported that Mr. Uppal's concentration was not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Dr. Mallavarapu's July 2012 consult letter, he reported that Mr. Uppal continued to experience neck, shoulder, and back pain. Mr. Uppal also found it difficult to sit still and had to stretch frequently. He suffered from nervousness, anxiety, and worry. He continued to experience flashbacks and had difficulty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Dr. Mallavarapu's September 2012 consult letter, he reported that Mr. Uppal was feeling slightly better and that he was able to relax and cope with day-to-day life stresses. He still complained of pain symptoms, driving anxiety, and flashbacks. Mr. Uppal's diagnosis did not change although his psychological stress level was reduced to moderately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Dr. Mallavarapu's November 2012 consult letter, he reported that Mr. Uppal continued to experience neck and back pain. He was working six hours a day, but having difficulty coping with the demands of his work and did not wish to return to work on a full-time basis. The diagnosis remained the same. Dr. Mallavarapu recommended a vocational assessment and possible retraining.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Dr. Mallavarapu's December 2012 consult letter, he reported on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Dr. Mallavarapu's March 19, 2013 consult letter, he reported that Mr. Uppal was still feeling depressed, sad, and unhappy. He was having difficulty concentrating and was afraid to go back to work as he felt that people at his work were fed up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Uppal continues to see Dr. Mallavarapu but, apart from some changes in medication, he continues to complain of the same symptoms and says he has shown no real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Aulakh has also referred Mr. Uppal to other specialists and for x-rays and MRIs.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On May 24, 2011, Mr. Uppal had an x-ray of his cervical spine. The report indicated no compression fracture and a normal alignment. The report described a small posterior spur at the C5 vertebra without narrowing of the disc space or degenerative changes on the neurocentral joint although there was some encroachment of the adjacent interforamina. On September 19, 2012, Mr. Uppal had an MRI of the same area. It was unremarkable except for a joint osteophyte on the left side at the C4-5 and C5-6 levels, causing mild foraminal encroachment. There was no disc herniation or spinal stenosis at these levels. The upper thoracic spine appeared normal. In simplified terms, Mr. Uppal had a small bone spur and a bony outgrowth on his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On July 29, 2011, Mr. Uppal had an x-ray of his thoracic spine which showed the vertebrae to be normal in height, the disc spaces to be normal, no fracture or subluxation, and "hardly noticeable" lower thoracic scoliosis.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May 2012, Dr. Aulakh referred Mr. Uppal to Dr. Riad Shahid, an orthopaedic surgeon, with respect to complaints of posterior neck pain with radiation into the shoulder neck angles, interscapular region, and upper thoracic area. At the time, Dr. Shahid reported to Dr. Aulakh that Mr. Uppal had sustained a soft tissue injury to his cervical spine and advised him to take Tylenol and apply a local heat rub. Dr. Shahid reported that x-rays of Mr. Uppal's cervical and thoracic spine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Shahid saw Mr. Uppal again in February 2013, after the second MVA. At that time, Dr. Shahid reported to Dr. Aulakh that Mr. Uppal's reported symptoms were generally the same as on his first visit but became worse after the second MVA. Dr. Shahid reported that an MRI of Mr. Uppal's cervical spine did not show any definite findings. In his consult report of February 28, 2013, Dr. Shahid concluded that Mr. Uppal had sustained a soft tissue injury to his neck and that a disc herniation or nerve root irritation or compression would be rare. He ordered x-rays, including lateral flexion-extension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On March 22, 2013, Dr. Shahid reported to Dr. Aulakh that he had reviewed the reports from the flexion-extension x-rays and they showed no disc narrowing, but the lateral flexion view showed greatly decreased flexion of the cervical spine with loss of cervical lordosis and no actual flexion taking place at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his March 30, 2013 clinical note, Dr. Aulakh wrote that Mr. Uppal had seen Dr. Shahid, but that there was very little in terms of objective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Shahid next saw Mr. Uppal on April 11, 2014, and at that time, Mr. Uppal was complaining of balance problems and episodes of variable vertigo.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Aulakh also referred Mr. Uppal to Dr. Gurwant Singh, a neurologist. In the only consult report contained in Dr. Aulakh's clinical records, Dr. Singh says that Mr. Uppal's symptoms were mostly soft tissue and that he needed physiotherapy. Dr. Singh scheduled an electromyography and reported on the results on July 2, 2013, which detected mild left median neuropathy at the wrist but, otherwise, soft tissue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From at least October 2010, Mr. Uppal has been under the ongoing care of Dr. Christopher Mahony, an endocrinologist. Over time he had been prescribed various medications for treatment of his diabetes. He was also prescribed Lipitor for cholesterol. On a number of occasions, in his consult reports to Dr. Aulakh, Dr. Mahony has expressed concerns about Mr. Uppal's compliance with his diabetes medicine protocol and diet.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oft-cited case of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describes the approach the court takes in assessing injuries which depend on subjective reports of pain. Then Chief Justice McEachern said, at 397-399: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in a moderate or moderately severe whiplash injury is always difficult because plaintiffs, as in this case, are usually genuine, decent people who honestly try to be as objective and as factual as they can. Unfortunately, every injured person has a different understanding of his own complaints and injuries, and it falls to judges to translate injuries to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Perhaps no injury has been the subject of so much judicial consideration as the whiplash. Human experience tells us that these injuries normally resolve themselves within six months to a year or so. Yet every physician knows some patients whose complaint continues for years, and some apparently never recover. For this reason, it is necessary for a court to exercise caution and to examine all the evidence carefully so as to arrive at fair and reasonable compensation. Previously decided cases are some help (but not much, because obviously every case is different).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decided 7th October 1981, Vancouver No. B781505 [</w:t>
      </w:r>
      <w:hyperlink r:id="rId680"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(S.C.)],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As set out above, Mr. Uppal's current complaints of pain are almost entirely subjective. The problems of proof are exacerbated in this case where Mr. Uppal has not called any expert medical evidence to support his subjective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Dhaliwal v. Greyhound Transportation Corp.</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2015 BCSC 2147</w:t>
        </w:r>
      </w:hyperlink>
      <w:r>
        <w:rPr>
          <w:rFonts w:ascii="arial" w:eastAsia="arial" w:hAnsi="arial" w:cs="arial"/>
          <w:color w:val="000000"/>
          <w:sz w:val="20"/>
          <w:lang w:val="en-US" w:eastAsia="en-US" w:bidi="ar-SA"/>
        </w:rPr>
        <w:t xml:space="preserve"> at para. 280, Justice Silverman summarized the principles to be applied in assessing credibility in a case without objective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[280] A number of principles emerge from the case law which address the question of assessing credibility in a case such as this, all of which I am guided by: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well accepted that courts should be careful in assessing compensation where there is little to no objective medical evidence supporting a plaintiff's self-reported symptoms, particularly where those symptoms persist beyond the usual course of recovery: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at 399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Tai v. De Busscher</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2007 BCCA 371</w:t>
        </w:r>
      </w:hyperlink>
      <w:r>
        <w:rPr>
          <w:rFonts w:ascii="arial" w:eastAsia="arial" w:hAnsi="arial" w:cs="arial"/>
          <w:color w:val="000000"/>
          <w:sz w:val="20"/>
          <w:lang w:val="en-US" w:eastAsia="en-US" w:bidi="ar-SA"/>
        </w:rPr>
        <w:t>, at para 41 [</w:t>
      </w:r>
      <w:r>
        <w:rPr>
          <w:rFonts w:ascii="arial" w:eastAsia="arial" w:hAnsi="arial" w:cs="arial"/>
          <w:i/>
          <w:color w:val="000000"/>
          <w:sz w:val="20"/>
          <w:lang w:val="en-US" w:eastAsia="en-US" w:bidi="ar-SA"/>
        </w:rPr>
        <w:t>Tai</w:t>
      </w: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justify an award of damages in the absence of corroborating evidence, the plaintiff's own evidence must be examined with "a skeptical eye": </w:t>
      </w:r>
      <w:r>
        <w:rPr>
          <w:rFonts w:ascii="arial" w:eastAsia="arial" w:hAnsi="arial" w:cs="arial"/>
          <w:i/>
          <w:color w:val="000000"/>
          <w:sz w:val="20"/>
          <w:lang w:val="en-US" w:eastAsia="en-US" w:bidi="ar-SA"/>
        </w:rPr>
        <w:t>Sevinski v. Vance</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2011 BCSC 892</w:t>
        </w:r>
      </w:hyperlink>
      <w:r>
        <w:rPr>
          <w:rFonts w:ascii="arial" w:eastAsia="arial" w:hAnsi="arial" w:cs="arial"/>
          <w:color w:val="000000"/>
          <w:sz w:val="20"/>
          <w:lang w:val="en-US" w:eastAsia="en-US" w:bidi="ar-SA"/>
        </w:rPr>
        <w:t>, at paras 42-46.</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plaintiff's self-report is in doubt, the court should place the most reliance on objective medical evidence that does not depend on the credibility of the plaintiff: </w:t>
      </w:r>
      <w:r>
        <w:rPr>
          <w:rFonts w:ascii="arial" w:eastAsia="arial" w:hAnsi="arial" w:cs="arial"/>
          <w:i/>
          <w:color w:val="000000"/>
          <w:sz w:val="20"/>
          <w:lang w:val="en-US" w:eastAsia="en-US" w:bidi="ar-SA"/>
        </w:rPr>
        <w:t>Sharifi v. Chaklader</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2012 BCSC 685</w:t>
        </w:r>
      </w:hyperlink>
      <w:r>
        <w:rPr>
          <w:rFonts w:ascii="arial" w:eastAsia="arial" w:hAnsi="arial" w:cs="arial"/>
          <w:color w:val="000000"/>
          <w:sz w:val="20"/>
          <w:lang w:val="en-US" w:eastAsia="en-US" w:bidi="ar-SA"/>
        </w:rPr>
        <w:t>, at paras 97-98.</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must be compelling evidence that the plaintiff's complaints are a true reflection of a continuing injury: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at p. 398-399.</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Mr. Dhaliwal's physicians are entitled to take Mr. Dhaliwal's complaints at face value, this court is required to take a more critical view: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77, aff'd </w:t>
      </w:r>
      <w:hyperlink r:id="rId686"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Credibility involves an assessment of the reliability of a witness' testimony based on their apparent sincerity and truthfulness and the accuracy of their evidence: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as cited in </w:t>
      </w:r>
      <w:r>
        <w:rPr>
          <w:rFonts w:ascii="arial" w:eastAsia="arial" w:hAnsi="arial" w:cs="arial"/>
          <w:i/>
          <w:color w:val="000000"/>
          <w:sz w:val="20"/>
          <w:lang w:val="en-US" w:eastAsia="en-US" w:bidi="ar-SA"/>
        </w:rPr>
        <w:t>Karim v. Li</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Karim</w:t>
      </w:r>
      <w:r>
        <w:rPr>
          <w:rFonts w:ascii="arial" w:eastAsia="arial" w:hAnsi="arial" w:cs="arial"/>
          <w:color w:val="000000"/>
          <w:sz w:val="20"/>
          <w:lang w:val="en-US" w:eastAsia="en-US" w:bidi="ar-SA"/>
        </w:rPr>
        <w:t>] at para 88.</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starting point, a witness is presumed to be truthful; however, this presumption is displaced by evidence of deliberate falsehood: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Justice Silverman also said at paras. 281-282, that when dealing with chronic pain cases, there are few objective symptoms of injury and therefore the court must be extremely cautious in assessing the credibility of a plaintiff. The court must review the evidence as a whole rather than looking at minor inconsistencies.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As an objective cause of his current symptoms, Mr. Uppal focussed on findings on his May 24, 2011 x-ray and September 19, 2012 MRI of his cervical spine which, respectively, showed a small spur at the C5 vertebra and a joint osteophyte at the C4-5 and C5-6 levels. He also focussed on a July 29, 2011 x-ray of his thoracic spine which showed "hardly noticeable lower thoracic scoliosis". He testified that Dr. Aulakh did not discuss the results of these scans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Rickards was retained by the defendants to conduct a medical examination of Mr. Uppal on September 24, 2015. Mr. Uppal did not challenge Dr. Rickards' qualifications to give opinion evidence as an orthopaedic surgeon, and his report was filed as an exhibit. As discussed above, Dr. Rickards was cross-examined by Mr. Uppal.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Rickards' report summarized Mr. Uppal's complaints of pain in his neck, middle and lower back, and left shoulder. Mr. Uppal also complained of occipital headaches. Dr. Rickards diagnosed Mr. Uppal with having: a possible left occipital nerve contusion; a soft tissue strain to the mid-back with no evidence to suggest damage to bony structures, discs, nerve roots, or peripheral nerves of facet joints; and an "exaggerated" pain response. With respect to the exaggerated pain response, Dr. Rickards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Uppal presents with an unusual presentation with respect to musculoskeletal difficulties. These includes (sic) keeping his eyes closed during most of the physical examination, diffuse pain on palpation of the posterior neck area as well as increased pain associated with axial compression of the head. There is no obvious organic cause or explanation for this pain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Rickards opined that the onset of Mr. Uppal's occipital headaches was unclear, but that it was possible that a contusion to the posterior aspect of his skull occurred during the first MVA although that had not been documented. He also opined that a significant factor at play in his presentation of occipital headaches was Mr. Uppal's poorly controlled diabetes. Diabetic mononeuropathy can affect cranial or peripheral nerves or nerve roots.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When cross-examined about the findings on Mr. Uppal's x-rays and MRIs, Dr. Rickards testified, with absolute certainty, that the existence of a spur or osteophyte on Mr. Uppal's cervical spine was a sign of wear and tear that takes years to develop and was not related to the first MVA. He also said that the signs of wear and tear were less than he would expect in a man of Mr. Uppal's age. I accept his evidence in that regard, although it was clear that Mr. Uppal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also accept Dr. Rickards' evidence that the scoliosis that was observed in Mr. Uppal's thoracic spine and narrowing of Mr. Uppal's disc space could not have been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Having considered all the available evidence, I accept that following the first MVA, Mr. Uppal suffered a soft tissue injury which affected his ability to work for slightly over 18 months. I accept that for a short period of time, after his anticipated return to full-time work, he would have continued to experience ongoing difficulties for a period unlikely to exceed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Rickards' report acknowledges a soft tissue strain to Mr. Uppal's mid-back and that the "onset of upper extremity and back symptoms suggest that these events are related in a cause-effect relationship", but says that he would expect a full recovery after two to four months of a focused muscle-strengthening regime without any long term difficulties. However, the fact is that working with both a chiropractor and with CBI, Mr. Uppal had not fully recovered after five months and was then only scheduled to return to work gradually.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also accept Mr. Uppal's evidence that, on Dr. Aulakh's advice, he saw Dr. Mallavarapu for psychiatric issues following and related to the first MVA and that he had not seen a psychiatrist before. His soft tissue injuries therefore have a psychiatric overlay.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While I have accepted that Mr. Uppal suffered injuries and is entitled to general damages for the first MVA, I agree with Dr. Aulakh's notation that Mr. Uppal has become very pain-focussed.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defendants argued that Mr. Uppal had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law is clear that Mr. Uppal has an obligation to take all reasonable steps to reduce his loss. The duty to do so includes undergoing treatment to alleviate or cure injuries. The defendants have the burden of establish that: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acted unreasonably in eschewing the recommended treatment,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if any, to which the plaintiff's damages would have been reduced had he acted reasonably.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xml:space="preserve"> at para. 32, citing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cross-examination, the defendants suggested to Mr. Uppal that he did not continue exercising or stretching to the extent recommended by CBI and Dr. Aulakh. In response, Mr. Uppal testified about his walking regime and the relief he gets from stretching and the other exercises he does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was concerned by Mr. Uppal's failure to pursue the exercise program outlined by CBI in their discharge report. He appeared to blame ICBC for its failure to fund ongoing therapy for him. Mr. Uppal seems to have accepted his injuries as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would have benefitted from expert psychiatric evidence about whether there was a connection between Mr. Uppal's emotional condition and his rather passive acceptance of his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However, in this case, Mr. Uppal did not refuse a recommended course of medical treatment. The defendants did not point to any recommendation his treating doctors made that he failed to follow. He testified, as did his daughter, that he exercised to the extent he was able and continued to receive some relief from stretching. Although Dr. Rickards recommended a graduated exercise program or, as he otherwise described it a focused muscle-strengthening regime, Mr. Uppal had undergone just such a regime with the CBI.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On all the evidence, I do not find that the defendants have established that Mr. Uppal has failed to mitigate his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Uppal claims damages under the following headings: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lost income and loss of opportunity;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past and future earning capacity;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past wage loss;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future wage loss;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housekeeping capacity;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his submissions before me, Mr. Uppal did not quantify his damage claim under any of the listed heads of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With respect to his claim for general or non-pecuniary damages, Mr. Uppal relied on cases in which awards were between $100,000 and $175,000: </w:t>
      </w:r>
      <w:r>
        <w:rPr>
          <w:rFonts w:ascii="arial" w:eastAsia="arial" w:hAnsi="arial" w:cs="arial"/>
          <w:i/>
          <w:color w:val="000000"/>
          <w:sz w:val="20"/>
          <w:lang w:val="en-US" w:eastAsia="en-US" w:bidi="ar-SA"/>
        </w:rPr>
        <w:t>Khosa v. Kalamatimaleki</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2014 BCSC 2060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Luis v. Marchiori</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2015 BCSC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Forder v. Linde</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2014 BCSC 1600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defendants suggest a much lower range of non-pecuniary damages and rely on cases in which awards were between $15,000 and $80,000: </w:t>
      </w:r>
      <w:r>
        <w:rPr>
          <w:rFonts w:ascii="arial" w:eastAsia="arial" w:hAnsi="arial" w:cs="arial"/>
          <w:i/>
          <w:color w:val="000000"/>
          <w:sz w:val="20"/>
          <w:lang w:val="en-US" w:eastAsia="en-US" w:bidi="ar-SA"/>
        </w:rPr>
        <w:t>Bhadlawala v. Baxter</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2012 BCSC 366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Blenkarn v. Mills</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2016 BCSC 1976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Carter v. Zhan</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2012 BCSC 595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Farbatuk v. Lagrimas</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2014 BCSC 1879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Gulbrandsen v. Mohr</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2012 BCSC 1869</w:t>
        </w:r>
      </w:hyperlink>
      <w:r>
        <w:rPr>
          <w:rFonts w:ascii="arial" w:eastAsia="arial" w:hAnsi="arial" w:cs="arial"/>
          <w:color w:val="000000"/>
          <w:sz w:val="20"/>
          <w:lang w:val="en-US" w:eastAsia="en-US" w:bidi="ar-SA"/>
        </w:rPr>
        <w:t xml:space="preserve">, aff'd </w:t>
      </w:r>
      <w:hyperlink r:id="rId699" w:history="1">
        <w:r>
          <w:rPr>
            <w:rFonts w:ascii="arial" w:eastAsia="arial" w:hAnsi="arial" w:cs="arial"/>
            <w:i/>
            <w:color w:val="0077CC"/>
            <w:sz w:val="20"/>
            <w:u w:val="single"/>
            <w:shd w:val="clear" w:color="auto" w:fill="FFFFFF"/>
            <w:lang w:val="en-US" w:eastAsia="en-US" w:bidi="ar-SA"/>
          </w:rPr>
          <w:t>2014 BCCA 359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Jampolsky v. Shattler</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2011 BCSC 494</w:t>
        </w:r>
      </w:hyperlink>
      <w:r>
        <w:rPr>
          <w:rFonts w:ascii="arial" w:eastAsia="arial" w:hAnsi="arial" w:cs="arial"/>
          <w:color w:val="000000"/>
          <w:sz w:val="20"/>
          <w:lang w:val="en-US" w:eastAsia="en-US" w:bidi="ar-SA"/>
        </w:rPr>
        <w:t xml:space="preserve">, aff'd </w:t>
      </w:r>
      <w:hyperlink r:id="rId701" w:history="1">
        <w:r>
          <w:rPr>
            <w:rFonts w:ascii="arial" w:eastAsia="arial" w:hAnsi="arial" w:cs="arial"/>
            <w:i/>
            <w:color w:val="0077CC"/>
            <w:sz w:val="20"/>
            <w:u w:val="single"/>
            <w:shd w:val="clear" w:color="auto" w:fill="FFFFFF"/>
            <w:lang w:val="en-US" w:eastAsia="en-US" w:bidi="ar-SA"/>
          </w:rPr>
          <w:t>2015 BCCA 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Manson v. Kalar</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2011 BCSC 373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Mohamud v. Yu</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2016 BCSC 1138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Moini v. Liang</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2016 BCSC 702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Rahimi v. Ma</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2014 BCSC 710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Rasmussen v. Blower</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2014 BCSC 1697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 Germain v. Jemmott</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2012 BCSC 1041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Wong v. Toor</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2015 BCSC 2367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Zajaczkowski v. Grauer</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2014 BCSC 711</w:t>
        </w:r>
      </w:hyperlink>
      <w:r>
        <w:rPr>
          <w:rFonts w:ascii="arial" w:eastAsia="arial" w:hAnsi="arial" w:cs="arial"/>
          <w:color w:val="000000"/>
          <w:sz w:val="20"/>
          <w:lang w:val="en-US" w:eastAsia="en-US" w:bidi="ar-SA"/>
        </w:rPr>
        <w:t xml:space="preserve">, aff'd </w:t>
      </w:r>
      <w:hyperlink r:id="rId711" w:history="1">
        <w:r>
          <w:rPr>
            <w:rFonts w:ascii="arial" w:eastAsia="arial" w:hAnsi="arial" w:cs="arial"/>
            <w:i/>
            <w:color w:val="0077CC"/>
            <w:sz w:val="20"/>
            <w:u w:val="single"/>
            <w:shd w:val="clear" w:color="auto" w:fill="FFFFFF"/>
            <w:lang w:val="en-US" w:eastAsia="en-US" w:bidi="ar-SA"/>
          </w:rPr>
          <w:t>2016 BCCA 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paras. 45 - 46, the Court of Appeal set out the factors to consider in assessing general or non-pecuniary damages at para. 46. The factors to be considered include: the plaintiff's age; the nature of his or her injuries; severity and duration of his or her pain; disability; emotional suffering; loss or impairment of life; impairment of family, marital and social relationships; impairment of physical and mental abilities;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Reference to awards made in similar cases may be of assistance in arriving at a fair award, but each case must be decided on its own facts and on an individual assessment. There is no "tariff" of such awards: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paras. 39-43.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this case, the assessment of Mr. Uppal's general damages is complicated by a number of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First, Mr. Uppal has type 2 diabetes which may, in itself, or as a result of medications prescribed for it, have contributed to his current condition. Dr. Rickards diagnosed a possible left occipital nerve contusion during the first accident but concluded that Mr. Uppal's poorly controlled diabetes was likely to be a significant factor in his presentation of occipital headaches. This possible causation issue was not refuted by any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Second, I must apportion the damages for injuries which Mr. Uppal agrees are indivisible to Mr. Chung, who is the only defendant liable for Mr. Uppal's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Third, in the absence of any expert medical opinion, I must determine the extent to which Mr. Uppal had recovered from his injuries from the first MVA when the second MVA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Fourth, there is a lack of any expert medical opinion as to causation overall.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Fifth, while Mr. Uppal testified about the impact of his injuries on his work and social life, I was able to observe him over 12 days of trial at which he conducted himself. I accept that his children assisted him in preparation but it was Mr. Uppal who conducted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contrast to his evidence that he could not sit for more than 10-15 minutes at a time, he sat for more than an hour at a time every day of the trial. He testified that he could not stand for more than 30 minutes because he gets dizzy, but he stood for more than two hours giving his opening statement. He testified that he has memory and concentration problems, but he had detailed recall about the accidents and was able to give his evidence in a chronological, organized, and rational fashion. He was clearly able to follow the evidence of the defendants' witnesses, had a plan for his cross-examination, and effectively cross-examined Mr. Chung about the inconsistencies between his statement and 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Uppal called Mr. Gander as his witness and effectively led him through his evidence and report. Mr. Gander's report includes comments about inconsistencies between Mr. Uppal's reported condition and his performance during the functional capacity evaluation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 few examples will suffice. Mr. Gander reported that during formal testing of Mr. Uppal's walking, he walked slowly, but when he was outside crossing a busy street, and when walking to meet his daughter at the end of the testing session, he was able to walk more quickly (para. 43). Mr. Uppal told Mr. Gander that he was unstable and had to touch walls and objects because of dizziness, but he was able to retain stability while standing on one leg and while standing for up to 30 minutes, pivot to reverse, balance walking on narrow structures and through workspaces when he was not able to touch anything (paras. 25, 27 and 58). Mr. Uppal reported limitations with cognitive tasks and memory, such as banking, but on testing there were no overt cognitive deficits. He remembered instructions, processes following delays, and determined efficiencies while completing unfamiliar procedures (paras. 44 and 86). Finally, Mr. Uppal was able to complete a 45-minute session of computer-based activities, including keyboard skills and shortcuts, cataloguing and search functions, and exhibited high accuracy (paras. 32, 259-261).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this case, I must decide how to arrive at a fair assessment of Mr. Uppal's non-pecuniary general damages, taking into account that his current physical and emotional condition is a result of the first MVA, for which he was not at fault, and the second MVA for which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impact of an at-fault accident in cases of indivisible injury was discussed by Justice Humphries in </w:t>
      </w:r>
      <w:r>
        <w:rPr>
          <w:rFonts w:ascii="arial" w:eastAsia="arial" w:hAnsi="arial" w:cs="arial"/>
          <w:i/>
          <w:color w:val="000000"/>
          <w:sz w:val="20"/>
          <w:lang w:val="en-US" w:eastAsia="en-US" w:bidi="ar-SA"/>
        </w:rPr>
        <w:t>Demidas v. Poinen</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2012 BCSC 416</w:t>
        </w:r>
      </w:hyperlink>
      <w:r>
        <w:rPr>
          <w:rFonts w:ascii="arial" w:eastAsia="arial" w:hAnsi="arial" w:cs="arial"/>
          <w:color w:val="000000"/>
          <w:sz w:val="20"/>
          <w:lang w:val="en-US" w:eastAsia="en-US" w:bidi="ar-SA"/>
        </w:rPr>
        <w:t xml:space="preserve"> at paras. 51, 56-57: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The effect of the at-fault accident on the overall damage award is not a matter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the effect on the overall result may be similar. It is a matter of ensuring that the defendants are responsible only for the loss and damage they caused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While this is not a situation where damage is divisible and capable of individual apportionment, nevertheless the loss and damage caused by the accident for which Mr. Demidas is at fault must be considered and removed from the overall award so that the defendants are not held responsible for that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This is an imperfect exercise, dealing with intangibles and hypotheticals. Although each accident was fairly minor, the recurrence of accidents contributed to Mr. Demidas' ongoing symptoms. However, those symptoms are not as severe as those in the cases cited to me by the plaintiff. Considering the authorities presented to me, the injuries sustained in the four accidents, and adjusting the amount for the effects of the at-fault accident, I set non-pecuniary damages at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A similar analysis was more recently the subject of discussion in </w:t>
      </w:r>
      <w:r>
        <w:rPr>
          <w:rFonts w:ascii="arial" w:eastAsia="arial" w:hAnsi="arial" w:cs="arial"/>
          <w:i/>
          <w:color w:val="000000"/>
          <w:sz w:val="20"/>
          <w:lang w:val="en-US" w:eastAsia="en-US" w:bidi="ar-SA"/>
        </w:rPr>
        <w:t>Blenkarn v. Mills</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2016 BCSC 1976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Because Mr. Uppal's injuries are indivisible and not capable of individual apportionment, I must remove from the overall award the portion of any damages for which Mr. Chung is not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a number of cases, this has been described as an imperfect exercise dealing with intangibles and hypotheticals: </w:t>
      </w:r>
      <w:r>
        <w:rPr>
          <w:rFonts w:ascii="arial" w:eastAsia="arial" w:hAnsi="arial" w:cs="arial"/>
          <w:i/>
          <w:color w:val="000000"/>
          <w:sz w:val="20"/>
          <w:lang w:val="en-US" w:eastAsia="en-US" w:bidi="ar-SA"/>
        </w:rPr>
        <w:t>Demidas</w:t>
      </w:r>
      <w:r>
        <w:rPr>
          <w:rFonts w:ascii="arial" w:eastAsia="arial" w:hAnsi="arial" w:cs="arial"/>
          <w:color w:val="000000"/>
          <w:sz w:val="20"/>
          <w:lang w:val="en-US" w:eastAsia="en-US" w:bidi="ar-SA"/>
        </w:rPr>
        <w:t xml:space="preserve"> at para. 57; </w:t>
      </w:r>
      <w:r>
        <w:rPr>
          <w:rFonts w:ascii="arial" w:eastAsia="arial" w:hAnsi="arial" w:cs="arial"/>
          <w:i/>
          <w:color w:val="000000"/>
          <w:sz w:val="20"/>
          <w:lang w:val="en-US" w:eastAsia="en-US" w:bidi="ar-SA"/>
        </w:rPr>
        <w:t>Blenkarn</w:t>
      </w:r>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Mr. Uppal's case, apportionment is made somewhat easier by the fact that his condition had improved after the first MVA to the point where he was about to return to work on a full-time basis. I understand that Mr. Uppal did not agree with the extent of his recovery as assessed by his chiropractor and CBI but, absent expert medical evidence, I am only able to rely on the objective evidence that he was back to work six hours a day and scheduled to return to full-time hours in the near future. I also take into account that his employer was accommodating him and there is no evidence that it would not have continued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therefore conclude that any general damages to which Mr. Uppal is entitled should be assessed as if he had only been involved in the first MVA and, but for some residual difficulties which would have resolved in a few months, had fully recovered by the date of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In summary, the relevant evidence, as it relates to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is that:</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Uppal was 47 years of age at the date of the first MVA, and he is now 54;</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active and fit before the first MVA. He enjoyed his work and his social life. Since it, he has been less willing to socialize and is more irritable when his routine is interrupted;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injuries caused him moderate pain and discomfort in his neck, shoulders, and back, and headaches and dizziness;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disabled from working as result of the first MVA for the first approximately five months and then commenced a gradual return to work. He had nearly returned to full-time work when he had the second MVA;</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a pre-existing diabetic condition which, according to Dr. Rickard's report, has contributed to his current condition;</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injuries have a psychiatric overlay;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suffered from loss of enjoyment of life, although he is well-supported emotionally and financially by his extended family. Most of the evidence in ths regard related to Mr. Uppal's current condition not his conditioun before the second MVA. However, I accept that there was some impact on his social and other activities following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 conclude that Mr. Uppal's circumstances are most comparable to those of the plaintiffs in the cases of </w:t>
      </w:r>
      <w:r>
        <w:rPr>
          <w:rFonts w:ascii="arial" w:eastAsia="arial" w:hAnsi="arial" w:cs="arial"/>
          <w:i/>
          <w:color w:val="000000"/>
          <w:sz w:val="20"/>
          <w:lang w:val="en-US" w:eastAsia="en-US" w:bidi="ar-SA"/>
        </w:rPr>
        <w:t>Farbatuk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Gulbrandsen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Mohamud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Moini</w:t>
      </w:r>
      <w:r>
        <w:rPr>
          <w:rFonts w:ascii="arial" w:eastAsia="arial" w:hAnsi="arial" w:cs="arial"/>
          <w:color w:val="000000"/>
          <w:sz w:val="20"/>
          <w:lang w:val="en-US" w:eastAsia="en-US" w:bidi="ar-SA"/>
        </w:rPr>
        <w:t>. Considering those cases, which involved plaintiffs of a similar age to Mr. Uppal, and with moderate soft tissue injuries which continued for about two years, and in all the circumstances, I award Mr. Uppal $40,000 for the injuries he suffered in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have concluded that any ongoing injuries are attributable to the second MVA, for which Mr. Uppal was at fault.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Past and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On the evidence before me, there is no basis for an award of damages for past earning capacity. There was no specific evidence to support such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Mr. Uppal's evidence, taken as a whole, does not demonstrate a real and substantial possibility that any past event attributable to Mr. Chung's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lead to a loss of capacity. Mr. Uppal was well-settled in his job. He said he enjoyed it. There was no evidence that he had any advancement opportunities within Incomm. Because he was focused on and financially committed to seeing his son and daughter graduate, he was unlikely to explore other work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As to his claim for loss of future earning capacity, Mr. Uppal bears the burden of proving that there is a substantial possibility of a future event leading to an income loss. Mr. Uppal has not, in this case, proven impairment of a realistic employment opportunity, and there is no basis for such an award either on an income or a capital asset approach: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Mr. Uppal claims past loss of income for the time he was off work after the first MVA, and during the period of his gradual return to work, and for the fact that he has not worked since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Because I have determined that he was entirely responsible for the second MVA and because the injuries overlapped, I must determine the point at which Mr. Uppal would have returned to full-time work with Incomm but for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evidence is clear that Mr. Uppal's condition was improving after the first MVA and he was gradually increasing his hours at work. He was initially expected to be able to return to full-time hours by November 15, 2012, but had not done so by December 20, 2012, the date of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Based on Incomm's payroll records, which went into evidence on consent, following the first MVA, Mr. Uppal was off work from May 20 until October 6, 2011, when he returned to work for a limited number of hours. Mr. Uppal started working five-hour days on February 18, 2012, and six-hour days on June 9. His progress was slower than either CBI or Dr. Aulakh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Uppal was earning an hourly rate of $16.30. In the 18 weeks between May 20 and October 14, 2011, and based on a 40-hour work week, Mr. Uppal lost gross earnings of $11,736. Between October 15 and December 20, 2012, Mr. Uppal lost gross earnings of $15,436.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accept that, in addition to these losses, Mr. Uppal historically had worked some overtime and he did not do so following the first MVA. For example, in the three years preceding the first MVA, Mr. Uppal earned the following gross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826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2008 $37,135</w:t>
            </w:r>
          </w:p>
        </w:tc>
        <w:tc>
          <w:tcPr>
            <w:tcW w:w="809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826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2009 $38,626</w:t>
            </w:r>
          </w:p>
        </w:tc>
        <w:tc>
          <w:tcPr>
            <w:tcW w:w="809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826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2010 $35,560</w:t>
            </w:r>
          </w:p>
        </w:tc>
        <w:tc>
          <w:tcPr>
            <w:tcW w:w="809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Assuming his hourly rate was $16.30 in 2010, although I have no evidence in that regard, and assuming he worked 40 hours a week for 52 weeks, his gross income would have been $33,904. This means that his overtime income in 2010 was less than $2,000. Clearly, more overtime was available in earlier years even if Mr. Uppal's hourly rate remained the same. In the absence of better evidence about available overtime, I conclude that a fair award for the loss of possible overtime between May 20, 2011, and December 4, 2012, is $3,000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There is no medical evidence which would allow me to determine that Mr. Uppal was unlikely to have made a successful return to work but for the second MVA. Incomm was a very supportive employer and had gone to great lengths to accommodate Mr. Uppal. In fact, I was advised that he would be welcome to return to work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the absence of expert medical evidence to the contrary, I find that Mr. Uppal would have returned to work on a full-time basis by the beginning of 2013. As a result, while he would have had a small additional loss of past income from December 20, 2012 to January 2013, I am unable to quantify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As a result, I allow Mr. Uppal a total of $30,172 in gross past wage loss which I reduce to $20,000 to take into account the fact that Mr. Uppal will not pay tax on this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Mr. Uppal says that the first MVA was the cause of all of his current medical problems but at the time of the second MVA, he had returned to work for six hours a day and was set to return to work full-time shortly thereafter. He never returned to work after the second MVA despite Dr. Aulakh encouraging him to do so. Given my conclusion that liability for the second MVA lies solely with Mr. Uppal, it is unnecessary for me to consider the question of whether Mr. Uppal could or should have returned to work following the second MVA.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the absence of any medical evidence from Mr. Uppal's treating doctors or from an expert to support the cost of future care, there is no basis for an award under this head of damage. While it is true that many of Mr. Uppal's treating doctors have suggested in their clinical notes that he engage in an active exercise program, the clinical notes alone cannot support an award of future care costs. Mr. Uppal led no evidence about a program that he wished to engage in. There was also no evidence about any medical devices which Mr. Uppal might require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 Uppal led no evidence to support an award of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 claim for loss of housekeeping capacity is for the loss of the value of the housekeeping work that a plaintiff would have done but, because of injuries, can no longer do. The basis for such a claim is the loss of a plaintiff's ability to work in a manner that would have been valuable to them and others in the household. Because the claim is based on a loss of capacity (the loss of an asset), a plaintiff may be compensated whether replacement housekeeping costs are actually incurred, although the award may be quantified by assessing the cost to replace the plaintiff's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this case, Mr. Uppal lives with his wife and daughter, and his son, daughter-in-law, and their infant child. In this traditional home, Mr. Uppal's wife was primarily responsible for cooking and maintaining the kitchen. Mr. Uppal testified that he did do some cleaning but his wife was primarily responsible for that task. There was no evidence that the family purchased services to replace the services provided by Mr. Uppal and no evidence that he is unable to continue to do the minimal amount of cleaning that he previously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As a result, there is no basis for an award of damages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issue of costs was not addressed. The parties are to agree on a schedule for the exchange of written submissions on costs all of which are to be filed with me within 45 days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With respect to the first MVA, I have concluded that Mr. Chung was solely responsible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Mr. Uppal led no evidence and made no arguments to substantiate his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Sovereign Vehicle Leasing Ltd. or Seven Horses Transport Ltd., and his claims against them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With respect to the second MVA, I have concluded that Mr. Uppal was solely responsible for it. As a result, Mr. Uppal's claim against Ms. Sawal and Mr. Sawal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have awarded Mr. Uppal $40,000 in general damages and $20,000 for past loss of income. I have not awarded him any damages under the other heads of damage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MacNAUGHTON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5"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Walker (c.o.b. Wild Log Homes Inc.) v. British Columbia (Minister of Public Safety and Solicitor General), [2012] B.C.J. No. 755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P. Keighley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S131662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755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568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Leonard William Walker d.b.a. Wild Log Homes Inc., Plaintiff, and Ministry of Public Safety &amp; Solicitor General, Kristy Firman, Ryan Jamieson, Kathleen Brenda Neufeld, and Gloria Frimpong,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6"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5" w:name="Keywords_30"/>
      <w:bookmarkEnd w:id="215"/>
      <w:r>
        <w:rPr>
          <w:rFonts w:ascii="arial" w:eastAsia="arial" w:hAnsi="arial" w:cs="arial"/>
          <w:b/>
          <w:color w:val="000000"/>
          <w:sz w:val="20"/>
          <w:lang w:val="en-US" w:eastAsia="en-US" w:bidi="ar-SA"/>
        </w:rPr>
        <w:t>Civil litigation — Civil procedure — Parties — Adding or substituting — Pleadings — Amendment of — Statement of claim — Adding new cause of action — To alter or add to claim for relief — To raise additional issues — Application by plaintiff to amend pleadings and add police defendants adjourned — Plaintiff fired three employees at different times — He alleged he was assaulted in retribution and employees fabricated human rights complaints and allegations of sexual assault — He was acquitted at trial and sought to add police defendants to claim negligent and malicious investigation — Proposed amendments were deficient, as they pleaded evidence, argument and speculation — Certain amendments lacked particularity and failed to plead material facts — Plaintiff encouraged to retain counsel and resubmit properly drafted pleadings.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6" w:name="Case Summary_28"/>
            <w:bookmarkEnd w:id="2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Walker, to amend his statement of claim and to add seven members of the RCMP as defendants. The plaintiff was the sole shareholder of Wild Log Homes. He discharged three employees, the defendants, Firman, Neufeld and Frimpong. Firman was fired after eight days' employment due to misuse of the company computer. The plaintiff alleged that her boyfriend, the defendant Jamieson, subsequently attended the business and assaulted him. Criminal charges were dropped after Firman refused to testify against Jamieson. Frimpong was terminated after 11 days due to unreliability. Neufeld was terminated after four days and re-hired. The plaintiff alleged that Neufeld subsequently misappropriated tens of thousands of dollars of corporate property. Neufeld and Firman subsequently accused the plaintiff of sexual assault. Police investigated and recommended charges. The plaintiff was eventually acquitted on all counts. The claim, as drafted, sought damages from Firman and Jamieson for aggravated assault and permanent personal injury, damages from Firman for false allegations to police and the human rights tribunal, damages from Neufeld for theft and misappropriation and for false statements to police, claims against Frimpong for false statements to police, and claims against the Crown for negligent, improper and malicious conduct in the investigation of the sexual assault allegations. The plaintiff sought to amend his claim to add seven police defendants in order to claim negligent and malicious investigation.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7" w:name="Holdings of Court_21"/>
            <w:bookmarkEnd w:id="217"/>
            <w:r>
              <w:rPr>
                <w:rFonts w:ascii="arial" w:eastAsia="arial" w:hAnsi="arial" w:cs="arial"/>
                <w:color w:val="000000"/>
                <w:sz w:val="20"/>
                <w:lang w:val="en-US" w:eastAsia="en-US" w:bidi="ar-SA"/>
              </w:rPr>
              <w:t>HELD: Application adjourned.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amendments concerning the police officers did not support the claims which the plaintiff sought to advance. The proposed amendments were deficient in places, as they pleaded hearsay evidence, argument, and speculation. Certain of he proposed amendments were vague, lacked particularity, and failed to plead material facts. The plaintiff was encouraged to engage the assistance of counsel in drafting a proper set of amended pleadings.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8" w:name="Legislation Cited_21"/>
      <w:bookmarkEnd w:id="2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7"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6-2, Rule 6-2(7)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723" w:history="1">
        <w:r>
          <w:rPr>
            <w:rFonts w:ascii="arial" w:eastAsia="arial" w:hAnsi="arial" w:cs="arial"/>
            <w:i/>
            <w:color w:val="0077CC"/>
            <w:sz w:val="20"/>
            <w:u w:val="single"/>
            <w:shd w:val="clear" w:color="auto" w:fill="FFFFFF"/>
            <w:lang w:val="en-US" w:eastAsia="en-US" w:bidi="ar-SA"/>
          </w:rPr>
          <w:t>RSBC 1996, CHAPTER 367, s. 20</w:t>
        </w:r>
      </w:hyperlink>
      <w:r>
        <w:rPr>
          <w:rFonts w:ascii="arial" w:eastAsia="arial" w:hAnsi="arial" w:cs="arial"/>
          <w:color w:val="000000"/>
          <w:sz w:val="20"/>
          <w:lang w:val="en-US" w:eastAsia="en-US" w:bidi="ar-SA"/>
        </w:rPr>
        <w:t>, s. 21, s. 21(3)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9" w:name="Counsel_30"/>
      <w:bookmarkEnd w:id="2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8"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on his own behalf and on behalf of Wild Log Homes Inc.: Leonard William Walker.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Ministry of Public Safety &amp; Solicitor General: A. Sanghera.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0" w:name="Judgment_29"/>
      <w:bookmarkEnd w:id="220"/>
      <w:r>
        <w:pict>
          <v:line id="_x0000_s1179"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1" w:name="MASTER P. KEIGHLEY"/>
            <w:bookmarkEnd w:id="221"/>
            <w:r>
              <w:rPr>
                <w:rFonts w:ascii="arial" w:eastAsia="arial" w:hAnsi="arial" w:cs="arial"/>
                <w:b/>
                <w:color w:val="000000"/>
                <w:sz w:val="30"/>
                <w:lang w:val="en-US" w:eastAsia="en-US" w:bidi="ar-SA"/>
              </w:rPr>
              <w:t>MASTER P. KEIGHLEY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Leonard William Walker ("Walker") is the sole shareholder of Wild Log Homes Inc. ("Wild") and both were, at the material time, and are, perhaps even now, engaged in the manufacture of log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Between April 1 and May 30, 2009 Walker and/or Wild engaged and discharged three female employees in its Langley office: the defendants, Kristy Firman ("Firman"), Kathleen Brenda Neufeld ("Neufeld"), and Gloria Frimpong ("Frimpong").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Walker, and/or Wild terminated Firman, the first hired, after only eight days "... because she failed to discharge her daily duties to the plaintiffs' satisfaction, namely she used the office computer as an on-line dating agency. She refused to perform her lawful duties as a sales representative ...". When a dispute arose between Walker and Firman over the latter's severance pay, Walker says that Firman's boyfriend, the defendant Ryan Jamieson ("Jamieson"), attended at the Wild business premises and beat Walker up, allegedly causing Walker some permanent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Walker reported the alleged assault to the police. Jamieson was charged with either assault or aggravated assault but the charges were dropped or perhaps stayed a matter of days before trial: a result, Walker says, of Firman refusing to testify against her 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Walker was not done with Firman yet, however. It appears that sometime thereafter, Firman filed a complaint with the BC Human Rights Tribunal alleging certain misconduct on Walker's part which is not relevant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smoke had barely cleared from this fracas when Walker and/or Wild hired Frimpong as a secretary. Frimpong's employment was terminated after 11 days as she proved, Walker alleges, careless, unreliable and irresponsible.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Thereafter, Walker and/or Wild hired Neufeld, who lasted only four days. When she contacted him however, alleging that she needed money desperately, Walker granted Neufeld an advance and hired her back. It appears that he soon regretted having done so. He alleges that Neufeld swindled him, obtained advances for expenses without the production of receipts, stole blue prints, plans, office supplies and other corporate property worth in the tens of thousands of dollars. Walker says that he reported these thefts to the Langley detachment of the RCMP in June 2009. He also filed a Small Claims action against Neufeld and says that upon receipt of the Small Claims summons, Neufeld and Firman together "retaliated" by making false claims against Walker concerning alleged sexual assaults on Neufeld.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due course, the Langley detachment of the RCMP investigated the matter and recommended charges on four counts of sexual assault. Walker says that the RCMP relied on false, manufactured, evidence produced through a collaboration of Firman, Frimpong and Neufeld and ignored his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something over a year before the charges were dealt with, but on November 3, 2010 following trial, Judge Walker of the Provincial Court acquitted Walker on all 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Walker, as already indicated, alleges that the evidentiary basis for the charges was the result of a mean-spirited and malicious collaboration between his three former employees. With respect to the RCMP, Walker alleges that they were not only negligent in the conduct of their investigation but also conducted their inquires in a mean-spirited, malicious and unfair manner which has resulted in damage and loss to him and which continues to cause him difficulties in light of the entry of data relating to the charges on the Canadian Police Information Computer ("CPIC") which information has been shared with the US border authorities resulting in Walker being unable to travel to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Walker (and presumably his co-plaintiff Wild) seek the following orders:</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Amended Notice of Civil Claim (Form 1) filed June 22, 2011, be further amended per draft re-amended Notice of Claim attached hereto;</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Leave be granted to the applicant to add the officials by name at the Langley detachment of the RCMP as a defendant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attaching a copy of the draft Amended Notice of Civil Claim to these Reasons for Judgment as Schedule "A" and will refer to this document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Even prior to consideration of the instant application, this action represents a rather turbid amalgam consisting as it does of:</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against Firman and Jamieson for damages for aggravated assault, including claims for punitive and exemplary damages;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against Firman for damages resulting from false allegations made by Firman to both the Langley RCMP and the British Columbia Human Rights Tribunal;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by Walker against Firman and Jamieson for special damages, costs of future care and wage loss;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by Walker (and perhaps, more properly, by Wild) against Neufeld for theft and misappropriation as well as claims for damages resulting from wilfully false statements allegedly made by Neufeld to the police;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by Walker against Frimpong for damages resulting from her allegedly wilfully false statements;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by Walker against the Ministry of Public Safety and Solicitor General as a result of the alleged negligent, improper, and malicious conduct of the investigation of the sexual assault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If the structure of this action remains as is, it will represent a significant challenge to any trial judge given the multiplicity of parties and the number of unrelated claims brought by either or both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To this jumble, the plaintiffs now seek to add seven individual RCMP members as defendants and also to amend the provisions of the Notice of Civil Claim in the manner set out in the document attached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The Application of the </w:t>
      </w:r>
      <w:r>
        <w:rPr>
          <w:rFonts w:ascii="arial" w:eastAsia="arial" w:hAnsi="arial" w:cs="arial"/>
          <w:b/>
          <w:i/>
          <w:color w:val="000000"/>
          <w:sz w:val="20"/>
          <w:lang w:val="en-US" w:eastAsia="en-US" w:bidi="ar-SA"/>
        </w:rPr>
        <w:t>Police Act</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R.S.B.C. 1996, c. 367</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Sections 20 and 21 of the</w:t>
      </w:r>
      <w:r>
        <w:rPr>
          <w:rFonts w:ascii="arial" w:eastAsia="arial" w:hAnsi="arial" w:cs="arial"/>
          <w:i/>
          <w:color w:val="000000"/>
          <w:sz w:val="20"/>
          <w:lang w:val="en-US" w:eastAsia="en-US" w:bidi="ar-SA"/>
        </w:rPr>
        <w:t xml:space="preserve"> Police Act</w:t>
      </w:r>
      <w:r>
        <w:rPr>
          <w:rFonts w:ascii="arial" w:eastAsia="arial" w:hAnsi="arial" w:cs="arial"/>
          <w:color w:val="000000"/>
          <w:sz w:val="20"/>
          <w:lang w:val="en-US" w:eastAsia="en-US" w:bidi="ar-SA"/>
        </w:rPr>
        <w:t xml:space="preserve">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for torts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 Subject to an agreement under section 18 (1) or 23 (2),</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is jointly and severally liable for a tort that is committed by any of its municipal constables, special municipal constables, designated constables, enforcement officers, bylaw enforcement officers or employees of its municipal police board, if any, if the tort is committed in the performance of that person's duties, and</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regional district, government corporation or other prescribed entity is jointly and severally liable for a tort that is committed by any of its designated constables or enforcement officers, if the tort is committed in the performance of that person's duties.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alleged or established that any municipal constable, special municipal constable, designated constable, enforcement officer, bylaw enforcement officer or employee referred to in subsection (1) has committed a tort in the performance of his or her duties, the respective board and any members of that board are not liable for the claim.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(2), if it is alleged or established that any municipal constable, special municipal constable, designated constable, enforcement officer, bylaw enforcement officer or employee referred to in subsection (1) has committed a tort in the performance of his or her duties, the respective municipality, regional district, government corporation or other prescribed entity on behalf of which that person is employed may, in the discretion of the following, pay an amount that it considers necessary to settle the claim or a judgment against that person and may reimburse him or her for reasonable costs incurred in opposing the claim:</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municipality, the council of the municipality;</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regional district, the board of the regional district;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government corporation or other prescribed entity, that entity itself.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Personal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21(1) In this section, </w:t>
      </w:r>
      <w:r>
        <w:rPr>
          <w:rFonts w:ascii="arial" w:eastAsia="arial" w:hAnsi="arial" w:cs="arial"/>
          <w:b/>
          <w:color w:val="000000"/>
          <w:sz w:val="20"/>
          <w:lang w:val="en-US" w:eastAsia="en-US" w:bidi="ar-SA"/>
        </w:rPr>
        <w:t>"police officer"</w:t>
      </w:r>
      <w:r>
        <w:rPr>
          <w:rFonts w:ascii="arial" w:eastAsia="arial" w:hAnsi="arial" w:cs="arial"/>
          <w:color w:val="000000"/>
          <w:sz w:val="20"/>
          <w:lang w:val="en-US" w:eastAsia="en-US" w:bidi="ar-SA"/>
        </w:rPr>
        <w:t xml:space="preserve"> means either of the following:</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holding an appointment as a constable under this Act;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IIO investigator.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absolve any of the following, if they would have been liable had this section not been in force, from vicarious liability arising out of a tort committed by the police officer or other person referred to in that subsection:</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in the case of a tort committed by any of its municipal constables, special municipal constables, designated constables, enforcement officers, bylaw enforcement officers or an employee of its municipal police board, if any;</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regional district, government corporation or prescribed entity, in the case of a tort committed by any of its designated constables or enforcement officers;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in a case to which section 11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By virtue of s. 21(3) Walker, if he is to succeed at trial, must establish that the named RCMP members, or certain of them, have been guilty of "...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malicious or wilful misconduct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Adding or Substituting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have not framed this application in terms of adding the named RCMP members as parties pursuant to Rule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Rule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an application pursuant to this Rule, a plaintiff need only establish a possible cause of action or that there may exist a question or issue between it or him and the party to be added. The threshold is a relatively low one: </w:t>
      </w:r>
      <w:r>
        <w:rPr>
          <w:rFonts w:ascii="arial" w:eastAsia="arial" w:hAnsi="arial" w:cs="arial"/>
          <w:i/>
          <w:color w:val="000000"/>
          <w:sz w:val="20"/>
          <w:lang w:val="en-US" w:eastAsia="en-US" w:bidi="ar-SA"/>
        </w:rPr>
        <w:t>Strata Plan LMS 1212 v. Coquitlam (City),</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(2004), 31 B.C.L.R. (4th) 356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am not aware as to whether any limitation issue must be thrown into this mix. Mr. Sanghera did not raise it in argument and it seems to me that the limitation period might run from either the conclusion of the RCMP investigation, the dates upon which the various officers gave evidence, if they did so at trial, or the conclusion of the trial. In any event, any prejudice to be presumed from the passage of the limitation period would be restricted to situations where the time which has passed was the length of the limitation period plus one year from the time for service of the Notice of Civil Claim: </w:t>
      </w:r>
      <w:r>
        <w:rPr>
          <w:rFonts w:ascii="arial" w:eastAsia="arial" w:hAnsi="arial" w:cs="arial"/>
          <w:i/>
          <w:color w:val="000000"/>
          <w:sz w:val="20"/>
          <w:lang w:val="en-US" w:eastAsia="en-US" w:bidi="ar-SA"/>
        </w:rPr>
        <w:t>McIntosh v. Nilsson Bros Inc.,</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(2005), 48 B.C.L.R. (4th) 124</w:t>
        </w:r>
      </w:hyperlink>
      <w:r>
        <w:rPr>
          <w:rFonts w:ascii="arial" w:eastAsia="arial" w:hAnsi="arial" w:cs="arial"/>
          <w:color w:val="000000"/>
          <w:sz w:val="20"/>
          <w:lang w:val="en-US" w:eastAsia="en-US" w:bidi="ar-SA"/>
        </w:rPr>
        <w:t xml:space="preserv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Were it not for the fact that the Ministry representing the RCMP is already a party to this proceeding, I might not be disposed to order the addition of the individual members as parties to this action even given the "low threshold" to be considered. It seems to me that the claims against these individual officers would only further muddy and muddle the evidence before the trial judge, and certainly would not be required to "ensure that all matters in the proceeding may be effectually adjudicated on ..." however, given the present state of the pleadings, that issue seems to be moot. I see no objection in principle to the addition of the officers pursuant to the provisions of Rule 6-2, although that application is not specifically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Proposed Amendments Concerning the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real question is, do the proposed changes to the Notice of Civil Claim support the claims which the plaintiffs or either of them seek to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purpose of a pleading is to:</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Define clearly and precisely the questions in controversy between the litigants;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fair notice of the precise case which is required to be met and the precise remedies sought;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expansion of the issues;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Guard against loose thinking;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Ensure that disputes are resolved efficiently on their merits: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(2008), 290 D.L.R. (4th) 617</w:t>
        </w:r>
      </w:hyperlink>
      <w:r>
        <w:rPr>
          <w:rFonts w:ascii="arial" w:eastAsia="arial" w:hAnsi="arial" w:cs="arial"/>
          <w:color w:val="000000"/>
          <w:sz w:val="20"/>
          <w:lang w:val="en-US" w:eastAsia="en-US" w:bidi="ar-SA"/>
        </w:rPr>
        <w:t xml:space="preserve"> (Court of Appeal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 plaintiff should state, for each cause of action raised, that material facts, namely, those necessary for the purpose of establishing a complete cause of action against the particular defendant: </w:t>
      </w:r>
      <w:r>
        <w:rPr>
          <w:rFonts w:ascii="arial" w:eastAsia="arial" w:hAnsi="arial" w:cs="arial"/>
          <w:i/>
          <w:color w:val="000000"/>
          <w:sz w:val="20"/>
          <w:lang w:val="en-US" w:eastAsia="en-US" w:bidi="ar-SA"/>
        </w:rPr>
        <w:t>Canadian Bar Assn.</w:t>
      </w:r>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Although amendments should be liberally allowed to ensure that the interests of justice are served, only amendments which are necessary to determine the real question or questions in issue between the parties should be permitted. The same factors apply on applications to amend as apply to consideration of applications to strike existing pleadings, namely, issues relating to conciseness, material facts, particulars and the prohibition of pleadings which disclose no reasonable claim or are otherwise scandalous, frivolous, of vexatious: </w:t>
      </w:r>
      <w:r>
        <w:rPr>
          <w:rFonts w:ascii="arial" w:eastAsia="arial" w:hAnsi="arial" w:cs="arial"/>
          <w:i/>
          <w:color w:val="000000"/>
          <w:sz w:val="20"/>
          <w:lang w:val="en-US" w:eastAsia="en-US" w:bidi="ar-SA"/>
        </w:rPr>
        <w:t>Forliti (Guardian ad litem of) v. Woolley</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2003 BCSC 1082</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Sanghera says that the amendments proposed by the plaintiffs do not further any of the goals of pleadings referred to above, nor do they in most cases contain material facts. On the contrary he says the proposed amendments lack coherence, introduce new causes of action, and are, in certain respects, frivolous, vexatious and/or scandalous.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Consideration of the Amendments Relating to the Proposed New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Having attached a copy of the proposed Amended Notice of Civil Claim to these reasons, I will simply refer to the particular paragraphs discussed without reproducing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Paragraph 19 -- this proposed amendment represents a pleading of evidence and hearsay evidence at that. It is not a proper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Paragraph 20 -- the first sentence in paragraph 20 is not objectionable. The second sentence is essentially argument and does not represent a proper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Paragraph 21 -- the first sentence of paragraph 21 is clumsy but not particularly objectionable. The second sentence, however, is a pleading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Paragraph 22 -- is a proper pleading up to and including the word "doubt". The balance of the sentence is speculative and in any event a matter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Paragraph 23 -- seems to advance a claim against the "Langley Detachment of the RCMP" which is not an appropriate party. Insofar as it seeks to advance a claim against the individual named defendants, it does not name them and is far too general and vague to support a claim under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Paragraph 24 -- see comments with regard to paragraph 23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Paragraph 25 -- this paragraph does not plead any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Paragraph 26 -- this paragraph does not plead material facts necessary to support a claim under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Paragraph 27 -- this paragraph is not a pleading of fact, rather it is a pleading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Paragraph 28 -- see comments with regard to paragraph 27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Paragraphs 29-32 inclusive -- do not plead sufficient facts to establish claims against the officers referred to under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Paragraph 33 -- this paragraph does not include sufficient particularity to establish the relevance of the document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Paragraph 34 -- this paragraph does not set out the alleged defamatory words, on basis for innuendo upon which the claims of liable and slander are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Paragraph 35 -- is a pleading of evidence and hearsay evidence at that. It is not a proper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Paragraph 36 -- this paragraph is a pleading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is but a summary of the basic flaws I have found in the draft Amended Notice of Civil Claim insofar as it relates to the naming of the new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 to Amend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Insofar as the plaintiffs or either of them seek to amend the claim as it relates to the defendants Firman, Jamieson, Neufeld, and Frimpong, I am adjourning the application generally. Nothing in the material before me suggests that the defendants other than the Ministry and Neufeld (through her counsel) received notice of the application. Neufeld's counsel advised Walker and the Court by letter of his unavailability on the hearing date unilaterally set by Walker.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note from reviewing such as the file contents as are before me, and they are limited, that:</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15, 2011 Master Caldwell dismissed the plaintiffs' application to amend their pleading and add the individually named RCMP members as a result of the plaintiffs' failure to provide proper notice of the application to all interested parties;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19, 2012 Mr. Justice Abrioux adjourned the plaintiffs' application because the plaintiffs had failed to give proper notice of the application to all interested parties;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16, 2012 Mr. Justice Blok adjourned the plaintiffs' application to amend the pleadings and add the individually named RCMP members as the pleadings were deficient and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understand, from Mr. Sanghera, I believe, that some discussion took place at a Case Planning Conference herein with regard to severance (notwithstanding the earlier addition) of the claims against the RCMP from the other claims advanced by the plaintiffs in this action. While that seems a good idea, that application is not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would like to assist the parties to this proceeding by providing a clear resolution of the amendment issue, but I am unable to do so at this time. It seems to me, that prior to considering further an application to amend, the parties might wish to resolve the question of whether the claims against the police should form part of this action at all or whether they should be separate and dealt with as separate issues, which, in fact, they are. In the result, I am going to adjourn the application both to add the individual RCMP members and to amend the Notice of Civil Claim generally. Although properly framed pleadings may support claims against individual RCMP members and that would justify their addition as parties pursuant to Rule 6-2, the proposed pleadings are not adequate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sincerely hope that the plaintiffs will engage the assistance of counsel in drafting a proper set of amended pleadings and not simply re-submit these which I have found to be inadequate. Although I have adjourned the application generally, I direct that it not be re-set prior to May 31, 2012 in order to afford the parties the opportunity to resolve whether any severance of issues should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appears to me that the plaintiffs have had ample notice as to the inadequacy of their proposed pleadings. The Ministry will have its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P. KEIGHLEY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Form 1 (Rule 3-1 (1))</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No. S131662 New Westminster Registry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Leonard William Walker dba Wild Log Homes Inc;</w:t>
      </w:r>
      <w:r>
        <w:rPr>
          <w:rFonts w:ascii="arial" w:eastAsia="arial" w:hAnsi="arial" w:cs="arial"/>
          <w:sz w:val="20"/>
          <w:lang w:val="en-US" w:eastAsia="en-US" w:bidi="ar-SA"/>
        </w:rPr>
        <w:cr/>
      </w: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Ministry of Public Safety &amp; Solicitor General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Kristy Firman, Ryan Jamieson,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Kathleen Brenda Neufeld, Gloria Frimpong</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Superintendent Derek R Cooke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Constable Laura de Visser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Officer Dennis Grace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Constable Robert Tumbas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Corporal Kirby Adams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Constable Bryce Lamoureux</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Corporal Jason Charney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84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action has been started by the plaintiff(s) for the relief set out in Part 2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respond to this action, you or your lawyer must</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in the above-named registry of this court within the time for response to civil claim described below,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make a counterclaim, you or your lawyer must</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and a counterclaim In Form 3 in the above-named registry of this court within the time for response to civil claim described below,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and counterclaim on the plaintiff and on any new parties named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 MAY BE PRONOUNCED AGAINST YOU IF YOU FAIL to file the response to civil claim within the time for response to civil claim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Time for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response to civil claim must be filed and served on the plaintiff(s),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anywhere In Canada, within 21 days after the date on which a copy of the filed notice of civil claim was served on you,</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in the United States of America, within 35 days after the date on which a copy of the filed notice of civil claim was served on you,</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elsewhere, within 49 days after the date on which a copy of the filed notice of civil claim was served on you, 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for response to civil claim has been set by order of the court, within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Claim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1: STATEMENT OF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numbered paragraphs, set out a concise statement of the material facts giving rise to the plaintiffs(s) claim.]</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Leonard William Walker is the sole owner of Wild Log Homes Inc.</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hired the Defendants Kristy Firman ("Firman"), Kathleen Brenda Neufeld ("Neufeld") and Gloria Frimpong (Tampons') approximately three years ago between April and May, 2009.</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Firman was terminated by the Plaintiff after 8 days of employment because she failed to discharge her daily duties to the Plaintiffs satisfaction ... namely she used the office computer as an on-line dating agency. She refused to perform her lawful duties as a sales representative by holding a presentation of the Plaintiffs los home business as instructed by the Plaintiff.</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days after the Plaintiff fired the Defendant Firman,, she demanded her full pay for 8 days in cash. The Plaintiff refused but told her that she will be given a cheque and pay stub like everybody else, The Defendant Firman rejected the Plaintiffs offer and refused to return to the Plaintiff the key to the office.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Firman threatened the Plaintiff that he had better have her money ready in cash and that she would be back.</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Defendant Firman left, the Plaintiff locked the front door to the office, Within a short while, the Defendant Firman returned with her tend, the Defendant Ryan Jamieson ("Jamieson') in. The Defendant Jamieson demanded the Plaintiff to hand over the cash that the Defendant Firman alleged that the plaintiff owed her.</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refused the Defendant Jameson physically assaulted the Plaintiff and the Plaintiff sustained serious Sties to his right shoulder and Light hand. The injuries required 2 subsequent operations to rectify and the doctors prognosis is that the Plaintiff sustained permanent damage and disability to his right hand.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reported the assault to the police and they tracked the Defendant Jamieson down and apprehended and charged him for assault. The charges were soon dropped days before trial because the Defendant Firman refused to testify against the Defendant Jamieson, her boyfriend.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that the defendant Firman filed false allegations of Aesop! assault at the Human Rights Tribunal ("Tribunal"), The Plaintiffs position is that on the occasion that the Plaintiff took her up to Kamloops for a log home presentation sometime in, early April 2009, the Plaintiff booked a motel with 2 separate rooms for the night there,10</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defendant Firman claimed to the Tribunal that the Plaintiff booked only one room and she changed the date of the motel invoice for a motive that is unknown to the Plaintiff. The Plaintiff contends that the defendant Firman did all this to draw an inference on the Plaintiff that the Plaintiff was in Kamloops with her for an immoral purpose.</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Plaintiff terminated the Defendant Firmer), the Plaintiff hired Gloria Frimpong Defendant, as a secretary. The Defendant Frimpong was very careless in that she left the office door unlocked 5 times and left the coffee pot 3 times on and the alarm was never set before she left work every day.,</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summoned twice by other tenants below his office complaining that the alarm was going off. The Plaintiff terminated the Defendant Frimpong after 11 days on the job because she was just plain unreliable and irresponsible.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then hired Kathleen Brenda Neufeld ("Neufeld") Defendant to replace the Defendant Frimpong. The Defendant Neufeld worked a mere 4 days and never turned up for work at the office thereafter. The Plaintiff made an appointment to see the Defendant Neufeld on May 8, 2009; she told the Plaintiff that she needed money desperately,</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felt sorry for her and gave her a advance and hired her back to work for the company. The Defendant Neufeld returned to work on the plaintiffs consent commencing May 11 2009.</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Neufeld kept on swindling the Plaintiff for more money on fabricated stories that she had good connections in Washington State on tog homes,. The Defendant Neufeld sounded so convincing that the Plaintiff finally advanced her a total $9.680.00 for her to arrange for topographic surveys, hotel expenses, food and gas but the Defendant Neufeld never produced a single receipt for the same.</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Neufeld also stole from the Plaintiff blueprints, floor plans, ink cartridges, keys, memory. stick etc. to a total value of approximately $48,000.00, in company property.</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reported the thefts to the Langley Detachment of the RCMP on June 6 2009. The Plaintiff made a statement at the police station and obtained a police report on them.</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decided to file a small claims action against the Defendant Neufeld for the return of the money stolen by her and Firman for the damage she paused in the office, On being served the small claims papers, the Defendant Neufeld and Firman retaliated by going to the police to make false claims against the Plaintiff of sexual assault on her.</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Langley Detachment arrested the Plaintiff and charged him on 4 different counts of sexual assault relying on the false testimony of the. Defendant Neufeld, which the Plaintiff subsequently found out was on the basis of a collaboration of false evidence with the other Defendants Firman and Frimpong to the police against the Plaintiff.</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police believed the Defendants' story and proceeded with their charges and refused to give the Plaintiff a chance to present his side of the story in response to the allegations of the women Defendants_ The Plaintiff became a victim of trumped up charges that the police meted out to the Plaintiff without bothering to investigate the matter,</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no recourse but to approach the relevant public office for recourse by presenting a formal written complaint to the Office of the Complaints against the RCMP in Ottawa. The Plaintiff also wrote letters to Mr. Towes, the Minister for Public Safety_, and was told that the public officer's office is still investigating the matter,</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attended trial on August 4 - 6 and 11 2010 before the Hon. Madam Justice Walker who acquitted him of all 4 counts on the basis that the Crown failed to prove their case against the Plaintiff beyond reasonable doubt due to the inconsistency of the Defendants' false testimonies.</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wishes to add the Langley Detachment of the RCMP as a co-Defendant in this action because of the grave injustice that was done to the Plaintiff by them due to their botched investigation and the grossly unfair way that the Plaintiff was treated when they refused to investigate further into the matter and they knew or ought to have known that the women Defendants' testimony against the Plaintiff was all made for an improper common purpose,</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Langley Detachment of the RCMP ("the police") was grossly negligent in that they refused to record the Plaintiffs statement in order to respond to the Defendants' allegations. Instead the police merely chose to rely on the collaboration evidence of three women Defendants who harboured personal grudges against the Plaintiff all stemming from their employment with the Plaintiff who had never ever touched them, but rightfully terminated the Defendants due to their failing in their daily duties as office support workers for the Plaintiff,</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especially aggrieved by the fact that the police did nothing to rectify the situation even after they had clear knowledge that the Plaintiff was completely acquitted of all charges by the trial judge.</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police and the Crown had made a statement in writing that they had done a thorough investigation before deciding to prefer charges against the Plaintiff. It is the Plaintiff's position that they have not, because if they did, the facts of the entire matter would not have resulted in the Plaintiff being charged of the several counts of sexual assault in the first place.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s. 20(3) of the Police Act (the "Act"), if the police/policemen. committed torts to a Plaintiff in the performance of his/her duties which entitles the Plaintiff a remedy for damages against the Minister concerned as these police individuals dearly breached their duty then this section renders the police liable in damages to a Plaintiff for the wrongs committed, details of which breaches are clearly set out in paragraph 29 below.</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 21(3)(a) of the Act, individual police officers are personally liable for dishonesty, willful or malicious misconduct, 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performance of their duties as policemen</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seek to have the following police witnesses to testify in the trial of this matter, a date of the trial has yet to be set: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Superintendent Derek R Cooke of the Langley Detachment did not exercise due diligence or try his best to investigate the Plaintiffs complaints about the individual police officers' handling of the Plaintiffs matter in his detachment. All that he did was he wrote several letters to the Plaintiff and the common denominator of those letters is that the detachment followed proper procedures in their investigations and that there was nothing he could do to assist the Plaintiff. The Plaintiff says that this renders him liable to the Plaintiff under s. 21(3)(a) of the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Constable Laura de Visser is also liable for damages to the Plaintiff under s. 21(3)(a) of the Apt in that she did not give a true version of the facts on her statement to Crown concerning the four sexual assault charges and the Plaintiff was arrested falsely by her on trumped-up charges. In addition this constable used more force than was necessary when she handcuffed the Plaintiff, even though the Plaintiff told her before that his shoulder was dislocated, As a result, she caused the Plaintiff to suffer unnecessary pain at the time of arrest.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 21(3)(a) of the Act also covers Officer Dennise Grace in that she declined to look into or investigate the facts put forward by the Plaintiff, ie, how the defendant Neufeld stole from the Plaintiff and the defendant Neufeld's whereabouts on the alleged days of assaults that just did not match with her account of events to the police.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Constable Robert Tumbas is also liable to the Plaintiff under s. 21(3)(a) of the Act in that he failed in his duty to arrest the defendant Neufeld for the stolen money and property which was taken from the Plaintiff's company He has deliberately and without reasonable cause, dragged this so galled 'investigation" on for the years and has no intention whatsoever of apprehending the criminal Neufeld to justice.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Corporal Kirby Adams is also liable under s. 21(3)(a) of the act in that he failed to investigate the clime committed by the defendant Neufeld on the Plaintiff and he staunchly, without good reason, refused to, at the very least invite Neufeld to the station for further investigation, if not arrest her for her crimes when the Plaintiff clearly explained to Adams the circumstances under which the funds and company property were stolen by the defendant Neufeld,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 21(3)(a) of the Act also renders Constable Bryce Lamoureux liable as he was the officer whose duty it was to investigate Jamieson after the Plaintiff disclosed to him that the defendant Jamieson committed aggravated assault on the Plaintiff. The Plaintiff maintains that this police officer declined to fulfill this duly under this section of the Act as this police officer indicated to the Plaintiff that the Defendant Firman refused to testify against Jamieson, her boyfriend, so that he could not charge the defendant Jamieson but to release him from police custody. The Plaintiff maintains that s. 20(3) of the Act was breached because the assailant Jamieson should have been incarcerated for the assault but neither the Crown nor, the RCMP bothered to see fit to charge nor keep him in police custody pending further investigations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Corporal Jason Charney is also liable to the plaintiff under s. 21(3)(a) of the Act in that this police officer's duty at the time was to investigate this matter, mien the Plaintiff explained to this officer that the defendant Firman lied by claiming that she went to the Plaintiffs office on the day of her alleged assault in order to as why the tax deductions on her pay cheque were so high but this was net hoe as the Plaintiff had not even paid her yet on the day she alleged. However, this officer did not even bother to investigate into this but merely concluded that no crimes were committed by Finnan, thereby drawing this conclusion arid, the Plaintiff claims that this officer breached s. 21(3)(a) of the Act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contends that documentary proof set out in his Affidavit #7 sworn January 23 2012, clearly shows that the defendant Neufeld was not at the office during the time of the alleged sexual assaults so the RCMP and Crown could not have done a thorough investigation, as they so claimed.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best of the Plaintiffs knowledge and belief, one of the new 'sexual assault' days, is now May 28 2009 was unilaterally and deliberately added by the defendant Neufeld in her, Human Rights action when she was in fact at the material time some 200 miles away in Kent Washington and not in the Plaintiffs office and being sexually assaulted as she so claimed. The Plaintiff concludes that the defendant Neufeld lied to the police and Human Rights.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say that false statements made by the Defendants Neufeld, Firman and Frimpong to the RCMP and Corporal De Visser's misleading statements to the Crown contradicts the defendant Neufeld's real whereabouts on those days of the alleged sexual assaults.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August 2010, the Defendant Neufeld attempted to produce as evidence at the Surrey Criminal Court a document purportedly issued by the Canada Border Service Agency, but carefully doctored by her, which omitted material information in the document in order to mislead the trial judge regarding her whereabouts on certain dates and times, The Plaintiff will rely on this document in the trial of this matter,</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s. 21(3)(b) of the Act, the police are liable to the Plaintiff if they committed libel or slander to the Plaintiff in performance of their duties as police officers, It is the Plaintiffs position that the RCMP damaged the Plaintiffs reputation by through the Canadian Police Information Centre thereafter referred to as "CPIC") releasing Crown documents on the Plaintiffs police file to the United States Customs and Border Protection Services to discredit the Plaintiff even after the Plaintiff was acquitted of all four charges of sexual assault by Madam Judge Walker at the Surrey Criminal Court on November 3, 2010,</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states that documents have been filed in the District Court in Seattle to try to rectify the damage that the CPIC had done to the Plaintiff. The Plaintiff was told that this record is to be kept on file with the US Customs and Border Protection as a permanent record and that it will require nothing short of a court order from the US in order to have the record removed permanently.</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"permanent" damage caused to the Plaintiff over the border has implemented the relevant inland security organizations or agencies., such as the FBI and Interpol worldwide as these were reported to the United States Customs and Border protection as sexual assault cases. This has also jeopardized the Plaintiff's chances of migrating to another country, as criminal back ground checks ere now mandatory for the Plaintiff to reside in a country of his choice,</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police presently has knowledge of this acquittal but prefers not to rectify the situation by retracting the information from the US border authorities constitutes a continuous breach of s. 21(3)(b) of the Act and also a continuous tort against the Plaintiff which entitles a further claim for aggravated or punitive damages against the police individuals, the department concerned and the Minister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2: RELIEF SOUGHT</w:t>
      </w:r>
      <w:r>
        <w:rPr>
          <w:rFonts w:ascii="arial" w:eastAsia="arial" w:hAnsi="arial" w:cs="arial"/>
          <w:sz w:val="20"/>
          <w:lang w:val="en-US" w:eastAsia="en-US" w:bidi="ar-SA"/>
        </w:rPr>
        <w:cr/>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against the above named individual officers of the Langley Detachment of the RCMP ('the police"):</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intends to claim damages from the police for malicious prosecution due to the fact that they acted out of malice in supplying faulty information to the Crown without good faith or fully ruled out the Plaintiffs innocence of the allegations put forward by the complainants,</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wishes to claim damages from the police or CPIC for defamation where they were responsible for updating their internal records to reflect the Plaintiffs acquittal of all charges instead of continuing to give access of an outdated police file to the United States Customs and Border Protection, branding the Plaintiff a criminal,</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false arrest and falsely branding the Plaintiff a sex Offender without bothering to allow the Plaintiff the opportunity to answer to the allegations of the women Defendants;</w:t>
      </w:r>
    </w:p>
    <w:p>
      <w:pPr>
        <w:numPr>
          <w:numId w:val="5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that the police failed to investigate the mattes with due diligence, but instead to prefer the false stories of 3 women Defendants, who each has her own purpose to serve in fling sexual assault charges to the police against the Plaintiff.</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malicious prosecution in that the police passed on untrue statements to the Crown causing the Plaintiff to be charged with four separate counts of sexual assault when they knew or ought to have known with due diligence, in following through with their investigations, that the Plaintiff was framed by the police and the Defendant complainants</w:t>
      </w:r>
    </w:p>
    <w:p>
      <w:pPr>
        <w:numPr>
          <w:numId w:val="5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Seeking damages of $5,000,000.00, and all court costs related to this matter,</w:t>
      </w:r>
    </w:p>
    <w:p>
      <w:pPr>
        <w:numPr>
          <w:numId w:val="6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against the Defendants KRISTY FIRMAN AND RYAN JAMIESON:</w:t>
      </w:r>
    </w:p>
    <w:p>
      <w:pPr>
        <w:numPr>
          <w:numId w:val="6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damages against the Defendants Firman and Jamieson for aggravated assault and damages for the permanent injuries that the Plaintiff sustained on account of the assault;</w:t>
      </w:r>
    </w:p>
    <w:p>
      <w:pPr>
        <w:numPr>
          <w:numId w:val="6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and exemplary damages for the malicious nature of the assault, whereby the Plaintiff lost his ability to work for his livelihood and support his family due to the permanent disability be sustained from the assault,</w:t>
      </w:r>
    </w:p>
    <w:p>
      <w:pPr>
        <w:numPr>
          <w:numId w:val="6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defamation for her making false allegations of sexual assault to the police and the Human Rights Tribunal</w:t>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for medical expenses, any future cost of care and loss of wages emanating from the disability</w:t>
      </w:r>
    </w:p>
    <w:p>
      <w:pPr>
        <w:numPr>
          <w:numId w:val="6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against the Defendant, KATHLEEN NEUFELD:</w:t>
      </w:r>
    </w:p>
    <w:p>
      <w:pPr>
        <w:numPr>
          <w:numId w:val="6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Return of company property to the Plaintiff, namely., the amount of $57,500,00 that she stole by her misrepresentations to the Plaintiff;</w:t>
      </w:r>
    </w:p>
    <w:p>
      <w:pPr>
        <w:numPr>
          <w:numId w:val="6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recovery of court costs in the amount of $15 000.00 that the Plaintiff expended in defending a Human Rights Tribunal action that the Defendant Neufeld brought against the Plaintiff, which action proved to be groundless:</w:t>
      </w:r>
    </w:p>
    <w:p>
      <w:pPr>
        <w:numPr>
          <w:numId w:val="6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defamation of the Plaintiff for giving false testimony to the police alleging that the Plaintiff sexually assaulted her when she. knew, all along that her accusations were false</w:t>
      </w:r>
    </w:p>
    <w:p>
      <w:pPr>
        <w:numPr>
          <w:numId w:val="6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defamation in giving false testimony against the Plaintiff in 3 courts the Surrey Criminal Court, the Human Rights Tribunal and the Supreme Court of BC including any additional cost that Neufeld has caused in Human Rights.</w:t>
      </w:r>
    </w:p>
    <w:p>
      <w:pPr>
        <w:numPr>
          <w:numId w:val="7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against the Defendant GLORIA FRIMPONG:</w:t>
      </w:r>
    </w:p>
    <w:p>
      <w:pPr>
        <w:numPr>
          <w:numId w:val="7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defamation of the Plaintiff for giving false testimony to the police alleging that she witnessed the Plaintiff sexual assault on the Defendant Neufeld when she knew that what she was alleging was false but was done purees to spite the Plaintiff for terminating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3: LEGAL BASIS</w:t>
      </w:r>
      <w:r>
        <w:rPr>
          <w:rFonts w:ascii="arial" w:eastAsia="arial" w:hAnsi="arial" w:cs="arial"/>
          <w:sz w:val="20"/>
          <w:lang w:val="en-US" w:eastAsia="en-US" w:bidi="ar-SA"/>
        </w:rPr>
        <w:cr/>
      </w:r>
    </w:p>
    <w:p>
      <w:pPr>
        <w:numPr>
          <w:numId w:val="7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that, as far as the individual constables and the superintendent named above who are serving in the Langley detachment of the RCMP are concerned, s. 20(3) of the Police Act, the police defendants had committed a tort against the Plaintiff in the performance of his/her duties which entitles the Plaintiff a remedy for damages against the Minister concerned as these police individuals clearly breached their duty to the Plaintiff details of which breaches are clearly set out in paragraph 29 of the statement of facts above.</w:t>
      </w:r>
    </w:p>
    <w:p>
      <w:pPr>
        <w:numPr>
          <w:numId w:val="7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relies on s. 21(3)(a) of the Police Act, as the individual omissions or failure to exercise due diligence in investigating or prosecute the matter in order to assist the Plaintiff on the part of the individual officers named above, was grossly negligent, willful and uncalled fora and these misdeeds or omissions render the individual police constables and their superintendent personals liable for the torts or omissions. committed against the Plaintiff.</w:t>
      </w:r>
    </w:p>
    <w:p>
      <w:pPr>
        <w:numPr>
          <w:numId w:val="7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relies on s. 21(3)(b) of the Police Act and say that one of the causes in his action against the police is founded on libel or slander in that the giving of unsafe, unsworn and misleading statements by those constables concerned to the Crown resulted in the Crown preferring 4 separate counts of sexual assault against the Plaintiff, when the police, having failed to investigate the matter with due diligence, and thus had no reasonable or sufficient grounds to believe that the Plaintiff ever committed those alleged offences,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21(3)(a) of the Police Act particularly applies to afford the Plaintiff a remedy as the unwarranted supplying of a copy of the Crowns file to the US Border Services is clearly seriously defamatory of the Plaintiff when it was apparent that the Plaintiff has been acquitted of all 4 charges by the criminal court in Surrey, 8C, and the CPIC never bothered to update the Plaintiff's file or records by reeding their shared information with the US Border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address for service: 21646-44th Ave, Langley, BC. V3A 3E8 Fax number address for service (if any): 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E-mall address for service (if any): 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Place of trial: New Westminster,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address of the registry is: 651 Carnarvon Street, New Westminster,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Date: February 15,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Signature of plaintiff</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Leonard William Walker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7-1 (1) of the Supreme Court Civil Rules states:</w:t>
      </w:r>
      <w:r>
        <w:rPr>
          <w:rFonts w:ascii="arial" w:eastAsia="arial" w:hAnsi="arial" w:cs="arial"/>
          <w:sz w:val="20"/>
          <w:lang w:val="en-US" w:eastAsia="en-US" w:bidi="ar-SA"/>
        </w:rPr>
        <w:cr/>
      </w:r>
    </w:p>
    <w:p>
      <w:pPr>
        <w:numPr>
          <w:numId w:val="7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all parties of record consent or the court otherwise orders, each party of record to an action must, within 35 days after the end of the pleading period,</w:t>
      </w:r>
    </w:p>
    <w:p>
      <w:pPr>
        <w:numPr>
          <w:numId w:val="7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a list of documents in Form 22 that lists</w:t>
      </w:r>
    </w:p>
    <w:p>
      <w:pPr>
        <w:numPr>
          <w:numId w:val="7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that are or have been in the party's possession or control and that could, If available, be used by any party at trial to prove or disprove a material fact, and</w:t>
      </w:r>
    </w:p>
    <w:p>
      <w:pPr>
        <w:numPr>
          <w:numId w:val="7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documents to which the party intends to refer at trial, and</w:t>
      </w:r>
    </w:p>
    <w:p>
      <w:pPr>
        <w:numPr>
          <w:numId w:val="8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the list on all parties of record.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following information is provided for data collection purposes only and is of no legal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1: CONCISE SUMMARY OF NATURE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claim for damages arising from false arrest, aggravated assault causing permanent physical disability, loss of income from a promising business and loss of the ability to work, theft, and special, damages in the form of legal and medical expenses.: and a claim for damages arising from malicious prosecution and defamation by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2: THIS CLAIM ARISES FROM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[Check one box below for the case Woe that best describes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personal injury arising out 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a motor vehicle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medical malpractice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[x] another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dispute concerning: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contaminated sites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construction defects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real property (real estate)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personal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the provision of goods or services or other general commercial matters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investment losses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the lending of money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[X] an employment relationship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a will or other Issues concerning the probate of an estate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[x] a matter not listed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3: THIS CLAIM INVOLVES: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[Check all boxes below that apply to this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a class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maritime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aboriginal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constitutional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conflict of laws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[x] none of the above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do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an enactment is being relied on, specify. Do not list more than 3 enactments.]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0"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Warkentin v. Riggs, [2010] B.C.J. No. 2400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3-7, 10-13, 17-18 and 20,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S17725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2400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1706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B.C.L.R. (5th) 172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3325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195 A.C.W.S. (3d) 133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Crystal Warkentin, Plaintiff, and Glenda Elizabeth Riggs,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1"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2" w:name="Keywords_31"/>
      <w:bookmarkEnd w:id="222"/>
      <w:r>
        <w:rPr>
          <w:rFonts w:ascii="arial" w:eastAsia="arial" w:hAnsi="arial" w:cs="arial"/>
          <w:b/>
          <w:color w:val="000000"/>
          <w:sz w:val="20"/>
          <w:lang w:val="en-US" w:eastAsia="en-US" w:bidi="ar-SA"/>
        </w:rPr>
        <w:t>Damages — Physical and psychological injuries — Physical injuries — Soft tissue — Head injuries — Headaches — Action by the plaintiff for damages for injuries sustained in a motor vehicle accident allowed in part — The plaintiff was awarded $50,000 in non-pecuniary damages, $1,592 for past income loss and special damages were to be assessed — The plaintiff suffered soft tissue injuries and suffered from ongoing headaches that were attributable to the injuries she sustained in the accident — The medical evidence did not support a conclusion the plaintiff's widespread pain or fibromyalgia was a result of injuries sustained in the accident — The symptoms of widespread pain or fibromyalgia did not arise until early 2008.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Retroactive loss of income — Non-pecuniary loss — Action by the plaintiff for damages for injuries sustained in a motor vehicle accident allowed in part — The plaintiff was awarded $50,000 in non-pecuniary damages, $1,592 for past income loss and special damages were to be assessed — The plaintiff suffered soft tissue injuries and suffered from ongoing headaches that were attributable to the injuries she sustained in the accident — The medical evidence did not support a conclusion the plaintiff's widespread pain or fibromyalgia was a result of injuries sustained in the accident — The symptoms of widespread pain or fibromyalgia did not arise until early 2008.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3" w:name="Case Summary_29"/>
            <w:bookmarkEnd w:id="2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sustained in a March 14, 2005, motor vehicle accident. The defendant's pickup truck struck the plaintiff's vehicle on the passenger side. After the accident the plaintiff developed recurring headaches with moderate pain, had difficulty sleeping and had ongoing pain in her right side, head, neck, shoulder and elbow. The plaintiff had surgery on her shoulder between February and March of 2006, and by March 9, 2006, had no restrictions associated with the shoulder. Physicians that examined in the plaintiff in 2010 had opposite views of whether she experienced widespread pain and suffered from fibromyalgia, which she did not complain of until 2008. The plaintiff had sought chiropractic treatment for complaints of sleeplessness, memory loss and back pain before the accident, but those complaints had not interfered with her ability to function.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4" w:name="Holdings of Court_22"/>
            <w:bookmarkEnd w:id="22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$50,000 in non-pecuniary damages and $1,592 for past income loss. The plaintiff would not require any future care in respect of the injuries she sustained in the accident and had not proven those injuries would result in any loss of future earning capacity. Special damages were to be assessed. The plaintiff suffered soft tissue injuries, causing ongoing symptoms to her neck and right shoulder, and she also suffered from ongoing headaches that were attributable to the injuries she sustained in the accident. The plaintiff suffered from widespread pain, which was possibly fibromyalgia or a more diffused generalized soft tissue pain syndrome, but the medical evidence did not support a conclusion it was a result of injuries sustained in the accident. The symptoms of widespread pain or fibromyalgia did not arise until early 2008, nearly three years after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5" w:name="Counsel_31"/>
      <w:bookmarkEnd w:id="2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MacAdams,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C.C. Godwin, J.R. Filek.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6" w:name="Judgment_30"/>
      <w:bookmarkEnd w:id="226"/>
      <w:r>
        <w:pict>
          <v:line id="_x0000_s1183" style="position:absolute;z-index:2517934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7" w:name="J.M. GROPPER J."/>
            <w:bookmarkEnd w:id="227"/>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Crystal Warkentin claims damages for injuries that she sustained in a motor vehicle accident (the "accident") on March 14, 2005. She was driving west on Old Clayburn Road near the intersection of Old Clayburn Road and Immel Street in Abbotsford. She was driving a 2001 Mazda MX5 vehicle. Glenda Riggs, the defendant, was driving a Ford Ranger pickup truck. The pickup truck struck the Mazda on the passenger side, damaging it from the rear wheel well to the front wheel well. The force of the impact propelled the Mazda to the south, across the eastbound lanes of traffic. The Mazda came to rest on the south side of Old Clayburn Road to the west of the point of impact. The defendant admits liability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principal issue is whether Ms. Warkentin's injuries and continuing symptoms, including chronic pain,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born in November 1974. While in high school, Ms. Warkentin was employed by Dr. Takasaki, an orthodontist in Abbotsford. She graduated from high school in June 1992. She did not consider going to university full-time; Ms. Warkentin says: "I had to work". She attended the University College of the Fraser Valley (UCFV) part-time. She continued at UCFV throughout 1993 and to the winter of 1994, when she decided to work full-time at the orthodontist's office. In 1998, the plaintiff married Todd Warkentin.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fall of 2000, Ms. Warkentin decided to go into accounting. She applied for the business administration program at UCFV and was accepted in February 2001. She took two courses in each of two semesters per year. Before the accident, she had completed some courses towards that degree. She requires a further 18 courses in order to complete her degree in business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Ms. Warkentin pursued her education, she continued to work full-time at the orthodontist's office, although her employer became Dr. A. P. Woo Inc. She was a financial coordinator. Beginning in July 2004, the plaintiff began providing additional professional services to Dr. Woo Inc. through her proprietorship, T. C. W. Consulting.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Warkentin and her husband moved into their single family detached home in Abbotsford in May 2002. The plaintiff describes performing extensive house maintenance including gardening and painting. She would cook and clean every second week although she had housekeeping help for a few hours every two weeks. Ms. Warkentin describes her standards for housekeeping as "very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Warkentin says that she frequently entertained before the accident. She would shop for groceries and prepare dinners. Ms. Warkentin said that she did not have any difficulty sleeping before the accident and did not experience any soreness or stiffness. She was able to accommodate working full-time and going to school from seven to ten in the evening. The plaintiff describes herself as very energetic and enthusiastic about the celebration of holidays. She also engaged in recreational activities including volleyball, basketball, track and field, skiing, and water sports. She also played hockey and softball. She began golfing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Warkentin says that she complained to a chiropractor of sleeplessness, memory loss, neck pain and back pain in January 2001. She also attended a chiropractor during a 21-month period between April 2003 and January 2005. Her complaints were related to soreness in her back and neck. Ms. Warkentin says that she did not suffer any migraine or tension type headaches, enjoyed a normal sleep pattern, experienced only occasional back pain and was generally healthy.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Warkentin says that she was driving to work on March 14, 2005. She recalls her vehicle being hit but she did not know what happened. She visited her family doctor that afternoon complaining of body stiffness and tightness, as well as neck, shoulder and upper back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Within a few days or a week following the accident, Ms. Warkentin began to have recurring headaches. She experienced difficulty sleeping. Ms. Warkentin began attending physiotherapy at Glenn Mountain to address significant pain and limitation of motion in her right shoulder. She experienced low back pain which become more severe. She had pain in her right elbow, right shoulder, neck and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February 2006 Ms. Warkentin had shoulder surgery, performed by Dr. Crystal Smith. The findings of the surgery revealed a normal joint, no rotator cuff tear, with a variant bicep tendon insertion. She missed four full days of employment with Dr. Woo related to the surgery. The Glenn Mountain report of March 9, 2006 indicates that Ms. Warkentin reported that she had a lot of headaches after the surgery, but she had not suffered headaches before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April 2006, Ms. Warkentin agreed to a position of controller at VIP Mazda, which was owned by her father-in-law. She was offered $50,000 per year to start employment with VIP Mazda. Ms. Warkentin says that she had understood that upon receiving a certified general accounting designation her income would increase to $100,000. She worked 40 hours a week and sometimes more. The job at VIP Mazda was more complex than the position with Dr. Woo: there were more employees, more departments, and more complex accounting procedures. Ms. Warkentin said that she had no difficulties with the job until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her evidence, Ms. Warkentin states that throughout 2006 she was able to concentrate fully at work and was able to work whatever hours were necessary. She says that she had moderate infrequent headaches and some pain, although it did not interfere with her work or homemaking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Warkentin enrolled in an income tax course during the winter semester of 2007. She says that she struggled with the course because of memory difficulties due to lack of sleep and concentration.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2007, Ms. Warkentin reported to her family physician and to Dr. J. S. Jaworski, a specialist in physical medicine and rehabilitation, that the pain in the right side of her neck and shoulder were steady and of considerable intensity. She linked the pain to the injuries she received in the accident in March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2008 onwards, Ms. Warkentin began to see several physicians at the request of her counsel. She saw Dr. D. G. Hunt, a consultant in pain medicine, Dr. Gordon Robinson, a neurologist whose clinical practice is devoted to the assessment and management of patients suffering from headache disorders, Dr. R. N. Stewart, a physical medicine and rehabilitation physician, and Dr. Jaworski. Ms. Warkentin says that the physicians' reports concerning her history before and after the accident are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2008 and 2009, Ms. Warkentin was having increased difficulty functioning at work. Dr. Jaworski diagnosed Ms. Warkentin as having myofascial pain syndrome (diffused pain) and identified tender/trigger points. By early 2008 Ms. Warkentin was suffering from noticeable fatigue. In April 2008 Dr. Jaworski identified fibromyalgic points in the upper body bilaterally. In November 2008 Dr. Frew, the plaintiff's family physician, detected 14 tender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October 2009, the plaintiff attended Orion Rehabilitation and Assessment Centre ("Orion"), a pain clinic. Ms. Warkentin describes having learned techniques to manage her pain. She learned to pace herself and avoid activities which brought on pain, fatigue and exhaustion and cut her working hours to half-time. At the time of trial, Ms. Warkentin says that she continues to suffer from the following disorders, even after her program at the pain clinic: her headaches are less severe, she has pain in the neck, head, right shoulder, which are interconnected but less persistent, she experiences morning stiffness for at least one hour and she is fatigued by the end of the work week. She spends between 35 and 40 percent of her time on weekends recovering for the next week of work. She experiences multiple awakenings during the night as a result of pain. Ms. Warkentin notes improvement in her cognitive function if she is able to keep her pain levels down. Ms. Warkentin considers that she cannot resume her university studies and does not expect that she will achieve her degree in business administration or her CGA designation. She has had to relax her standards of house cleanliness and maintenance, reduce her activities including home activities, entertaining and celebrating, participating in recreational activities and family activities. She is ambivalent about whether she ought to have children because it will require her to go off her medications during the pregnancy and nursing. She also has concerns about her physical ability to care for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Warkentin reports the following areas of pain in her body:</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including in the forehead and around both eyes;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 of neck radiating over one and/or both ears;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trapezius muscle;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shoulder;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upper right back, worse than upper left;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radiating down to one or both elbows; low back pain;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sometimes in the thighs right above the knees;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knees;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upper calves.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Frew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Peter Frew provided evidence of Ms. Warkentin's pre-collision medical history from when she became his patient in August 2000. He said that she did not complain of headaches, neck pain, shoulder pain, sleeplessness or other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the accident, Dr. Frew referred Ms. Warkentin to a physiotherapist, kinesiologist, massage therapist and acupuncturist. He referred her for arthroscopic surgery to her shoulder, to Dr. Jaworski and to a neurologist. She had radiographic investigations. She also received medications and injections which Dr. Frew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Frew described Ms. Warkentin's symptoms as she stated them to him after the accident. In March 2005 she just complained of symptoms in her neck, low back and upper shoulder. In August 2005 Dr. Frew noted problems with sleeplessness and morning stiffness. In March 2007 Dr. Frew noted "headaches problematic since MVA". In May 2007 he noted that Ms. Warkentin complained of feelings of hopelessness. In September 2007 he noted Ms. Warkentin describing waking up to five times nightly. In May 2008 he provided advice regarding chronic pain and headaches. On November 13, 2008, he screened Ms. Warkentin for fibromyalgia and identified 14 out of 18 tender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November 13, 2008, Ms. Warkentin attended at Dr. Frew's office and complained that her pain was now in the left side of her neck and shoulder, both of her elbows and both of her knees. She had not described these symptoms before.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stated, Ms. Warkentin was referred to Dr. Jaworski in the fall of 2007 to assess her right shoulder, upper back, neck and headache symptoms following the accident. Ms. Warkentin did not report any pre-accident symptoms to Dr. Jaworski. He examined her on six occasions between September 2007 and June 2008. He increased the dosage of amitriptyline prescribed by Dr. Frew, which assisted Ms. Warkentin's sleeping. In October 2007 he found tender/trigger points over the plaintiff's neck and back. In April 2008 he found tenderness in fibromyalgia points in the plaintiff's upper body bilaterally. He noted that the restriction in the plaintiff's neck mobility had improved from the first examination of September 19, 2007. On May 2008 he identified a chronic pain situation requiring management of lifestyle issues and proper balance. When Dr. Jaworski last examined the plaintiff on June 11, 2008, Ms. Warkentin described pains in her neck and right shoulder. He noted that "[i]n spite of her pains, she continued with her full-time unrestricted work and she tried to stay mentally positive." Dr. Jaworski found that Ms. Warkentin had "mildly restricted neck mobility and ... tenderness in fibromyalgic points in her upper body bilaterally." He considered that "[f]urther management [of chronic myofascial pain syndrome] was empirical with the focus on maintaining her functional status at least at the current level."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Warkentin was referred to Dr. Hunt by her counsel in January 2009. Dr. Hunt's primary diagnosis was: (1) Whiplash Associated Disorder with associated cervicogenic tension headaches and myofascial pain syndrome; (2) status post right shoulder arthroscopic acrominoplasty; (3) primary fibromyalgia syndrome (post traumatic); (4) mood disorder (dysphoria), sleep disorder and cognitive disorder secondary to chronic pain condition; and (5) inflammatory bowel disease. Dr. Hunt opines that Ms. Warkentin's injuries from the accident in May 2005 were the cause of the conditions which he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Hunt considers that the management of these disorders is the same: pain reduction. The elimination of pain is not possible. He recommended an interdisciplinary chronic pain program, such as that offered by Orion, which has the objective of learning to manage the pain. Ms. Warkentin undertook that program in September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Hunt considers that Ms. Warkentin is partially disabled from performing full-time work and will likely be unable to participate in a normal work environment full-time. She can work approximately four hours per day. Full-time work will aggravate Ms. Warkentin's pain, diminish physical tolerances and bring on fatigue and mood disturbance. Ms. Warkentin must reduce activity that aggravates her pain and brings on other negative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Hunt agreed in cross-examination that Ms. Warkentin's condition did not progress from regional pain in the neck and right shoulder to more widespread pain until after Dr. Jaworski examined her in early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objects to the admissibility of Dr. Hunt's report of March 27, 2009 on the basis that Dr. Hunt is acting as an advocate on behalf of Ms. Warkentin. She asserts that the report is "thinly disguised argument in the guise of opinion". Dr. Hunt does not provide a balanced discussion of fibromyalgia and its possible application to Ms. Warkentin's case. He discusses medical principles and their application to the plaintiff in a biased and argumentative manner. I will address the defendant's objections further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B. Vaisler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Vaisler is an orthopaedic surgeon who examined the plaintiff on behalf of the defendant on May 29, 2008. He noted the following complaints: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her right shoulder and trapezius muscles, which had improved since the accident and was intermittent;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intermittent aching on the medial and lateral aspects of her right elbow, occurring at night;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minimal stiffness in her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Dr. Vaisler's exam, Ms. Warkentin denied any significant work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Vaisler diagnosed the plaintiff as having sustained a "soft tissue musculoligamentous injury to her neck and low back, along with post traumatic impingement of her right shoulder as a result of the ... accident of March 14, 2005." Dr. Vaisler opined that Ms. Warkentin may have complaints of intermittent annoying and disabling neck pain from time to time with some activities for the foreseeable future and that her right shoulder symptoms would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considered that the plaintiff was "managing her accounting jobs and should be able to continue on with that type of work for the foreseeable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 N.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Warkentin was referred to Dr. Stewart, a physiatrist, by her counsel and was examined on May 6, 2009. Dr. Stewart recorded Ms. Warkentin's complaints: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complained of a number of problems resulting from a motor vehicle accident on March 14, 2005, including neck pain; headaches; right shoulder pain; pain in the elbows and wrists, particularly the right; pain in her upper and mid back, worse on the right; worsening of her previous low back pain; pain in both knees; sleep disturbance; and "severe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Warkentin advised Dr. Stewart of Dr. Hunt's fibromyalgia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Stewart opined that Ms. Warkentin sustained soft tissue injuries to her neck and back in the accident and that her symptoms had been aggravated by increased muscle tension. She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experiences secondary muscle tension headaches and clenching of her teeth. She has had appropriate rehabilitation for her injuries but continues to experience neck, upper and mid back pain as well as pain in the right shoulder and arm. She also has pain in both knees and there has been a slight aggravation of her previous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basis of Dr. Stewart's opinion that the accident was responsible for her complaint and symptoms is based upon her understanding that the complaints were caused by the accident and were consistent since the time of the accident, as described to her by Ms. Warkentin.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Stewart is skeptical about a diagnosis of fibromyalgia. She explains that she does not find it to be a useful diagnosis. She describes it as a "controversial diagnosis." She says that it is within her field of expertise but she has never made such a diagnosis because she does not believe that fibromyalgia is a condition of pathology that is any different from soft tissue pain. She considers names such as myofascial pain syndrome, soft tissue injury and other descriptives of conditions are more useful than the term "fibromyalgia."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Gordon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Robinson is a neurologist whose clinical practice is devoted to the assessment and management of patients suffering from headache disorders. He examined the plaintiff and prepared a report dated June 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Robinson describes that Ms. Warkentin had headaches related to her neck and shoulder pain soon after the accident. She continued to have frequent headaches of mild to moderate intensity. Dr. Robinson opines that Ms. Warkentin's history in examination is consistent with chronic headache related to neck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Robinson explains that headache is a common accompaniment of neck injuries. The diagnosis of posttraumatic headaches rests entirely on a close temporal relationship to the appropriate trauma. He describes the treatment of chronic headache related to neck injury as usually difficult. He states, "there is no ability to cure the chronic pain related to soft tissue injury and at most patients may experience temporary benefit from one or other physical therapy." He considers that Ms. Warkentin does not find these treatment approaches to be helpful. Dr. Robinson believes that Ms. Warkentin has had modest improvement with the use of a combination of medications: amitriptyline, gabapentin and tramadol. However, increasing the doses of the drugs would not improve her condition. Dr. Robinson has had clinical experience with the use of botulinum neurotoxin type A ("Botox") in patients with chronic headache related to neck injury. He would encourage Ms. Warkentin to seek this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Robinson says that it is probable that Ms. Warkentin will continue to have headache, neck and shoulder pain for many years to come, although there is a possibility for improvement over the next three to five years, particularly if she is responsive to therapeutic Botox.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Barry Koehler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Koehler is a rheumatologist. His practice does not focus on fibromyalgia; however, in his examination of patients he looks for discrete tender points which he describes as having tenderness which is more intense than it is in surrounding tissues. When he examined Ms. Warkentin on April 1, 2010, he found only seven tender points in Ms. Warkentin. He also considered that Ms. Warkentin had no complaints of widespread pain. In his view, Ms. Warkentin would therefore not meet the criteria for the diagnosis of fibromyalgia. His prognosis of Ms. Warkentin was based on her attitude and instructions which she had adopted from her training at Orion. Dr. Koehler believes that people tend to improve and he is optimistic that Ms. Warkentin will improve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Koehler testified that the cause of fibromyalgia is not known. He agreed that there is a possibility of trauma causing fibromyalgia.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Rhonda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Shuckett is a rheumatologist who teaches and publishes on issues related to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Shuckett prepared a rebuttal report to that of Dr. Koehler. She examined Ms. Warkentin on March 31, 2010 and assessed for painful tender points. She found Ms. Warkentin to have discreet painful tender points totalling 13 out of 18 distributed in all four quadrants of the body. She had no positive control points (0/7).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Shuckett acknowledged that there is a debate in the medical journals about whether trauma can induce fibromyalgia. For causality, a temporal association is important although fibromyalgia is not instantaneous. It can take months, a year, or 18 months to evolve after a motor vehicle accident. In Dr. Shuckett's original report of April 6, 2010 she stated at page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causality of fibromyalgia, this is a more debatable subject. There are studies both pro and against a link between trauma, such as a neck injury, and fibromyalgia. In my extensive experience seeing patients with soft tissue injuries I find it is not unusual for them to evolve into a more diffuse generalized soft tissue pain syndrome such as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also states on that page: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when [Ms. Warkentin] evolved to fibromyalgia is not clear for me to say. I can just comment that I agree that it is present at the current time. I believe that the MVA has likely materially contributed to the evolution into fibromyalgia but, again, there is room for debate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her evidence, Dr. Shuckett agreed that the medical literature is not determinative of whether or not trauma can cause fibromyalgia at all, and in this case it is debatable because of the delay of the onset of fibromyalgia.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Physiotherapy and Kinesiology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Edgar Emnacen is an occupational therapist. He was qualified as an expert functional capacity evaluator and ergonomic assessor. He opines that the symptoms which Ms. Warkentin reports are mostly reliable as she presented with a corresponding loss of range of motion. She did report incapacitating pain during the testing but was able to continue with the testing. When she was examined by Mr. Emnacen on June 23, 2009, she did not report any pain in her lower extremities. He testified that while Ms. Warkentin has physical capacity, the activity required to give effect to that capacity generates headache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Warkentin was treated at Glenn Mountain Rehabilitation Centre over two periods: the first immediately following the accident, from May 2, 2005 to June 29, 2005; and the second between March 9, 2006 and June 20, 2006. Reports for the centre were prepared by kinesiologists who were involved in her rehabilitation. These kinesiologists included Tina Carey, Kerri-Ann Huck and Jeff Derksen, all of whom gave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June 2, 2005 Glenn Mountain records indicate that Ms. Warkentin stated that she felt "80% of her pre MVA status", that Ms. Warkentin "relays that she does most of the cooking and general light cleaning tasks [and] has a cleaning lady ... to do thorough cleaning...", and that "Ms. Warkentin states that sleeping is normal." On June 29, 2005 the Glenn Mountain records state: "Crystal reports that she is doing well overall achieving about 90% pre-MVA status". It continues, "Crystal relays that she is able to do all her pre-MVA household chores ... she can do the normal every day cleanup. She has no problems cooking, except that she still needs her husband to lift big pots of water. Sleeping and driving are fine for Crystal." The records were prepared by the kinesiologist who provided treatment to Ms. Warkentin, each of whom confirmed in evidence that they wrote what Ms. Warkentin told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Warkentin explained that she understood that she was being asked to comment on her improvement from the time that she first attended at Glenn Mountain after the accident, not from her pre-accident condition. She urges that references to her "pre-MVA" condition should be read in that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Admissibility of Dr. Hunt's reports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defence argues that Dr. Hunt's report of March 27, 2009 (the "report") is inadmissible on the basis that he is not impartial: his reports are presented in an argumentative way, emphasizing matters which benefit the plaintiff's position and ignoring those which do not support the plaintiff's position; he purports to quote from the medical literature but does not present it in an objective way; and he ignores the medical literature which does not support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defence argues that Dr. Hunt's report of April 14, 2010 (the "rebuttal report") is also inadmissible as it was delivered after the deadline for delivery of experts reports set out in Rule 40A, and is not responsive to Dr. Koehler's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says that Dr. Hunt is a clinician with a specific scientific interest in chronic pain matters, including the course, treatment and nature of pain as well as fibromyalgia. His opinions are objective and impartial; he advocates for his opinion within his field of expertise. In his testimony, Dr. Hunt was ready to provide both sides of position, but the defence objected to him providing evidence on matters not addressed in his written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Decision on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Curriculum Vitae, Dr. Hunt describes his professional and academic history from 2006 to the present as "Expert Medical Legal Consultant providing opinions on behalf of patients with chronic pain who are seeking legal remedies with respect to their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Hunt's report adopts a particular format. He uses bold font to highlight words and phrases which benefit the plaintiff's claim and support his diagnosis. This is apparent in his review of Ms. Warkentin's history and medical reports. That which is contrary to the plaintiff's claim or does not support his diagnosis is either omitted or presented in non-bolded font. This emphasis in support of the plaintiff's claim and the exclusion of contrary matters is advocacy.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report contains multiple sections of text which are indented and presented in a small font. Dr. Hunt's evidence in direct examination was that all of those indented and small font sections, with the exception of one which actually mentioned the plaintiff by name, were quotations from the medical literature. On cross-examination, Dr. Hunt was unable to provide citations for many of the excerpts included in his report as indented small font text. On his second day of cross-examination, he produced a portion of a textbook which he described as the source of many of his excerpts. On reviewing the textbook, however, it became clear that Dr. Hunt chose and presented the textbook excerpts in a manner which supported the plaintiff's claim and 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page 16 of his report, Dr. Hunt presents the following paragraph in small font indented 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ability of physical trauma, such as a motor vehicle accident, to trigger the development of fibromyalgia remains a subject of intense debate. On the one hand, there are a plethora of case reports and anecdotal accounts of individuals who have developed FMS in close association with a motor vehicle accident. A case control study in Israel revealed that automobile accidents with </w:t>
      </w:r>
      <w:r>
        <w:rPr>
          <w:rFonts w:ascii="arial" w:eastAsia="arial" w:hAnsi="arial" w:cs="arial"/>
          <w:b/>
          <w:color w:val="000000"/>
          <w:sz w:val="20"/>
          <w:lang w:val="en-US" w:eastAsia="en-US" w:bidi="ar-SA"/>
        </w:rPr>
        <w:t>whiplash neck injuries were more likely to result in symptomatic FMS</w:t>
      </w:r>
      <w:r>
        <w:rPr>
          <w:rFonts w:ascii="arial" w:eastAsia="arial" w:hAnsi="arial" w:cs="arial"/>
          <w:color w:val="000000"/>
          <w:sz w:val="20"/>
          <w:lang w:val="en-US" w:eastAsia="en-US" w:bidi="ar-SA"/>
        </w:rPr>
        <w:t xml:space="preserve"> than were industrial accidents limited to a bony fracture of a lower extremity. </w:t>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versus 2% of all subjects). It is apparent that </w:t>
      </w:r>
      <w:r>
        <w:rPr>
          <w:rFonts w:ascii="arial" w:eastAsia="arial" w:hAnsi="arial" w:cs="arial"/>
          <w:b/>
          <w:color w:val="000000"/>
          <w:sz w:val="20"/>
          <w:lang w:val="en-US" w:eastAsia="en-US" w:bidi="ar-SA"/>
        </w:rPr>
        <w:t>significant forces</w:t>
      </w:r>
      <w:r>
        <w:rPr>
          <w:rFonts w:ascii="arial" w:eastAsia="arial" w:hAnsi="arial" w:cs="arial"/>
          <w:color w:val="000000"/>
          <w:sz w:val="20"/>
          <w:lang w:val="en-US" w:eastAsia="en-US" w:bidi="ar-SA"/>
        </w:rPr>
        <w:t xml:space="preserve"> were applied to Ms. Warkenton [sic] in the MVA of April 8, 2007 and she suffered as a consequence multiple injuries. (emphasis in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"FMS" refers to fibromyalgia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Dr. Hunt's evidence on his first day of testimony was that the entire paragraph was a quotation from the medical literature, with the exception of the last sentence which referred directly to the plaintiff and was inadvertently presented in small font indented text. Dr. Hunt was asked to identify in the textbook the quotation noted above. He referred to page 273 of a textbook published in 2005, Wallace &amp; Clauw, </w:t>
      </w:r>
      <w:r>
        <w:rPr>
          <w:rFonts w:ascii="arial" w:eastAsia="arial" w:hAnsi="arial" w:cs="arial"/>
          <w:i/>
          <w:color w:val="000000"/>
          <w:sz w:val="20"/>
          <w:lang w:val="en-US" w:eastAsia="en-US" w:bidi="ar-SA"/>
        </w:rPr>
        <w:t>Fibromyalgia and Other Central Pain Syndromes</w:t>
      </w:r>
      <w:r>
        <w:rPr>
          <w:rFonts w:ascii="arial" w:eastAsia="arial" w:hAnsi="arial" w:cs="arial"/>
          <w:color w:val="000000"/>
          <w:sz w:val="20"/>
          <w:lang w:val="en-US" w:eastAsia="en-US" w:bidi="ar-SA"/>
        </w:rPr>
        <w:t xml:space="preserve"> (Philadelphia: Lippincott Williams &amp; Wilkins,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actual textbook reference on page 273 is different from the quotation presented by Dr. Hunt in small font indented text at page 16 of his report. The actual excerpt from the Wallace &amp; Clauw textbook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ability of physical trauma, such as an MVC, to trigger the development of FM remains the subject of intense debate (153). On the one hand, there are a plethora of case reports and anecdotal accounts of individuals who have developed FM in close temporal association with an MVC (154-157). </w:t>
      </w:r>
      <w:r>
        <w:rPr>
          <w:rFonts w:ascii="arial" w:eastAsia="arial" w:hAnsi="arial" w:cs="arial"/>
          <w:color w:val="000000"/>
          <w:sz w:val="20"/>
          <w:u w:val="single"/>
          <w:lang w:val="en-US" w:eastAsia="en-US" w:bidi="ar-SA"/>
        </w:rPr>
        <w:t>On the other hand, several authors have raised legitimate arguments regarding the scientific veracity of this linkage and have argued appropriately that prematurely accepting such an association could be more harmful than beneficial - to both individual patients and society (158 - 159)</w:t>
      </w:r>
      <w:r>
        <w:rPr>
          <w:rFonts w:ascii="arial" w:eastAsia="arial" w:hAnsi="arial" w:cs="arial"/>
          <w:color w:val="000000"/>
          <w:sz w:val="20"/>
          <w:lang w:val="en-US" w:eastAsia="en-US" w:bidi="ar-SA"/>
        </w:rPr>
        <w:t>. To date there is only a single case-control study directly examining the relationship between FM and MVC. Buskila et al found that 22% of patients with neck injury and 2% of patients with leg injury developed FM 1 year after MVC (160).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"MVC" refers to motor vehicle collision, which Dr. Hunt refers to as "MVA". "FM" refers to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Buskila study was published in 1997 and is cited at Dan Buskila et al, "Increased Rates of Fibromyalgia following Cervical Spine Injury" (1997) 40:3 Arthritis &amp; Rheumatism 446.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first two sentences in the textbook reference were quoted by Dr. Hunt at page 16 of his report. Those two sentences, while acknowledging an intense debate on the causal relationship between trauma and fibromyalgia, describe only the side of the debate in support of such a causal relationship. Dr. Hunt omitted the next sentence which dealt with the argument "on the other hand". He then paraphrased the reference to the Buskila study but did not include the caution in the textbook that it was "only a single case-control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Hunt's reference to the Buskila study in support of a causal relationship between trauma and the development of fibromyalgia was unbalanced. The Buskila article itself noted, at 451, that future studies addressing the issue of trauma and fibromyalgia should document the chronology of symptoms following a trauma, prospectively and longitudinally.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2006, a prospective longitudinal study, cited at Tischler et al, "Neck Injury and Fibromyalgia - Are they really associated?" (2006) 33:6 The Journal of Rheumatology 1183, was conducted specifically in order to test the conclusions of the Buskila study. The conclusions of the Tischler study were contrary to those in the Buskila study. Tischler's study did not support a link between neck trauma and fibromyalgia and stated that more studies were needed to resolve this issue. Dr. Hunt did not refer to the Tischler study and was not aware of its existence until presented with it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page 16 of his report, Dr. Hunt introduced the section on causality with the following sentence: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support of a </w:t>
      </w:r>
      <w:r>
        <w:rPr>
          <w:rFonts w:ascii="arial" w:eastAsia="arial" w:hAnsi="arial" w:cs="arial"/>
          <w:b/>
          <w:color w:val="000000"/>
          <w:sz w:val="20"/>
          <w:lang w:val="en-US" w:eastAsia="en-US" w:bidi="ar-SA"/>
        </w:rPr>
        <w:t>traumatic</w:t>
      </w:r>
      <w:r>
        <w:rPr>
          <w:rFonts w:ascii="arial" w:eastAsia="arial" w:hAnsi="arial" w:cs="arial"/>
          <w:color w:val="000000"/>
          <w:sz w:val="20"/>
          <w:lang w:val="en-US" w:eastAsia="en-US" w:bidi="ar-SA"/>
        </w:rPr>
        <w:t xml:space="preserve"> cause to her fibromyalgia, the following points are made:" (emphasis of Dr.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first point under the heading "In support of a </w:t>
      </w:r>
      <w:r>
        <w:rPr>
          <w:rFonts w:ascii="arial" w:eastAsia="arial" w:hAnsi="arial" w:cs="arial"/>
          <w:b/>
          <w:color w:val="000000"/>
          <w:sz w:val="20"/>
          <w:lang w:val="en-US" w:eastAsia="en-US" w:bidi="ar-SA"/>
        </w:rPr>
        <w:t>traumatic</w:t>
      </w:r>
      <w:r>
        <w:rPr>
          <w:rFonts w:ascii="arial" w:eastAsia="arial" w:hAnsi="arial" w:cs="arial"/>
          <w:color w:val="000000"/>
          <w:sz w:val="20"/>
          <w:lang w:val="en-US" w:eastAsia="en-US" w:bidi="ar-SA"/>
        </w:rPr>
        <w:t xml:space="preserve"> cause" (emphasis of Dr. Hunt) was: (a) Temporal Association. This section was presented in small font indentation and refers to the plaintiff by name. After noting that Ms. Warkentin experienced musculoskeletal pain of a progressively diffuse nature, Dr. Hunt inserted the following sentence in his small font indented 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Typically, the progression from acute regional pain to more widespread pain and fatigue predictably occurs within </w:t>
      </w:r>
      <w:r>
        <w:rPr>
          <w:rFonts w:ascii="arial" w:eastAsia="arial" w:hAnsi="arial" w:cs="arial"/>
          <w:b/>
          <w:color w:val="000000"/>
          <w:sz w:val="20"/>
          <w:lang w:val="en-US" w:eastAsia="en-US" w:bidi="ar-SA"/>
        </w:rPr>
        <w:t>weeks to several months</w:t>
      </w:r>
      <w:r>
        <w:rPr>
          <w:rFonts w:ascii="arial" w:eastAsia="arial" w:hAnsi="arial" w:cs="arial"/>
          <w:color w:val="000000"/>
          <w:sz w:val="20"/>
          <w:lang w:val="en-US" w:eastAsia="en-US" w:bidi="ar-SA"/>
        </w:rPr>
        <w:t xml:space="preserve"> and Ms. Warkenton's [sic] clinical course reflects such a pattern. (emphasis of Dr.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Hunt agreed in cross-examination that Ms. Warkentin's condition did not progress from regional pain in the neck and right shoulder to more widespread pain until after Dr. Jaworski examined her in early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this context, Dr. Hunt's report omits another sentence from the Wallace &amp; Clauw textbook. After the sentence Dr. Hunt quotes in his report, the next sentence of the excerpt from Wallace &amp; Clauw, at 273,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such a pattern is not seen in a given individual, it is unlikely that the MVC had any role in leading to the development of FM.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 Dr. Hunt's agreement that Ms. Warkentin's condition did not progress from regional pain to more widespread pain until after early 2008, the omission of this sentence is important. Ms. Warkentin had ongoing neck and right shoulder discomfort following the accident; she did not progress from regional pain to acute widespread pain until three years after the accident. The required temporal association referred to in Wallace &amp; Clauw has not been met, even if there is some potential causal connection between trauma and the development of fibromyalgia. Dr. Hunt's omission of that sentence demonstrates bias and advocacy.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Dr. Hunt's description of the prognosis of persons with fibromyalgia at page 18 of his report,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condition of fibromyalgia is a </w:t>
      </w:r>
      <w:r>
        <w:rPr>
          <w:rFonts w:ascii="arial" w:eastAsia="arial" w:hAnsi="arial" w:cs="arial"/>
          <w:b/>
          <w:color w:val="000000"/>
          <w:sz w:val="20"/>
          <w:lang w:val="en-US" w:eastAsia="en-US" w:bidi="ar-SA"/>
        </w:rPr>
        <w:t>life-long condition</w:t>
      </w:r>
      <w:r>
        <w:rPr>
          <w:rFonts w:ascii="arial" w:eastAsia="arial" w:hAnsi="arial" w:cs="arial"/>
          <w:color w:val="000000"/>
          <w:sz w:val="20"/>
          <w:lang w:val="en-US" w:eastAsia="en-US" w:bidi="ar-SA"/>
        </w:rPr>
        <w:t xml:space="preserve"> and can </w:t>
      </w:r>
      <w:r>
        <w:rPr>
          <w:rFonts w:ascii="arial" w:eastAsia="arial" w:hAnsi="arial" w:cs="arial"/>
          <w:b/>
          <w:color w:val="000000"/>
          <w:sz w:val="20"/>
          <w:lang w:val="en-US" w:eastAsia="en-US" w:bidi="ar-SA"/>
        </w:rPr>
        <w:t>fluctuate</w:t>
      </w:r>
      <w:r>
        <w:rPr>
          <w:rFonts w:ascii="arial" w:eastAsia="arial" w:hAnsi="arial" w:cs="arial"/>
          <w:color w:val="000000"/>
          <w:sz w:val="20"/>
          <w:lang w:val="en-US" w:eastAsia="en-US" w:bidi="ar-SA"/>
        </w:rPr>
        <w:t>, particularly when the patient's tolerance for physical activity is exceeded or they are under significant psychological or emotional load and symptoms become much more intrusive. (emphasis of Dr.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Hunt's statement that fibromyalgia is a life-long condition is not qualified. The Wallace &amp; Clauw textbook on which Dr. Hunt relies does not support Dr. Hunt's statement in respect of the permanence of the condition. At page 25 of the Wallace &amp; Clauw textbook, the authors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study has reported that most of the patients (47%) had improved or no longer satisfied the criteria for fibromyalgia after 2 years and minimal intervention (105). In a population-based study of persons with chronic widespread pain only 35% still had the condition after a follow-up period of between 1 and 3 years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Turning now to the rebuttal report, I note that it is simply a reiteration of the report. Dr. Hunt acknowledges this in the final paragraph of the rebuttal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medical diagnoses and their full description found in the "Opinion Reasoning and Analysis" section of the March 27, 2009 medical legal report are still appropriate and the accompanying comments remain valid ... [T]here is no new documentation or findings ... which change the opinions expressed in the [report]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his testimony, Dr. Hunt was resistant to suggestions by defence counsel that he did not present an objective opinion in his report. He was unwilling to admit that he omitted references to the plaintiff's medical history or her medical records which did not support her claim or his diagnosis. He was reluctant to agree that his presentation of the medical literature which provided only those quotes that supported his diagnosis and prognosis, despite being shown that those omitted sentences were necessary in the context of his opinion, would mislead the court about the state of knowledge within his field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pre-conditions for the admissibility of expert evidence are set out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at para. 17. They are: relevance; necessity in assisting the trier of fact; the absence of any exclusionary rule; and a properly qualified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Sengbusch v. Priest</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(1987), 14 B.C.L.R. (2d) 26</w:t>
        </w:r>
      </w:hyperlink>
      <w:r>
        <w:rPr>
          <w:rFonts w:ascii="arial" w:eastAsia="arial" w:hAnsi="arial" w:cs="arial"/>
          <w:color w:val="000000"/>
          <w:sz w:val="20"/>
          <w:lang w:val="en-US" w:eastAsia="en-US" w:bidi="ar-SA"/>
        </w:rPr>
        <w:t xml:space="preserve"> (S.C.), McEachern C.J.S.C., as he then was, delineated the limitation of admissibility of expert reports that provide argument in guise of opinion. Chief Justice McEachern said, at p.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appropriate for the Court to enforce reasonable limits upon the admissibility of opinion evidence. Too often, as in this case, persons with special training or experience are retained to construct scenarios or advance arguments in the form of an opinion when, with proper assistance from counsel, the Court is able to analyze the evidence and reach a proper conclusion on commonplace problems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unnecessary ... for counsel to adduce arguments in guise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Vancouver Community College v. Phillips, Barrett</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(1987), 20 B.C.L.R. (2d) 289</w:t>
        </w:r>
      </w:hyperlink>
      <w:r>
        <w:rPr>
          <w:rFonts w:ascii="arial" w:eastAsia="arial" w:hAnsi="arial" w:cs="arial"/>
          <w:color w:val="000000"/>
          <w:sz w:val="20"/>
          <w:lang w:val="en-US" w:eastAsia="en-US" w:bidi="ar-SA"/>
        </w:rPr>
        <w:t xml:space="preserve"> (S.C.), Mr. Justice Finch, as he then was, stated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long as the expert remains in the role of a confidential advisor, there are sound reasons for maintaining privilege over documents in his possession. Once he becomes a witness, however, his role is substantially changed. His opinions and their foundation are no longer private advice for the party who retained him. He offers his professional opinion for the assistance of the court in its search for the truth. The witness is no longer in the camp of a partisan. He testifies in an objective way to assist the court in understanding scientific, technical or complex matters within the scope of his professional expertise. He is presented to the court as truthful, reliable, knowledgeable and 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that Dr. Hunt is not a neutral and impartial expert providing assistance to the court, but rather an advocate on behalf of the plaintiff. The report is argument, not opinion. He did not provide a balanced discussion of fibromyalgia and its possible application to the plaintiff's case. His discussion of the medical principles and their application to the plaintiff's case is biased, argumentative and contrary to the requirements for the admissibility of an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Hunt's own description of his role as an "Expert Medical Legal Consultant providing opinions on behalf of patients with chronic pain who are seeking legal remedies with respect to their condition" indicates that he does not consider his role as an expert to be that of an objective advisor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Hunt's perceived role is amply demonstrated in his report. The format he uses is designed to emphasize matters which support the plaintiff's claim and 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Hunt presents the medical literature in a manner that suggests that there is consensus about the causal connection between motor vehicle accidents and the onset of fibromyalgia. He attempted to mislead the court regarding the medical literature upon which he relies by referring only to portions which support his diagnosis and prognosis and omitting portions which do not. He does not refer to the cautions and qualifications in the medical literature. He is not current with the medical literature, notably the 2006 prospective longitudinal study by Tischler, which was conducted specifically in order to test the conclusions of the Buskila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Hunt's testimony, particularly in cross-examination, supports my conclusions about his report; he acted as the plaintiff's advocate rather than as an independent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Hunt's report of March 27, 2009 is likely to distort the fact-finding function of the trier of fact, and therefore its prejudicial effect far outweighs its probative value. I find that it is inadmissible. Because the rebuttal report is a reiteration, it is also inadmissible. I specifically reject Dr. Hunt's diagnoses as expressed in the report and his medical opinion that they were caused by the accident. I reject Dr. Hunt's diagnosis and prognosis of fibromyalgia and his opinions about the plaintiff's functional limitations associated with fibromyalgia.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Before the accident, Ms. Warkentin had some complaints of sleeplessness, memory loss and back pain, for which she sought chiropractic treatment. These complaints did not interfere with Ms. Warkentin's ability to function. She was active, social, enthusiastic and ambitious.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After the accident, the plaintiff developed recurring headaches with pain to a moderate degree. The headaches continue. Ms. Warkentin has had difficulty sleeping. She has ongoing symptoms of pain in her right side, head, neck, shoulder and elbow. By June 2005, Ms. Warkentin reported to the therapist at Glenn Mountain that she felt 80 percent of her pre-accident status and that her sleeping was normal. By the end of June 2005, she advised the therapist at Glenn Mountain that she was able to resume her pre-accident household chores, had no problems cooking, could assume her normal duties and was doing well overall, achieving about 90 percent of her pre-accident status. I note that the plaintiff suggests that she misunderstood the question that she was asked by the therapists at Glenn Mountain and was comparing her progress in June 2005 to that of her immediate post-accident symptoms. I do not accept that explanation. The therapists' evidence was clear that they wrote what Ms. Warkentin advised them. Even accepting Ms. Warkentin's explanation, her comments to the therapists demonstrated an improvement in her symptoms from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Between February and March 2006, Ms. Warkentin had surgery performed on her right shoulder and was off work for four full days. By March 9, 2006, there were no restrictions associated with her shoulder. Dr. Vaisler considered that the plaintiff's shoulder pain was caused by the accident and that the shoulder pain would continue to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2007, Ms. Warkentin complained to Dr. Frew that she continued to have headaches and was beginning to feel hopeless. She was waking up five times nightly. She did not complain of widespread diffuse pain or pain throughout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Warkentin attended Dr. Jaworski in the fall of 2007 with her complaint of right sided neck and shoulder pains. These symptoms continued through 2007. In April 2008, Ms. Warkentin attended at Dr. Jaworski's office and advised him that her complaints had remained the same and she was working without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Jaworski noted in his examination of June 11, 2008 that Ms. Warkentin had "mildly restricted neck mobility and she ha[d] tenderness in fibromyalgic points in her upper body bilaterally." This was the first mention of bilateral pain, although Dr. Jaworski considered that the plaintiff could continue with her full- time unrestricted work. While he considered that Ms. Warkentin had myofascial pain, it was mainly in the plaintiff's right sided neck and shoulder. The development to a diagnosis of fibromyalgia, or something like it, was first observed by Dr. Frew in his examination of November 13, 2008. It was that time when Ms. Warkentin complained that her pain was now in the left side of her neck and shoulder, both of her elbows and both of her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Stewart provided her report after examining the plaintiff on May 6, 2009. Dr. Stewart did not diagnose fibromyalgia, but did consider that the plaintiff sustained soft tissue injuries to her neck and back in the accident. Dr. Stewart opines that the accident was responsible for the plaintiff's pain and assumed that it was related to the accident based on the plaintiff's statements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physicians that examined the plaintiff in 2010, Dr. Koehler and Dr. Shuckett, have opposite views of whether the plaintiff experiences widespread pain and whether she suffers from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all the evidence, I accept that the plaintiff now suffers from widespread pain, which is possibly fibromyalgia or a more diffused generalized soft tissue pain syndrome, and that that syndrome resulted in the plaintiff seeking the assistance of the pain management program at Orion. It is that chronic pain syndrome which has caused the plaintiff to cut her working hours and avoid activities which bring on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Of the experts whose reports are admissible, Dr. Shuckett provides an equivocal statement regarding the connection between the injuries the plaintiff sustained in the accident and her current presentation of fibromyalgia or chronic pain. She states in her evidence that the temporal association between fibromyalgia and trauma is not instantaneous and suggests that it could take months, a year, or 18 months to evolve after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Based on the medical evidence, I find that the plaintiff's symptoms of widespread chronic pain or fibromyalgia did not arise until early 2008, three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While the plaintiff is clearly of the view that her symptoms are related to the accident, the medical legal opinions do not support such a conclusion. Dr. Stewart's opinion is based on information provided to her from the plaintiff, and specifically does not address the period between March 2005 and November 2008 where Ms. Warkentin did not complain of widespread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find that the medical evidence supports a conclusion that the plaintiff suffers from the condition of either fibromyalgia or widespread chronic pain but does not support a conclusion that it is a result of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However, the medical evidence is not determinative of the issue of causation. As the plaintiff points out, the court needs to deal with "legal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This notion was addressed in the decision of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At para. 29 of that decision, Sopinka J., for the Court, states that "causation need not be determined by scientific precision." It is a question of fact which can be answered with the application of "ordinary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Sopinka J. continues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It is not therefore essential that the medical experts provide a firm opinion supporting the plaintiff's theory of causation. Medical experts ordinarily determine causation in terms of certainties whereas a lesser standard is demanded by the law. As pointed out in Louisell, Medical Malpractice, vol. 3, the phrase "in your opinion with a reasonable degree of medical certainty," which is the standard form of question to a medical expert, is often misunderstood. The author explains, at p. 25-57,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Many doctors do not understand the phrase ... as they usually deal in "certainties" that are 100% sure, whereas "reasonable" certainties which the law requires need only be more probably so, i.e.,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Causation was also addressed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i/>
          <w:color w:val="000000"/>
          <w:sz w:val="20"/>
          <w:lang w:val="en-US" w:eastAsia="en-US" w:bidi="ar-SA"/>
        </w:rPr>
        <w:t>McGhee v. National Coal Board, supra</w:t>
      </w:r>
      <w:r>
        <w:rPr>
          <w:rFonts w:ascii="arial" w:eastAsia="arial" w:hAnsi="arial" w:cs="arial"/>
          <w:color w:val="000000"/>
          <w:sz w:val="20"/>
          <w:lang w:val="en-US" w:eastAsia="en-US" w:bidi="ar-SA"/>
        </w:rPr>
        <w:t xml:space="preserve">.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Bonnington Castings, Ltd. v. Wardlaw, supra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740"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w:t>
      </w:r>
      <w:r>
        <w:rPr>
          <w:rFonts w:ascii="arial" w:eastAsia="arial" w:hAnsi="arial" w:cs="arial"/>
          <w:i/>
          <w:color w:val="000000"/>
          <w:sz w:val="20"/>
          <w:lang w:val="en-US" w:eastAsia="en-US" w:bidi="ar-SA"/>
        </w:rPr>
        <w:t>Snell v. Farrell, supra</w:t>
      </w:r>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Although neither party referred to the Supreme Court of Canada decision,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it is presently the leading authority on the test for legal causation. The court notes that the starting point is the "but for"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First, the basic test for determining causation remains the "but for" test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suggests a robust and pragmatic approach to the facts leads to the followings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collision of March 14, 2005 was the legal cause of what the medical personnel first observed in 2008 and later observed 2009, namely the presence of a sufficient number of tender points in all four quadrants. Crystal Warkentin from the outset had pain in the neck and shoulders. From the outset she had headaches. No later than August 10, 2005 she had sleep disturbance. By no later than May 11, 2007 she had mood disturbance and warranted a referral to a physiatrist. By September 19, 2007 Dr. Jaworski diagnosed her as having myofascial pain syndrome, being diffused pain, and identified tender/trigger points. By early 2008 she suffered noticeable fatigue. By April 3, 2008 Dr. Jaworksi identified fibromyalgic points in the upper body bilaterally. These are all hallmarks of fibromyalgia. On November 13, 2008 Dr. Frew detected 14 tender points.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Temporality is ... present in the facts of this case. The defence will say that the requirement of temporality has not been met because the fibromyalgic criteria must be met within months of the collision to establish a causal link between the collision and the condition. The plaintiff cannot argue with the reality that she was not tested soon after the collision and thus cannot positively affirm that she met the fibromyalgia criteria within months of the collision. That said, no one, other than perhaps the court, can say or naysay the proposition that she would have met the criteria had she been tested at an earlier date than the first tender/trigger point observations of Dr. Jaworksi in September 2007. On a robust common sense approach ... it is open for the court to make such a finding based on the symptoms set out [in the paragraph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agree with the principles to which the plaintiff refers. However, even taking a robust and pragmatic view of the evidence, which I have, I am not satisfied that the plaintiff has proven on a balance of probabilities that the accident caused the fibromyalgia and/or the widespread myofascial pain which Dr. Jaworski or Dr. Frew observed in the plaintiff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bears the onus of demonstrating that the accident was the cause of her current symptoms. It is insufficient to assert that she has met that onus by suggesting that she could have had symptoms earlier, but she was not tested for the fibromyalgia criteria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Applying the principles of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I cannot find that but for the accident Ms. Warkentin would not have developed fibromyalgia and/or chronic myofascial pain syndrome. I cannot find a substantial connection between the plaintiff's injuries and the defendant's conduct. Even assuming, without deciding, that the plaintiff could rely on the "material contribution test", I would not find that the accident materially contributed to the onset of this widespread pain. There is too long a period between the accident and the onset of the symptoms. Dr. Shuckett acknowledged that the connection is debatable in any event, but suggested that 18 months between the accident and the onset of fibromyalgia symptoms may demonstrate a connection. The plaintiff's symptoms were not observed until three years after the accident. Applying the common sense test in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does not permit me to conclude that the accident and the widespread pain and/or fibromyalgia are probably connected.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conclude that Ms. Warkentin suffered soft tissue injuries causing ongoing symptoms to her neck and right shoulder. She also suffers from ongoing headaches which are attributable to the injuries she sustained in the accident. There has been some reduction in Ms. Warkentin's ability to perform recreational activities; however the injuries caused by the accident are not the source of any disruption in her ability to perform her job with VIP Mazda or her consulting work for Dr. Woo. Any such disruption is due to symptoms that were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addressed the underlying purpose of non-pecuniary damages at paras. 45 and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Before embarking on that task,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i/>
          <w:color w:val="000000"/>
          <w:sz w:val="20"/>
          <w:lang w:val="en-US" w:eastAsia="en-US" w:bidi="ar-SA"/>
        </w:rPr>
        <w:t>Lindal v. Lindal, [1981] S.C.R. 629, supra</w:t>
      </w:r>
      <w:r>
        <w:rPr>
          <w:rFonts w:ascii="arial" w:eastAsia="arial" w:hAnsi="arial" w:cs="arial"/>
          <w:color w:val="000000"/>
          <w:sz w:val="20"/>
          <w:lang w:val="en-US" w:eastAsia="en-US" w:bidi="ar-SA"/>
        </w:rPr>
        <w:t>, at 637 is a helpful reminder: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 "need for solace will not necessarily correlate with the seriousness of the injury"</w:t>
      </w:r>
      <w:r>
        <w:rPr>
          <w:rFonts w:ascii="arial" w:eastAsia="arial" w:hAnsi="arial" w:cs="arial"/>
          <w:color w:val="000000"/>
          <w:sz w:val="20"/>
          <w:lang w:val="en-US" w:eastAsia="en-US" w:bidi="ar-SA"/>
        </w:rPr>
        <w:t xml:space="preserve">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w:t>
      </w:r>
      <w:r>
        <w:rPr>
          <w:rFonts w:ascii="arial" w:eastAsia="arial" w:hAnsi="arial" w:cs="arial"/>
          <w:color w:val="000000"/>
          <w:sz w:val="20"/>
          <w:u w:val="single"/>
          <w:lang w:val="en-US" w:eastAsia="en-US" w:bidi="ar-SA"/>
        </w:rPr>
        <w:t>An award will vary in each case "to meet the specific circumstances of the individual case"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at p. 284 of S.C.R.).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a result of the plaintiff's widespread myofascial pain, all of the factors which ought to influence an award of non-pecuniary damages are present. However, given my findings on which injuries were caused by the accident, I am guided by the authorities provided by the defendant in regard to soft tissue injuries similar to those from which the plaintiff suffers.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Hauer v. Clendenning</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2010 BCSC 366</w:t>
        </w:r>
      </w:hyperlink>
      <w:r>
        <w:rPr>
          <w:rFonts w:ascii="arial" w:eastAsia="arial" w:hAnsi="arial" w:cs="arial"/>
          <w:color w:val="000000"/>
          <w:sz w:val="20"/>
          <w:lang w:val="en-US" w:eastAsia="en-US" w:bidi="ar-SA"/>
        </w:rPr>
        <w:t>, the plaintiff was awarded non-pecuniary damages of $50,000 in respect of her soft tissue injuries and pain in her neck, shoulder and back which were ongoing at the date of trial, four years after the accident. The plaintiff was able to sustain her pre-accident income level, however, work activities and activities of daily living resulted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Driscoll v. Desharnais</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2009 BCSC 306</w:t>
        </w:r>
      </w:hyperlink>
      <w:r>
        <w:rPr>
          <w:rFonts w:ascii="arial" w:eastAsia="arial" w:hAnsi="arial" w:cs="arial"/>
          <w:color w:val="000000"/>
          <w:sz w:val="20"/>
          <w:lang w:val="en-US" w:eastAsia="en-US" w:bidi="ar-SA"/>
        </w:rPr>
        <w:t>, the plaintiff was awarded $55,000 as non-pecuniary damages related to his suffering soft tissue injuries and pain in his neck, shoulder and back with disturbed sleep. The plaintiff had reduced capacity at work and was unable to participate in some of the activities that he enjoyed. The injuries were likely to continue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Ching v. McCabe</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2006 BCSC 1589</w:t>
        </w:r>
      </w:hyperlink>
      <w:r>
        <w:rPr>
          <w:rFonts w:ascii="arial" w:eastAsia="arial" w:hAnsi="arial" w:cs="arial"/>
          <w:color w:val="000000"/>
          <w:sz w:val="20"/>
          <w:lang w:val="en-US" w:eastAsia="en-US" w:bidi="ar-SA"/>
        </w:rPr>
        <w:t xml:space="preserve">, the plaintiff was awarded $50,000 (reduced 50 percent due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respect of headaches, soft tissue injuries and pain in the neck, back and shoulder, and mild stress which continued four years after the accident and would likely continue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all the circumstances, I assess the plaintiff's non-pecuniary damages as $50,000.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has proven that she missed four days from work related to the shoulder surgery, for which I find the defendant liable. Ms. Warkentin is entitled to $1,592 relating to that loss of income. In respect of the time which Ms. Warkentin missed for appointments, the evidence demonstrates that Ms. Warkentin received a salary from her employers Dr. Woo and VIP Mazda. It was not calculated on an hourly basis and was not reduced by the appointments which the plaintiff attended. I therefore do not award any further amounts related to past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a result of my conclusions concerning causation in this matter, the plaintiff has not proven that she has a real and substantial possibility of income loss in the future due to injuries that she sustained in the accident. She was able to continue with her work until the fibromyalgia and/or chronic pain prevented her from doing so; but, as I have found, those injuries are not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has not proven that the soft tissue injuries which I have found to be caused by the accident will result in any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do not find that the plaintiff will require any future care in respect of those injuries which she sustained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has presented a special damages document brief which itemizes her special damages over the period of time from the accident to the time of trial. Some of those are properly claimed against the defendant as they relate to injuries which I have found are attributable to the accident. Other special expenses are related to the generalized pain condition of which the plaintiff now complains. I am unable to determine which of the special damages are attributable to which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invite the parties to review the plaintiff's special damages and determine which are attributable to the defendant's liability and which are not, based on my conclusions concerning causation. If the parties are unable to agree on the amount of special damages, they have leave to apply and I will consider that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3096"/>
        <w:gridCol w:w="1342"/>
        <w:gridCol w:w="48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238"/>
        <w:gridCol w:w="3096"/>
        <w:gridCol w:w="516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$ 1,592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2614"/>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$51,592</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Special damages are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parties have liberty to speak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Mackay v. British Columbia, [2013] B.C.J. No. 1121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27, 28,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10-1265, S126608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 and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1121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945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R.P.R. (5th) 238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228 A.C.W.S. (3d) 1194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1595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Commercial Arbitration Act, R.S.B.C. 1996, c. 55 AND IN THE MATTER OF an Arbitration relating to Wendi Jane Mackay Between Wendi Jane Mackay, Petitioner, and Her Majesty the Queen in the Right of the Province of British Columbia, Respondent And between Wendi Jane Mackay, Petitioner, and British Columbia Minister of Forests, Lands and Natural Resource, Operations and the British Columbia Archeology Branch, Respondents, and The Attorney General of British Columbia, Pursuant to Section 16 of the Judicial Review Procedure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8" w:name="Keywords_32"/>
      <w:bookmarkEnd w:id="228"/>
      <w:r>
        <w:rPr>
          <w:rFonts w:ascii="arial" w:eastAsia="arial" w:hAnsi="arial" w:cs="arial"/>
          <w:b/>
          <w:color w:val="000000"/>
          <w:sz w:val="20"/>
          <w:lang w:val="en-US" w:eastAsia="en-US" w:bidi="ar-SA"/>
        </w:rPr>
        <w:t>Administrative law — Judicial review and statutory appeal — When available — Bars — Res judicata and estoppel — Leave to appeal — Appeal from arbitrator's award and judicial review seeking declaration respondents lacked authority to order petitioner to pay for heritage investigation and inspection allowed in part — Branch ordered petitioner to pay for heritage inspection and investigation as precondition for site alteration permit — Arbitrator erred in failing to consider whether nuisance was committed against petitioner, whether Branch's actions interfered with enjoyment of property and undertake balancing exercise — No statutory provision authorizing Branch to order petitioner to pay for heritage inspection/investigation as precondition for permit — Appeal allowed but judicial review not from any decision and raised same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Authority and powers — Statutory powers — Actions by and against Crown — Actions of declarations — Nuisance by Crown — Appeals and judicial review — Amendment or rescinding of decision — Practice and procedure — General principles — Legislation — Interpretation — Statutes — Appeal from arbitrator's award and judicial review seeking declaration respondents lacked authority to order petitioner to pay for heritage investigation and inspection allowed in part — Branch ordered petitioner to pay for heritage inspection and investigation as precondition for site alteration permit — Arbitrator erred in failing to consider whether nuisance was committed against petitioner, whether Branch's actions interfered with enjoyment of property and undertake balancing exercise — No statutory provision authorizing Branch to order petitioner to pay for heritage inspection/investigation as precondition for permit — Appeal allowed but judicial review not from any decision and raised same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Planning and development — Heritage property protection — Altering heritage property — Appeal from arbitrator's award and judicial review seeking declaration respondents lacked authority to order petitioner to pay for heritage investigation and inspection allowed in part — Branch ordered petitioner to pay for heritage inspection and investigation as precondition for site alteration permit — Arbitrator erred in failing to consider whether nuisance was committed against petitioner, whether Branch's actions interfered with enjoyment of property and undertake balancing exercise — No statutory provision authorizing Branch to order petitioner to pay for heritage inspection/investigation as precondition for permit — Appeal allowed but judicial review not from any decision and raised same issues.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Nuisance — Public nuisance — Liability — Injury to person — Injury to property — Defences — Statutory authority — Appeal from arbitrator's award and judicial review seeking declaration respondents lacked authority to order petitioner to pay for heritage investigation and inspection allowed in part — Branch ordered petitioner to pay for heritage inspection and investigation as precondition for site alteration permit — Arbitrator erred in failing to consider whether nuisance was committed against petitioner, whether Branch's actions interfered with enjoyment of property and undertake balancing exercise — No statutory provision authorizing Branch to order petitioner to pay for heritage inspection/investigation as precondition for permit — Appeal allowed but judicial review not from any decision and raised same issues.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9" w:name="Case Summary_30"/>
            <w:bookmarkEnd w:id="2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from the arbitrator's award and petition for judicial review seeking a declaration the respondents lacked the authority to order the petitioner to pay for a heritage inspection and investigation as a precondition to obtaining a site alteration permit. The petitioner purchased the property from her parents in 2006 with plans to demolish the existing house and build a new single family home. The respondent Ministry had conducted archaeological research on the land in 1971 and uncovered hundreds of artefacts. The petitioner was not aware the site had any archaeological significance when she purchased the property and there were no indications on title that the property was a heritage site. When the petitioner retained an architect to design her new house, she learned the property was an undesignated heritage site, was protected by the Heritage Conservation Act and she needed a site alteration permit to remove the house and construct a new one. The petition paid $5,877 for an initial inspection and the inspector reported the home still tested positive for cultural deposits and recommended further work be undertaken at an estimated cost of $42,792. The petitioner questioned the need for this, given the extensive work that had been done on the site in 1971. The petitioner retained an archaeologist to attempt to obtain the site alteration permit, but the respondent Branch insisted she pay for a s. 14 heritage inspection and investigation. The petitioner argued these delays caused her to suffer $600,000 losses and made a claim against the Branch for recovery of the losses on the basis the Branch lacked statutory authority to require her to pay for a s. 14 investigation and had committed nuisance. The claim went to arbitration and was dismissed. The petitioner was granted leave to appeal on whether the arbitrator erred in failing to apply the correct nuisance test and, if nuisance was found, whether the arbitrator erred in finding the Branch had statutory authority to order the inspection as a precondition to obtaining the permit. The petitioner also commenced the judicial review petition seeking a declaration, in which she also alleged the Branch's conduct interfered with a sale of the property.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0" w:name="Holdings of Court_23"/>
            <w:bookmarkEnd w:id="230"/>
            <w:r>
              <w:rPr>
                <w:rFonts w:ascii="arial" w:eastAsia="arial" w:hAnsi="arial" w:cs="arial"/>
                <w:color w:val="000000"/>
                <w:sz w:val="20"/>
                <w:lang w:val="en-US" w:eastAsia="en-US" w:bidi="ar-SA"/>
              </w:rPr>
              <w:t>HELD: Appeal allowed, judicial review petition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arbitrator only considered nuisance to be made out of a tort was committed against the land, so erred in failing to consider whether a tort was committed against the petitioner. The arbitrator also made contradictory findings with respect to inference with enjoyment of the property. It was clear the interference with the petitioner's use and enjoyment was substantial given she had been unable to use the land for a year and had incurred significant expense. The arbitrator failed to undertake a balancing exercise in weighing the gravity of the harm against the utility of the respondents' conduct. Statutory authority provided a limited defence to the nuisance claim. However, there was no express provision in s. 12 authorizing the Branch to require the petitioner to pay for an inspection/investigation as a precondition to obtaining the permit. The heritage inspection scheme was set out in s. 14, but did not require the owner to pay for it. A Ministerial order could be made to that effect pursuant to s. 14(7), but this was not what had occurred. Furthermore, this scheme had to be read in the context of s. 23(2) of the Land Title Act, which provided title was clear unless one of the listed interests was registered on the property. It was clear that where legislature wished to impose costs of the heritage inspection on citizens, it did so expressly. Nothing in s. 12 gave the Branch that authority. The answer to both questions on appeal was yes. The petition for judicial review, however, was not from any decision and raised the same issues as those dealt with by the arbitrator and which had just been appealed. The petition for judicial review was an abuse of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1" w:name="Legislation Cited_22"/>
      <w:bookmarkEnd w:id="2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Commercial Arbitration Act, </w:t>
      </w:r>
      <w:r>
        <w:rPr>
          <w:rFonts w:ascii="arial" w:eastAsia="arial" w:hAnsi="arial" w:cs="arial"/>
          <w:i/>
          <w:color w:val="000000"/>
          <w:sz w:val="20"/>
          <w:lang w:val="en-US" w:eastAsia="en-US" w:bidi="ar-SA"/>
        </w:rPr>
        <w:t>RSBC 1996, CHAPTER 55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Heritage Conservation Act, </w:t>
      </w:r>
      <w:hyperlink r:id="rId752" w:history="1">
        <w:r>
          <w:rPr>
            <w:rFonts w:ascii="arial" w:eastAsia="arial" w:hAnsi="arial" w:cs="arial"/>
            <w:i/>
            <w:color w:val="0077CC"/>
            <w:sz w:val="20"/>
            <w:u w:val="single"/>
            <w:shd w:val="clear" w:color="auto" w:fill="FFFFFF"/>
            <w:lang w:val="en-US" w:eastAsia="en-US" w:bidi="ar-SA"/>
          </w:rPr>
          <w:t>RSBC 1996, CHAPTER 187, s. 12</w:t>
        </w:r>
      </w:hyperlink>
      <w:r>
        <w:rPr>
          <w:rFonts w:ascii="arial" w:eastAsia="arial" w:hAnsi="arial" w:cs="arial"/>
          <w:color w:val="000000"/>
          <w:sz w:val="20"/>
          <w:lang w:val="en-US" w:eastAsia="en-US" w:bidi="ar-SA"/>
        </w:rPr>
        <w:t>, s. 12(1), s. 13, s. 14(1), s. 14(2), s. 14(3), s. 14(4), s. 14(5), s. 14(6), s. 14(7), s. 14(9), s. 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Act, </w:t>
      </w:r>
      <w:hyperlink r:id="rId753" w:history="1">
        <w:r>
          <w:rPr>
            <w:rFonts w:ascii="arial" w:eastAsia="arial" w:hAnsi="arial" w:cs="arial"/>
            <w:i/>
            <w:color w:val="0077CC"/>
            <w:sz w:val="20"/>
            <w:u w:val="single"/>
            <w:shd w:val="clear" w:color="auto" w:fill="FFFFFF"/>
            <w:lang w:val="en-US" w:eastAsia="en-US" w:bidi="ar-SA"/>
          </w:rPr>
          <w:t>RSBC 1996, CHAPTER 241, s. 2</w:t>
        </w:r>
      </w:hyperlink>
      <w:r>
        <w:rPr>
          <w:rFonts w:ascii="arial" w:eastAsia="arial" w:hAnsi="arial" w:cs="arial"/>
          <w:color w:val="000000"/>
          <w:sz w:val="20"/>
          <w:lang w:val="en-US" w:eastAsia="en-US" w:bidi="ar-SA"/>
        </w:rPr>
        <w:t>(2)(b)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754" w:history="1">
        <w:r>
          <w:rPr>
            <w:rFonts w:ascii="arial" w:eastAsia="arial" w:hAnsi="arial" w:cs="arial"/>
            <w:i/>
            <w:color w:val="0077CC"/>
            <w:sz w:val="20"/>
            <w:u w:val="single"/>
            <w:shd w:val="clear" w:color="auto" w:fill="FFFFFF"/>
            <w:lang w:val="en-US" w:eastAsia="en-US" w:bidi="ar-SA"/>
          </w:rPr>
          <w:t>RSBC 1996, CHAPTER 250, s. 23</w:t>
        </w:r>
      </w:hyperlink>
      <w:r>
        <w:rPr>
          <w:rFonts w:ascii="arial" w:eastAsia="arial" w:hAnsi="arial" w:cs="arial"/>
          <w:color w:val="000000"/>
          <w:sz w:val="20"/>
          <w:lang w:val="en-US" w:eastAsia="en-US" w:bidi="ar-SA"/>
        </w:rPr>
        <w:t>(2)(a), s. 23(2) (j)</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2" w:name="Counsel_32"/>
      <w:bookmarkEnd w:id="2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in both actions: B.J. Wallace, Q.C., D.K. Lovett,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in both actions: J.N. Eades, C.R. Bargen.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J.G. Penner.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31"/>
      <w:bookmarkEnd w:id="233"/>
      <w:r>
        <w:pict>
          <v:line id="_x0000_s1188"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L.B. GEROW J."/>
            <w:bookmarkEnd w:id="234"/>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has brought two petitions as a result of the requirement she undertake significant archaeological work prior to replacing the existing single family home on a property she purchased that was not designated as a heritage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heritage site cannot be altered without a site alteration permit. This requirement applies to both designated and non-designated sites. Although the property she purchased was not designated as a heritage site, the petitioner has been put to a great deal of cost in dealing with delays and archaeological investigations on the property in order to obtain a site alteration permit. The petitioner claims that the requirements to undertake a heritage inspection and a heritage investigation on the site constituted nuisance, in that they significantly interfered with her use and enjoyment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first petition was filed in March 2010, and is an appeal of an arbitrator's award (the "Award") dated January 13, 2010. The petition addresses two questions of law arising from the requirement that the petitioner obtain and pay for a heritage inspection and investigation as preconditions for granting a site alteration permit under the </w:t>
      </w:r>
      <w:r>
        <w:rPr>
          <w:rFonts w:ascii="arial" w:eastAsia="arial" w:hAnsi="arial" w:cs="arial"/>
          <w:i/>
          <w:color w:val="000000"/>
          <w:sz w:val="20"/>
          <w:lang w:val="en-US" w:eastAsia="en-US" w:bidi="ar-SA"/>
        </w:rPr>
        <w:t>Heritage Conservation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187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second petition was commenced in September 2012, and is a judicial review. The petitioner seeks a declaration that the respondents do not have the authority to order a property owner to obtain and pay for a heritage inspection and investigation as a precondition to obtaining a site alteration permit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respondents oppose both petitions. The respondents say that the answers to the two questions to be addressed in the appeal from the arbitrator's award should be "no." The respondents take the position that the arbitrator did not make any errors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respondents say that the petition for judicial review seeks relief based on the same facts that were before the arbitrator. By agreement between the parties, the petitioner's claim was heard and decided by the arbitrator who was appointed pursuant to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xml:space="preserve"> (now entitled </w:t>
      </w:r>
      <w:r>
        <w:rPr>
          <w:rFonts w:ascii="arial" w:eastAsia="arial" w:hAnsi="arial" w:cs="arial"/>
          <w:i/>
          <w:color w:val="000000"/>
          <w:sz w:val="20"/>
          <w:lang w:val="en-US" w:eastAsia="en-US" w:bidi="ar-SA"/>
        </w:rPr>
        <w:t>Arbitration Act</w:t>
      </w:r>
      <w:r>
        <w:rPr>
          <w:rFonts w:ascii="arial" w:eastAsia="arial" w:hAnsi="arial" w:cs="arial"/>
          <w:color w:val="000000"/>
          <w:sz w:val="20"/>
          <w:lang w:val="en-US" w:eastAsia="en-US" w:bidi="ar-SA"/>
        </w:rPr>
        <w:t>). The respondents take the position that the petition for judicial review is an abuse of process and should be dismissed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background facts are set out in the Award, and have been summarized in two earlier decisions, </w:t>
      </w:r>
      <w:r>
        <w:rPr>
          <w:rFonts w:ascii="arial" w:eastAsia="arial" w:hAnsi="arial" w:cs="arial"/>
          <w:i/>
          <w:color w:val="000000"/>
          <w:sz w:val="20"/>
          <w:lang w:val="en-US" w:eastAsia="en-US" w:bidi="ar-SA"/>
        </w:rPr>
        <w:t>Mackay v. British Columbia</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2011 BCSC 270</w:t>
        </w:r>
      </w:hyperlink>
      <w:r>
        <w:rPr>
          <w:rFonts w:ascii="arial" w:eastAsia="arial" w:hAnsi="arial" w:cs="arial"/>
          <w:color w:val="000000"/>
          <w:sz w:val="20"/>
          <w:lang w:val="en-US" w:eastAsia="en-US" w:bidi="ar-SA"/>
        </w:rPr>
        <w:t xml:space="preserve"> and </w:t>
      </w:r>
      <w:hyperlink r:id="rId756" w:history="1">
        <w:r>
          <w:rPr>
            <w:rFonts w:ascii="arial" w:eastAsia="arial" w:hAnsi="arial" w:cs="arial"/>
            <w:i/>
            <w:color w:val="0077CC"/>
            <w:sz w:val="20"/>
            <w:u w:val="single"/>
            <w:shd w:val="clear" w:color="auto" w:fill="FFFFFF"/>
            <w:lang w:val="en-US" w:eastAsia="en-US" w:bidi="ar-SA"/>
          </w:rPr>
          <w:t>2011 BCCA 470</w:t>
        </w:r>
      </w:hyperlink>
      <w:r>
        <w:rPr>
          <w:rFonts w:ascii="arial" w:eastAsia="arial" w:hAnsi="arial" w:cs="arial"/>
          <w:color w:val="000000"/>
          <w:sz w:val="20"/>
          <w:lang w:val="en-US" w:eastAsia="en-US" w:bidi="ar-SA"/>
        </w:rPr>
        <w:t>. There is little controversy regarding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2006, the petitioner and her late husband purchased a property located at 2072 Esplanade Avenue, Victoria, B.C., (the "property") from her parents. The petitioner and her husband planned to demolish the existing house and build a new single family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1971, Ray Kenny, who at all material times was the manager of the permitting and assessment section of the Archaeology Branch of the Ministry of Tourism, Sport and the Arts (the "Branch"), conducted archaeological research on the property for his master's degree when it was the garden to the adjacent house. During Mr. Kenny's project, a team of six people conducted an archaeological dig on the property for at least two months. Mr. Kenny's research yielded more than 850 artifacts. Mr. Kenny prepared an extensive report on his findings that was filed with the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1985, the petitioner's parents purchased the vacant land on which Mr. Kenny had done his research, and built a house on it. Further artifacts were removed by Grant Keddie of the Royal British Columbia Museum during the construction of the house in 1985. No permits were required or issued in connection with either the construction of the house in 1985 or the removal of the artifacts.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At the time they purchased the property, neither the petitioner nor her husband were aware that the property had been identified as having archaeological significance. There were no indications on title of any restrictions on the property, or that the property was a heritage site as defined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petitioner and her husband were unaware that artifacts of heritage value had been recovered from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architect retained by the petitioner to design the new house suggested that the petitioner contact the Branch to determine whether a heritage-related permit was required for the removal of the old house and construction of the new one. The petitioner requested that her architect make those inquiries on her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Branch officials advised the architect that the property was part of an undesignated heritage site and was protected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that in order to build a new house, the petitioner was required to obtain a site alteration permit under s. 12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 order to obtain the required permits, the petitioner had to engage and pay the costs of a consultant archaeologist to conduct a heritage inspection and prepare a report of the results to provide to the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Accordingly, the petitioner retained Millenia Research Limited ("Millenia") at her expense to conduct the required inspection. In order to proceed with the inspection, Millenia was required to obtain an inspection permit under s. 14(2)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inspection permit was issued on May 7, 2007, and by June 15, 2007, all work authorized by the permit has been completed. The petitioner paid Millenia $5,877 for the initial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Millenia reported that the site tested positive for cultural deposits and recommended further work be undertaken to allow for a number of hand excavations, as well as careful machine removal and screening of cultural deposits. Millenia's cost estimate for the additional work recommended in the report was $42,792. The petitioner questioned both the Branch and Millenia about the requirement for further work on the site, given the extensive work that had been undertaken by Mr. Kenny in 1971. The petitioner subsequently terminated her contract with Millenia, which prompted the withdrawal of Millenia's permit application on July 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petitioner then retained archaeologist Shane Bond for an all inclusive price of $51,342, and a new permit application was made on August 30, 2007. What then occurred were various attempts by Mr. Bond to obtain a site alteration permit. Throughout the process, the petitioner continued to question the Branch about its authority to impose the requirement for a s. 14 investigation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petitioner says that as a result of the ongoing delays caused by the requirements imposed by the Branch, construction was delayed. The petitioner asserts she has suffered losses of approximately $600,000, as a result of the costs associated with obtaining the site alteration permit, the additional costs associated with the delay in construction, and the loss of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petitioner brought a claim against the Branch for the recovery of her losses, alleging that the Branch had wrongfully applied the permit scheme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 her claim, the petitioner alleged:</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Branch did not have the statutory authority to require her to obtain and pay for a heritage inspection under s. 14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a precondition to the issuance of the site alteration permit;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Branch's requirements constituted a nuisance because they interfered with her enjoyment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parties agreed that the petitioner's claim would be determined in an arbitration under the </w:t>
      </w:r>
      <w:r>
        <w:rPr>
          <w:rFonts w:ascii="arial" w:eastAsia="arial" w:hAnsi="arial" w:cs="arial"/>
          <w:i/>
          <w:color w:val="000000"/>
          <w:sz w:val="20"/>
          <w:lang w:val="en-US" w:eastAsia="en-US" w:bidi="ar-SA"/>
        </w:rPr>
        <w:t>Commercial Arbitration Act</w:t>
      </w:r>
      <w:r>
        <w:rPr>
          <w:rFonts w:ascii="arial" w:eastAsia="arial" w:hAnsi="arial" w:cs="arial"/>
          <w:color w:val="000000"/>
          <w:sz w:val="20"/>
          <w:lang w:val="en-US" w:eastAsia="en-US" w:bidi="ar-SA"/>
        </w:rPr>
        <w:t>, and retained an arbitrator. The Award was issued on January 13, 2010, dismissing the petitioner's claim on the basis that she had failed to prove any liability on the part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petitioner sought leave to appeal the Award to the B.C. Supreme Court. The two questions of law framed by the petitioner were:</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arbitrator err in law in failing to apply the correct test necessary to establish nuisance, as articulated in paragraph 133 of his reasons, in concluding in paragraph 137 of his reasons that the actions of the Branch could not be said to have caused physical injury to the land or interfered with the petitioner's enjoyment of the property;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nuisance is established, did the arbitrator err in law in finding that the Branch had the statutory authority to require the petitioner, in the manner it did, to engage at her expense archaeologists to conduct a heritage inspection and a heritage investigation on her property and to obtain permits under s. 14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those purposes, as preconditions to granting her a site alteration permit under s. 122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February 2011 the chambers judge dismissed the application for leave to appeal on the grounds that there was no question of law raised in the Award in regards to nuisance. Since the second alleged error was only relevant in the event that nuisance was established, it was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petitioner appealed. On November 16, 2011, the Court of Appeal set aside the February 2011 order and granted leave to appeal the Award on the two questions identified by the petitioner. This is that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On September 20, 2012, the petitioner commenced a petition seeking judicial review and applying for a declaration that the respondents do not have the statutory authority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order a property owner to obtain and pay for a s. 14 heritage inspection and a s. 14 heritage investigation as preconditions to granting a site alteration permit. In the 2012 petition, the petitioner relies on some of the same facts that she relies on in support of the appeal from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she also relies on some additional facts arising from her dealings with the Branch in 2012, which she alleges impacted the sale of the property to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petitioner received an offer to purchase the property in 2012. The offer was subject to several conditions, including the buyer's satisfactory review of the Branch's records for the property and any heritage conservation implications for the property. Following communications between the Branch and the purchaser's realtor, additional conditions were added that there were no outstanding filings to be made or conditions to be fulfilled pursuant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petitioner provided the relevant archaeology documents to the purchaser. However, the purchaser advised he would not sign off on the conditions because the archaeologists who conducted the excavations and inspections under the heritage investigation permit had not filed a report. The purchaser raised concerns that the Branch might require completion of the archaeological work at the purchaser's expense. The petitioner alleges she suffered losses as a result.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Petitioner's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petitioner takes the position that although the arbitrator articulated the correct test for nuisance, he applied a different test. The petitioner says after defining nuisance "as an act that directly or indirectly causes physical damage to the land or substantially interferes with the use or enjoyment of land", the only inference that can be drawn from the paragraphs that follow is that the arbitrator then applied a test for nuisance that did not include an act that "indirectly" "substantially interferes with the use and enjoyment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petitioner submits the Award contained contradictory findings in that the arbitrator stated the actions of the Branch in requiring archaeological work and permits to disturb the site for the purpose "cannot be said to have caused physical injury to the land or interfered with its enjoyment." The arbitrator then states in the next paragraph that "it is impossible to grant a permit to disturb a heritage site and avoid at the same time, an injury to or an interference with the land, the subject of the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petitioner submits, having made that finding, the arbitrator should have given effect to that impossibility in deciding whether the actions of Branch officials interfered with the petitioner's enjoyment of her property. The failure to do so was an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petitioner says that if the arbitrator was drawing a distinction between the Branch's role in requiring the archaeological work be done and issuing permits to allow it to be done, and the doing of work, he is making an error in law. The petitioner says the definition of nuisance includes indirect interference, and that it is an error in law to distinguish the bureaucratic act of requiring the interference from the physical interference that is the inevitable consequence of the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petitioner says the nuisance complained of and the harm suffered was that for several months the property could not be used for any purpose other than archaeological examination and research. The interference with the property's use and enjoyment was total. The petitioner was denied any use and enjoyment and had to pay for the interference. The arbitrator erred in failing to include interference with use and enjoyment of land in his concept of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petitioner says there is no express provision in s. 12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allowing the Branch to require a heritage inspection or investigation as a precondition to issuing a site alteration permit under the section. The arbitrator made an error of law by inferring that because the Branch had the ability to impose conditions or refuse a permit under s. 12, it could require a home owner to engage and pay for a thorough heritage inspection and investigation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Section 14(4) sets out a scheme under which the Minister or his delegate may order a heritage inspection or a heritage investigation, where certain developments or uses are proposed for land. Section 14(7) provides that the Minister, but not his delegate, may require the person developing or using the property to pay for the heritage inspection or heritage investigation. No such order was made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petitioner says the Branch officials had no authority to require a citizen to pay for a heritage inspection or investigation under any circumstances. In forcing the petitioner to do so, they exceeded their statutory authority. The petitioner says that she does not fall within the circumstances in which a Minister can order her to pay for the research under s. 14(7).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Accordingly, both questions on the appeal should be answered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petitioner takes the position that the petition for judicial review is not an abuse of process because the judicial review and the appeal from the Award seek different relief. The relief the petitioner is seeking on the judicial review is a declaration against the respondents, while on the appeal she seeks a direction to the arbitrator in support of a monetary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Further, the appeal relates to the past conduct of the Branch officials, including their assertion of statutory authority which the petitioner says they do not have. The judicial review relates to the past conduct but also relates to the subsequent assertion of statutory authority, which is ongoing and which has a continuing adverse impact on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issue on both the judicial review and the second question on the appeal is whether the officials of the Branch have the statutory power they assert. It is fair and convenient that the official's exercise of a statutory power be considered in both contexts in the same hearing.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Respondents'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respondents point to the fact that the appeal from the Award is not a hearing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xml:space="preserve"> or fresh hearing, and that the Court's only task is to answer the two questions of law relating to the test of private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respondents submit that both questions should be answered "no." The law of nuisance attempts to strike a balance between the competing interests of neighbouring landowners. Nuisance considers whether the use of property has created substantial interference with the use of enjoyment of the property of a neighbour that is unreasonable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Reasonableness is determined by having regard to factors including the character of the neighbourhood, the sensitivity of the claimant, and the utility of the defendant's conduct. Nuisance does not apply in the appeal because the petitioner does not complain about adverse impacts that result from the actions on neighbouring lands. The Branch is not a neighbouring property owner. Rather, the Branch is the administrator of a statutory scheme that balances competing rights in property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This appeal stems from the petitioner's dissatisfaction with the statutory scheme. Although framed in nuisance, the real contention in the appeal is that the respondent ought to pay for the required inspection and investigation to ensure the protection of heritage property.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operate that way. The imposition of nuisance is incompatible with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discretion to the Branch to deny a site alteration permit application, absent the Branch having sufficient information regarding the nature of the site, the anticipated impact of the proposed work and any steps required to mitigate impact on heritage property. The arbitrator found that the Branch exercised its discretion reasonably and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 landowner electing to develop property may choose to acquire the requisite information, or not. The election by the landowner to retain agents to carry out an inspection and investigation on the landowner's own property does not fit within the rubric of private nuisance. Such activities are not imposed on land through the activities of a neighbouring property owner on neighbouring land. Rather, such activities are permitted by a property owner on its own lands in order to develop its property without disturbing or destroying heritage property in violation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Consenting to an allegedly nuisance-causing activity precludes a finding of the tort of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arbitrator considered, and rejected, the petitioner's contention that the Branch had caused indirect interference, in finding at paragraph 139 of the Award that it could not be said the activities of the archaeologists were imposed upon the land by the Branch. The respondent says the arbitrator correctly dismissed the petitioner's claim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respondents take the position that the petition for judicial review is an abuse of process and should be summarily dismissed. The respondents say it is an abuse of process for the petitioner to seek to have the court determine, in the judicial review proceeding, the very question that has been decided by the arbitrator, and which is the subject of an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respondents submit that is also an abuse of process to seek declaratory relief when a statutory route of appeal exists: relying on </w:t>
      </w:r>
      <w:r>
        <w:rPr>
          <w:rFonts w:ascii="arial" w:eastAsia="arial" w:hAnsi="arial" w:cs="arial"/>
          <w:i/>
          <w:color w:val="000000"/>
          <w:sz w:val="20"/>
          <w:lang w:val="en-US" w:eastAsia="en-US" w:bidi="ar-SA"/>
        </w:rPr>
        <w:t>Shuswap Lake Utilities Ltd. v. Mattison</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2008 BCCA 176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Appeal from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stated earlier, the two questions of law to be addressed in the appeal are:</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arbitrator err in law in failing to apply the correct test necessary to establish nuisance, as articulated in paragraph 133 of his reasons, in concluding in paragraph 137 of his reasons that the actions of the Branch could not be said to have caused physical injury to the land or interfered with the petitioner enjoyment of the property?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nuisance is established, did the arbitrator err in law in finding that the Branch had the statutory authority to require the petitioner, in the manner it did, to engage at her expense archaeologists to conduct a heritage inspection and a heritage investigation on her property and to obtain permits under s. 14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those purposes, as preconditions to granting her a site alteration permit under s. 122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paragraphs in issue in the Award in the first question are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nuisance has been defined as an act that directly or indirectly causes physical injury to land or substantially interferes with the use or enjoyment of the land or an interest in the land where in the light of all the surrounding circumstances the injury or interference is unreasonable (</w:t>
      </w:r>
      <w:r>
        <w:rPr>
          <w:rFonts w:ascii="arial" w:eastAsia="arial" w:hAnsi="arial" w:cs="arial"/>
          <w:i/>
          <w:color w:val="000000"/>
          <w:sz w:val="20"/>
          <w:lang w:val="en-US" w:eastAsia="en-US" w:bidi="ar-SA"/>
        </w:rPr>
        <w:t>Royal Anne Hotel Co. Ltd. v. Ashcroft (Village)</w:t>
      </w:r>
      <w:r>
        <w:rPr>
          <w:rFonts w:ascii="arial" w:eastAsia="arial" w:hAnsi="arial" w:cs="arial"/>
          <w:color w:val="000000"/>
          <w:sz w:val="20"/>
          <w:lang w:val="en-US" w:eastAsia="en-US" w:bidi="ar-SA"/>
        </w:rPr>
        <w:t xml:space="preserve"> ... </w:t>
      </w:r>
      <w:hyperlink r:id="rId758" w:history="1">
        <w:r>
          <w:rPr>
            <w:rFonts w:ascii="arial" w:eastAsia="arial" w:hAnsi="arial" w:cs="arial"/>
            <w:i/>
            <w:color w:val="0077CC"/>
            <w:sz w:val="20"/>
            <w:u w:val="single"/>
            <w:shd w:val="clear" w:color="auto" w:fill="FFFFFF"/>
            <w:lang w:val="en-US" w:eastAsia="en-US" w:bidi="ar-SA"/>
          </w:rPr>
          <w:t>[1979] B.C.J. No. 2068</w:t>
        </w:r>
      </w:hyperlink>
      <w:r>
        <w:rPr>
          <w:rFonts w:ascii="arial" w:eastAsia="arial" w:hAnsi="arial" w:cs="arial"/>
          <w:color w:val="000000"/>
          <w:sz w:val="20"/>
          <w:lang w:val="en-US" w:eastAsia="en-US" w:bidi="ar-SA"/>
        </w:rPr>
        <w:t xml:space="preserve"> (C.A.))</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of nuisance is a tort to the land and not a tort to the person (</w:t>
      </w:r>
      <w:r>
        <w:rPr>
          <w:rFonts w:ascii="arial" w:eastAsia="arial" w:hAnsi="arial" w:cs="arial"/>
          <w:i/>
          <w:color w:val="000000"/>
          <w:sz w:val="20"/>
          <w:lang w:val="en-US" w:eastAsia="en-US" w:bidi="ar-SA"/>
        </w:rPr>
        <w:t>Sutherland v. Canada (Attorney General)</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2001 BCSC 1024</w:t>
        </w:r>
      </w:hyperlink>
      <w:r>
        <w:rPr>
          <w:rFonts w:ascii="arial" w:eastAsia="arial" w:hAnsi="arial" w:cs="arial"/>
          <w:color w:val="000000"/>
          <w:sz w:val="20"/>
          <w:lang w:val="en-US" w:eastAsia="en-US" w:bidi="ar-SA"/>
        </w:rPr>
        <w:t>... at paragraphs 231 to 233).</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Nuisance describes a type of harm that is suffered, rather than a kind of conduct that is forbidden (Linden, Canadian Tort Law 3rd ed. p. 531).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Where, as here, it is said that what otherwise would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 a nuisance was an activity authorized by statute, then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must negative that there are alternate methods of carrying out the work. The mere fact that one is considerably less expensive will not avail. If only one method is practically feasible, it must be established that it was practically impossible to avoid the nuisance. It is insufficient for the defendant to negative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standard is a higher one. While the defence gives rise to some factual difficulties, in view of the allocation of the burden of proof they will be resolved against the defendant.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at para. 55.</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injury or interference complained of here can only be the actions of the Branch in requiring the Claimant to authorize and to finance an archaeological inspection and investigation upon her land. These actions cannot be said to have caused physical injury to the land or interfered with its enjoyment. It may be a tort to the Claimant but it is not a tort to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stated earlier, the petitioner takes the position that the arbitrator correctly stated the law, but then applied a test for nuisance that did not include an act that "indirectly" "substantially interferes with the use and enjoyment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respondents take the position that the arbitrator was correct in finding that nuisance did not apply on the facts as he found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law of nuisance was recently discussed by the Supreme Court of Canada in </w:t>
      </w:r>
      <w:r>
        <w:rPr>
          <w:rFonts w:ascii="arial" w:eastAsia="arial" w:hAnsi="arial" w:cs="arial"/>
          <w:i/>
          <w:color w:val="000000"/>
          <w:sz w:val="20"/>
          <w:lang w:val="en-US" w:eastAsia="en-US" w:bidi="ar-SA"/>
        </w:rPr>
        <w:t>Antrim Truck Centre Ltd. v. Ontario (Transportation)</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2013 SCC 13</w:t>
        </w:r>
      </w:hyperlink>
      <w:r>
        <w:rPr>
          <w:rFonts w:ascii="arial" w:eastAsia="arial" w:hAnsi="arial" w:cs="arial"/>
          <w:color w:val="000000"/>
          <w:sz w:val="20"/>
          <w:lang w:val="en-US" w:eastAsia="en-US" w:bidi="ar-SA"/>
        </w:rPr>
        <w:t xml:space="preserve">, in the context of a claim for injurious affection based on the tort of nuisance. The appellant owned a truck stop complex on property located adjacent to Highway 17 near Ottawa, Ontario. In September 2004, the respondent built a new highway running parallel to Highway 17 near the appellant's property. The portion of Highway 17 adjacent to the complex was changed to a dirt road, and motorists could not access the complex off of the new highway. As a result, the truck stop was essentially put out of business. The appellant brought a claim for injurious affection before the Ontario Municipal Board, </w:t>
      </w:r>
      <w:hyperlink r:id="rId761" w:history="1">
        <w:r>
          <w:rPr>
            <w:rFonts w:ascii="arial" w:eastAsia="arial" w:hAnsi="arial" w:cs="arial"/>
            <w:i/>
            <w:color w:val="0077CC"/>
            <w:sz w:val="20"/>
            <w:u w:val="single"/>
            <w:shd w:val="clear" w:color="auto" w:fill="FFFFFF"/>
            <w:lang w:val="en-US" w:eastAsia="en-US" w:bidi="ar-SA"/>
          </w:rPr>
          <w:t>[2009] O.M.B.D. No. 1</w:t>
        </w:r>
      </w:hyperlink>
      <w:r>
        <w:rPr>
          <w:rFonts w:ascii="arial" w:eastAsia="arial" w:hAnsi="arial" w:cs="arial"/>
          <w:color w:val="000000"/>
          <w:sz w:val="20"/>
          <w:lang w:val="en-US" w:eastAsia="en-US" w:bidi="ar-SA"/>
        </w:rPr>
        <w:t xml:space="preserve">, and received an award. The decision was upheld on appeal to the Divisional Court, </w:t>
      </w:r>
      <w:hyperlink r:id="rId762" w:history="1">
        <w:r>
          <w:rPr>
            <w:rFonts w:ascii="arial" w:eastAsia="arial" w:hAnsi="arial" w:cs="arial"/>
            <w:i/>
            <w:color w:val="0077CC"/>
            <w:sz w:val="20"/>
            <w:u w:val="single"/>
            <w:shd w:val="clear" w:color="auto" w:fill="FFFFFF"/>
            <w:lang w:val="en-US" w:eastAsia="en-US" w:bidi="ar-SA"/>
          </w:rPr>
          <w:t>[2010] O.J. No. 156</w:t>
        </w:r>
      </w:hyperlink>
      <w:r>
        <w:rPr>
          <w:rFonts w:ascii="arial" w:eastAsia="arial" w:hAnsi="arial" w:cs="arial"/>
          <w:color w:val="000000"/>
          <w:sz w:val="20"/>
          <w:lang w:val="en-US" w:eastAsia="en-US" w:bidi="ar-SA"/>
        </w:rPr>
        <w:t xml:space="preserve">. However, the Court of Appeal, </w:t>
      </w:r>
      <w:hyperlink r:id="rId763" w:history="1">
        <w:r>
          <w:rPr>
            <w:rFonts w:ascii="arial" w:eastAsia="arial" w:hAnsi="arial" w:cs="arial"/>
            <w:i/>
            <w:color w:val="0077CC"/>
            <w:sz w:val="20"/>
            <w:u w:val="single"/>
            <w:shd w:val="clear" w:color="auto" w:fill="FFFFFF"/>
            <w:lang w:val="en-US" w:eastAsia="en-US" w:bidi="ar-SA"/>
          </w:rPr>
          <w:t>[2011] O.J. No. 2451</w:t>
        </w:r>
      </w:hyperlink>
      <w:r>
        <w:rPr>
          <w:rFonts w:ascii="arial" w:eastAsia="arial" w:hAnsi="arial" w:cs="arial"/>
          <w:color w:val="000000"/>
          <w:sz w:val="20"/>
          <w:lang w:val="en-US" w:eastAsia="en-US" w:bidi="ar-SA"/>
        </w:rPr>
        <w:t>, set aside the Board's decision, finding the application of nuisance to the facts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allowing the appeal, the Supreme Court of Canada clarified nuisance. To prove nuisance, a claimant must establish that the defendant has caused substantial and unreasonable interference with the use or enjoyment of the claimant's land. The Court noted, at para. 19, that a substantial interference is one that is not trivial. The requirement for substantial interference is a threshold requirement. If the claimant establishes substantial interference, then the claimant must also establish that the interference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Court confirmed, at para. 22, that the categories of nuisance are not closed. However, the interferences that are sufficient to ground a claim in nuisance are "only interferences that '</w:t>
      </w:r>
      <w:r>
        <w:rPr>
          <w:rFonts w:ascii="arial" w:eastAsia="arial" w:hAnsi="arial" w:cs="arial"/>
          <w:color w:val="000000"/>
          <w:sz w:val="20"/>
          <w:u w:val="single"/>
          <w:lang w:val="en-US" w:eastAsia="en-US" w:bidi="ar-SA"/>
        </w:rPr>
        <w:t>substantially</w:t>
      </w:r>
      <w:r>
        <w:rPr>
          <w:rFonts w:ascii="arial" w:eastAsia="arial" w:hAnsi="arial" w:cs="arial"/>
          <w:color w:val="000000"/>
          <w:sz w:val="20"/>
          <w:lang w:val="en-US" w:eastAsia="en-US" w:bidi="ar-SA"/>
        </w:rPr>
        <w:t xml:space="preserve"> alter the nature of the claimant's property itself' or interfere 'to a </w:t>
      </w:r>
      <w:r>
        <w:rPr>
          <w:rFonts w:ascii="arial" w:eastAsia="arial" w:hAnsi="arial" w:cs="arial"/>
          <w:color w:val="000000"/>
          <w:sz w:val="20"/>
          <w:u w:val="single"/>
          <w:lang w:val="en-US" w:eastAsia="en-US" w:bidi="ar-SA"/>
        </w:rPr>
        <w:t>significant</w:t>
      </w:r>
      <w:r>
        <w:rPr>
          <w:rFonts w:ascii="arial" w:eastAsia="arial" w:hAnsi="arial" w:cs="arial"/>
          <w:color w:val="000000"/>
          <w:sz w:val="20"/>
          <w:lang w:val="en-US" w:eastAsia="en-US" w:bidi="ar-SA"/>
        </w:rPr>
        <w:t xml:space="preserve"> extent with the actual use being made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Court goes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In referring to these statements I do not mean to suggest that there are firm categories of types of interference which determine whether an interference is or is not actionable, a point I will discuss in more detail later. Nuisance may take a variety of forms and may include not only actual physical damage to land but also interference with the health, comfort or convenience of the owner or occupier: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at pp. 1190-91. The point is not that there is a typology of actionable interferences; the point is rather that there is a threshold of seriousness that must be met before an interference is actionable.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 therefore find that a private nuisance cannot be established where the interference with property interests is not, at least, substantial. To justify compensation, however, the interference must also be unreasonable.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Court then deals with the issue of how reasonableness should be assessed when the interference is a result of actions being taken for the greater public good. A balancing exercise must be undertaken. The focus of the balancing exercise between private and public interests is whether the interference is such that it would be unreasonable for the claimant to suffer it without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Court, at para. 26, notes the factors courts have considered in determining whether the interference is reasonable, including the severity of the interference, the character of the neighbourhood, the frequency and duration of the interference, and the sensitivity of the claimant. The factors are not a checklist and the factors relevant to the particular case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Although the respondents assert that the arbitrator was correct in his application of law to the facts, it is apparent from the reasons that the arbitrator only considered nuisance to be made out if there was a tort to the land, not to the claimant as is set out in paragraph 137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"[n]uisance may take a variety of forms and may include not only actual physical damage to land but also interference with the health, comfort or convenience of the owner or occupier."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Accordingly, I have concluded that the arbitrator erred in law in limiting the nuisance to "a tort to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agree with the petitioner that the arbitrator made contradictory findings. In paragraph 137, the arbitrator finds the actions of the Branch in requiring archaeological work and permits to disturb the site for the purpose "cannot be said to have caused physical injury to the land or interfered with its enjoyment," and then in paragraph 138, states that "[i]t is impossible to grant a permit to disturb a heritage site and avoid at the same time, an injury or interference with the land, the subject of the permit." In my view, the arbitrator should have given effect to that impossibility in deciding whether the actions of the Branch officials interfered with the petitioner's enjoyment of her property. The failure to do so was an error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respondents assert that there was no substantial interference because the interference is not permanent. However, the respondents have provided no authority for that proposition. Certainly there are many situations in which nuisance has been found where the interference with the use or enjoyment of the land is not permanent. As noted in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at para. 26, the frequency and duration of the interference may be a relevant factor to consider in some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clear from the facts found by the arbitrator that the interference with the petitioner's use and enjoyment of the land was substantial in that it did not allow her to use the land for almost a year and has put her to a great deal of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respondents argued that the interference could not be nuisance because the petitioner authorized the archaeologists to undertake the inspection and investigation, and that the only reason the inspection and investigation were required was because the petitioner wanted to undertake works on her land. However, the arbitrator found that the Branch required the petitioner to undertake the work as a precondition to obtaining a site alteration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There is evidence that the value of the land has been impacted by the requirement that a site alteration permit has to be obtained prior to work being undertaken on it. In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The Queen v. Loiselle</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[1962] S.C.R. 624</w:t>
        </w:r>
      </w:hyperlink>
      <w:r>
        <w:rPr>
          <w:rFonts w:ascii="arial" w:eastAsia="arial" w:hAnsi="arial" w:cs="arial"/>
          <w:color w:val="000000"/>
          <w:sz w:val="20"/>
          <w:lang w:val="en-US" w:eastAsia="en-US" w:bidi="ar-SA"/>
        </w:rPr>
        <w:t xml:space="preserve">, nuisance was found in circumstances where the interference resulted in a loss of value to the claimant's land. In my view, the respondents' argument that the petitioner consented to the interference, and therefore has no actionable claim in nuisance, does not take into account several facts. The petitioner had no choice, and made the applications, and did the work under protest. Another fact that the argument ignores is that the requirement for a site alteration permit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any work on the site reduces the value of the property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Much of the respondents' argument centered on the fact that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did not specifically state that the interference could be indirect. However, it is apparent from reading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that the question to be determined is whether the interference complained of is substantial and unreasonable, not whether it is direct as argued by the respondents. In my view,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does not stand for the proposition that in order to be nuisance the interference has to be direct interference and cannot be indirect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Having reached the conclusion that nuisance was not made out because the interference complained of was not a tort to land, although it may have been a tort to the petitioner, the arbitrator did not go any further to determine whether the interference with the petitioner's enjoyment and use of the property was substantial and unreasonable. As a result, the arbitrator did not undertake the balancing exercise set out in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respondents argue that the arbitrator did undertake a balancing exercise in the Award, and point to the fact that the arbitrator found that members of the Branch acted reasonably. However, as noted in para. 28 of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the focus in nuisance is on whether the</w:t>
      </w:r>
      <w:r>
        <w:rPr>
          <w:rFonts w:ascii="arial" w:eastAsia="arial" w:hAnsi="arial" w:cs="arial"/>
          <w:i/>
          <w:color w:val="000000"/>
          <w:sz w:val="20"/>
          <w:lang w:val="en-US" w:eastAsia="en-US" w:bidi="ar-SA"/>
        </w:rPr>
        <w:t xml:space="preserve"> interference suffered by the claimant</w:t>
      </w:r>
      <w:r>
        <w:rPr>
          <w:rFonts w:ascii="arial" w:eastAsia="arial" w:hAnsi="arial" w:cs="arial"/>
          <w:color w:val="000000"/>
          <w:sz w:val="20"/>
          <w:lang w:val="en-US" w:eastAsia="en-US" w:bidi="ar-SA"/>
        </w:rPr>
        <w:t xml:space="preserve"> is unreasonable, not on whether</w:t>
      </w:r>
      <w:r>
        <w:rPr>
          <w:rFonts w:ascii="arial" w:eastAsia="arial" w:hAnsi="arial" w:cs="arial"/>
          <w:i/>
          <w:color w:val="000000"/>
          <w:sz w:val="20"/>
          <w:lang w:val="en-US" w:eastAsia="en-US" w:bidi="ar-SA"/>
        </w:rPr>
        <w:t xml:space="preserve"> the nature of the defendant's conduct</w:t>
      </w:r>
      <w:r>
        <w:rPr>
          <w:rFonts w:ascii="arial" w:eastAsia="arial" w:hAnsi="arial" w:cs="arial"/>
          <w:color w:val="000000"/>
          <w:sz w:val="20"/>
          <w:lang w:val="en-US" w:eastAsia="en-US" w:bidi="ar-SA"/>
        </w:rPr>
        <w:t xml:space="preserve"> is unreasonable. ... The focus of the reasonableness analysis in private nuisance is on the character and extent of the interference with the claimant's land; the burden on the claimant is to show that the interference is substantial and unreasonable, not to show that the defendant's use of his or her land is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reasonableness of a defendant's conduct may be a relevant factor, but a finding of reasonable conduct will not in and of itself, preclude a finding of liability. Even when the defendant is a public authority, reasonableness is only one factor to be considered along with other relevant factors. As noted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Moreover, in the reasonableness analysis, the severity of the harm and the public utility of the impugned activity are not equally weighted considerations. If they were, an important public purpose would always override even very significant harm caused by carrying it out. As the editors of </w:t>
      </w:r>
      <w:r>
        <w:rPr>
          <w:rFonts w:ascii="arial" w:eastAsia="arial" w:hAnsi="arial" w:cs="arial"/>
          <w:i/>
          <w:color w:val="000000"/>
          <w:sz w:val="20"/>
          <w:lang w:val="en-US" w:eastAsia="en-US" w:bidi="ar-SA"/>
        </w:rPr>
        <w:t>Fleming's The Law of Torts</w:t>
      </w:r>
      <w:r>
        <w:rPr>
          <w:rFonts w:ascii="arial" w:eastAsia="arial" w:hAnsi="arial" w:cs="arial"/>
          <w:color w:val="000000"/>
          <w:sz w:val="20"/>
          <w:lang w:val="en-US" w:eastAsia="en-US" w:bidi="ar-SA"/>
        </w:rPr>
        <w:t xml:space="preserve"> put it, the utility consideration "must not be pushed too far... . [A] defendant cannot simply justify his infliction of great harm upon the plaintiff by urging that a greater benefit to the public at large has accrued from his conduct": s. 21.110. The words of McIntyre J.A. in </w:t>
      </w:r>
      <w:r>
        <w:rPr>
          <w:rFonts w:ascii="arial" w:eastAsia="arial" w:hAnsi="arial" w:cs="arial"/>
          <w:i/>
          <w:color w:val="000000"/>
          <w:sz w:val="20"/>
          <w:lang w:val="en-US" w:eastAsia="en-US" w:bidi="ar-SA"/>
        </w:rPr>
        <w:t>Royal Anne Hotel</w:t>
      </w:r>
      <w:r>
        <w:rPr>
          <w:rFonts w:ascii="arial" w:eastAsia="arial" w:hAnsi="arial" w:cs="arial"/>
          <w:color w:val="000000"/>
          <w:sz w:val="20"/>
          <w:lang w:val="en-US" w:eastAsia="en-US" w:bidi="ar-SA"/>
        </w:rPr>
        <w:t xml:space="preserve"> are apposite: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no reason why a disproportionate share of the cost of such a beneficial service should be visited upon one member of the community by leaving him uncompensated for damage caused by the existence of that which benefits the community at large. [p. 761]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After discussing the case law, the Court in </w:t>
      </w:r>
      <w:r>
        <w:rPr>
          <w:rFonts w:ascii="arial" w:eastAsia="arial" w:hAnsi="arial" w:cs="arial"/>
          <w:i/>
          <w:color w:val="000000"/>
          <w:sz w:val="20"/>
          <w:lang w:val="en-US" w:eastAsia="en-US" w:bidi="ar-SA"/>
        </w:rPr>
        <w:t>Antrim</w:t>
      </w:r>
      <w:r>
        <w:rPr>
          <w:rFonts w:ascii="arial" w:eastAsia="arial" w:hAnsi="arial" w:cs="arial"/>
          <w:color w:val="000000"/>
          <w:sz w:val="20"/>
          <w:lang w:val="en-US" w:eastAsia="en-US" w:bidi="ar-SA"/>
        </w:rPr>
        <w:t xml:space="preserve"> stated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not every substantial interference arising from a public work will be unreasonable. The reasonableness analysis should favour the public authority where the harm to property interests, considered in light of its severity, the nature of the neighbourhood, its duration, the sensitivity of the plaintiff and other relevant factors, is such that the harm cannot reasonably be viewed as more than the claimant's fair share of the costs associated with providing a public benefit.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noted earlier, the arbitrator found that it was impossible to grant a permit to disturb a heritage site without causing injury to or interference with the land which is the subject of the permit. In my view, it is clear from the Award that the arbitrator did not undertake the requisite balancing exercise. He did not determine whether the interference was unreasonable by balancing the gravity of the harm to the petitioner against the utility of the respondents' conduct in all of the circumstances. The arbitrator's task was to determine, having regard to all of the circumstances, if it was unreasonable to require the petitioner to suffer the interference without compensation. In my opinion the arbitrator failed to consider the relevant factors in this case, such as whether it is reasonable to require the petitioner to pay more than her fair share of the costs associated with providing a public benefit, being the collection and preservation of artifacts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For the above reasons I have concluded that the answer to the first question is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turn to the second question: did the arbitrator err in law in finding that the Branch had the statutory authority to require the petitioner, in the manner it did, to engage at her expense archaeologists to conduct a heritage inspection and a heritage investigation on her property and to obtain permits under s. 14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those purposes, as preconditions to granting her a site alteration permit under s. 122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Statutory authority provides a limited defence to a claim of nuisance, in that where the interference is authorized by statute, a nuisance will not be actionable if it results in the least injury to the land or the least interference with use of the land necessary to achieve the purpose for which the interference was authorized. If the statute does not authorize the nuisance, it is not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Section 13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prohibits the damage, excavation, digging in or alteration of a site that contains artifacts; however, the Branch may authorize these kinds of activities and issue permits under ss. 12 and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relevant portions of those sections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(1) In this section, except subsection (6), and in sections 3 (4), 13 (4), 14 (2) and (4) and 32, "minister" includes a person authorized in writing by the minister for the purposes of the section.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a permit authorizing an action referred to in section 13, or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 to issue a permit for an action that, in the opinion of the minister, would be inconsistent with the purpose of the heritage protection of the property.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permit issued under subsection (2) (a) may include requirements, specifications and conditions that the minister considers appropriate and, without limiting the generality of this, the permit may</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 limited to a specified period of time or to a specified location,</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the holder of the permit to consult with or obtain the consent of one or more parties whose heritage the property represents or may represent,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the holder of the permit to provide the minister with reports satisfactory to the minister,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 a repository for heritage objects that are removed from the heritage property.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any other enactment, a permit issued under subsection (2) (a) may specify the siting, dimensions, form, exterior design and finish of new construction or renovations to a building or structure.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with the concurrence of the holder of the permit, amend, suspend or cancel a permit issued under subsection (2)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(1) A person must not excavate or otherwise alter land for the purpose of archaeological research or searching for artifacts of aboriginal origin except under a permit or order issued under this section.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by permit, authorize a heritage inspection or heritage investigation of any property.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permit issued under subsection (2) does not authorize entry onto land or into a building without the permission of the owner or occupier.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order that a heritage inspection or heritage investigation be conducted if the minister considers that any one or more of the following apply:</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land may contain a heritage site or heritage object protected under section 13;</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land that may have heritage value, or that may include a heritage site or heritage object, may be subject to subdivision;</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may be subject to alienation from government ownership;</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that may have heritage value, or land that may include heritage property, may be subject to alteration by natural or human causes;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object that may have heritage value may be subject to removal from British Columbia.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provisions of section 12 (2), (2.1), (2.2), (3), (5) and (6) apply to permits and orders under this section.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heritage inspection or heritage investigation ordered under subsection (4)</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state the purpose of the heritage inspection or heritage investigation,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specify how long the order is to remain in effect,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require that the heritage inspection or heritage investigation be carried out in an expeditious manner,</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provide that property covered by the order is subject to protection under section 13 while the order remains in effect,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require the owner to undertake actions to preserve the integrity and condition of property covered by the order while the order remains in effect,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include any terms, conditions or specifications that the minister considers appropriate for the purpose of the heritage investigation.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order for a heritage inspection or heritage investigation made under subsection (4) relates to</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alienation of government owned property,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work authorized to be undertaken under an Act,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extraction or harvesting of resources from land,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subdivision of land, 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in use or development of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minister may require the person purchasing, subdividing, developing or using the property to undertake or pay for the heritage inspection or heritage 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whose property is damaged during the course of a heritage inspection or heritage investigation ordered under subsection (4) is entitled to have the damage repaired at the expense of the government or, if the damage cannot be repaired, to compensation from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respondents take the position that the arbitrator did not make an error in law in finding that in any event the actions of the Branch did not constitute nuisance because they were directly authorized by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petitioner's aim was to build a new house on the property, not to undertake archaeological research. The provisions under s. 12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were therefore the applicable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is no express provision in s. 12 allowing the Branch to impose as a condition of a site alteration permit that a heritage inspection or investigation be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are three options available to the Branch when an owner applies for a s. 12 permit: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grant the permit without requirements or specifications;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grant a permit with requirements and specifications; or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refuse the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arbitrator discussed the statutory authority of the Branch under s. 12 in the Award, stating:</w:t>
      </w:r>
      <w:r>
        <w:rPr>
          <w:rFonts w:ascii="arial" w:eastAsia="arial" w:hAnsi="arial" w:cs="arial"/>
          <w:sz w:val="20"/>
          <w:lang w:val="en-US" w:eastAsia="en-US" w:bidi="ar-SA"/>
        </w:rPr>
        <w:cr/>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express provision in section 12(3) allowing the Branch to impose as a condition that a Heritage Inspection and/or a Heritage Investigation be first undertaken by a professional archaeologist at the cost of the person applying for a Site Alteration Permit.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absence of such a provision it is plain that the Branch has the power to decline to issue a permit under section 12 unless an assessment is made of its site, its heritage value and the potential impact of the proposed development upon it. Without it the Branch may have no means of knowing whether the property in fact contains heritage objects or human remains and thus be a protected site nor what impact a proposed development may have. Such an assessment may be cursory and not involve an Archaeological Impact Assessment by a professional archaeologist. But to require a thorough inspection by a professional archaeologist as a precondition of issuing a Site Alteration Permit is, I conclude, within the power of the Branch under the Act.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plain that if an Archaeological Impact Assessment reveals the existence and extent of a heritage site and assesses the impact upon it by a proposed development, then the Branch has the power to decline to issue a Site Alteration Permit until a redesign avoids, or some other measures mitigate, the impact to the site.</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Branch may require mitigative measures to be taken before issuing a Site Alteration permit, or it may require mitigative measures as a condition of the permit.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preconstruction mitigating measures are necessary then they can only be authorized by issuing a Heritage Investigation Permit.</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conclude that requiring a Heritage Investigation as a precondition of issuing a Site Alteration Permit is within the powers of the Branch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is clear from reading the Award that the arbitrator inferred from the Branch's ability to impose conditions or to refuse a s. 12 permit that it could require a property owner to authorize and pay for a heritage inspection and/or heritage investigation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However, s. 14 specifically provides the authority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order a heritage inspection or a heritage permit, not s. 12. Section 14 sets out a scheme under which the Minister, or his or her delegate, may order a heritage site inspection or a heritage site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Section 14(4) provides that the Minister can order a heritage inspection or a heritage investigation in certain specified circumstances. In those cases, the property owner must allow archaeological work to proceed on the property, but there is no requirement the owner pay for the work. Section 14(7) provides the Minister (not his or her delegate) may require the owner to pay for the work. No Ministerial order was made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Celgene Corp. v. Canada (Attorney General)</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2011 SCC 1</w:t>
        </w:r>
      </w:hyperlink>
      <w:r>
        <w:rPr>
          <w:rFonts w:ascii="arial" w:eastAsia="arial" w:hAnsi="arial" w:cs="arial"/>
          <w:color w:val="000000"/>
          <w:sz w:val="20"/>
          <w:lang w:val="en-US" w:eastAsia="en-US" w:bidi="ar-SA"/>
        </w:rPr>
        <w:t>, the Supreme Court of Canada discussed the principles of statutory interpretation and adopted the following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parties both relied on the approach used in </w:t>
      </w:r>
      <w:r>
        <w:rPr>
          <w:rFonts w:ascii="arial" w:eastAsia="arial" w:hAnsi="arial" w:cs="arial"/>
          <w:i/>
          <w:color w:val="000000"/>
          <w:sz w:val="20"/>
          <w:lang w:val="en-US" w:eastAsia="en-US" w:bidi="ar-SA"/>
        </w:rPr>
        <w:t>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Trustco Mortgage Co. v. Canada</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2005 SCC 54</w:t>
        </w:r>
      </w:hyperlink>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[2005] 2 S.C.R. 601</w:t>
        </w:r>
      </w:hyperlink>
      <w:r>
        <w:rPr>
          <w:rFonts w:ascii="arial" w:eastAsia="arial" w:hAnsi="arial" w:cs="arial"/>
          <w:color w:val="000000"/>
          <w:sz w:val="20"/>
          <w:lang w:val="en-US" w:eastAsia="en-US" w:bidi="ar-SA"/>
        </w:rPr>
        <w:t>, at para. 10, which confirmed that statutory interpretation involves a consideration of the ordinary meaning of the words used and the statutory context in which they are found: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has been long established as a matter of statutory interpretation that "the words of an Act are to be read in their entire context and in their grammatical and ordinary sense harmoniously with the scheme of the Act, the object of the Act, and the intention of Parliament": see</w:t>
      </w:r>
      <w:r>
        <w:rPr>
          <w:rFonts w:ascii="arial" w:eastAsia="arial" w:hAnsi="arial" w:cs="arial"/>
          <w:i/>
          <w:color w:val="000000"/>
          <w:sz w:val="20"/>
          <w:lang w:val="en-US" w:eastAsia="en-US" w:bidi="ar-SA"/>
        </w:rPr>
        <w:t xml:space="preserve"> 65302 British Columbia Ltd. v. Canada</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[1999] 3 S.C.R. 804</w:t>
        </w:r>
      </w:hyperlink>
      <w:r>
        <w:rPr>
          <w:rFonts w:ascii="arial" w:eastAsia="arial" w:hAnsi="arial" w:cs="arial"/>
          <w:color w:val="000000"/>
          <w:sz w:val="20"/>
          <w:lang w:val="en-US" w:eastAsia="en-US" w:bidi="ar-SA"/>
        </w:rPr>
        <w:t>, at para. 50. The interpretation of a statutory provision must be made according to a textual, contextual and purposive analysis to find a meaning that is harmonious with the Act as a whole. When the words of a provision are precise and unequivocal, the ordinary meaning of the words play a dominant role in the interpretive process. On the other hand, where the words can [page13] support more than one reasonable meaning, the ordinary meaning of the words plays a lesser role. The relative effects of ordinary meaning, context and purpose on the interpretive process may vary, but in all cases the court must seek to read the provisions of an Act as a harmonious whole.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words, if clear, will dominate; if not, they yield to an interpretation that best meets the overriding purpose of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Courts have taken the position that any statutory provisions authorizing the invasion or interference with private property rights should be strictly construed and in the case of ambiguity, should be interpreted in favour of the citizen: </w:t>
      </w:r>
      <w:r>
        <w:rPr>
          <w:rFonts w:ascii="arial" w:eastAsia="arial" w:hAnsi="arial" w:cs="arial"/>
          <w:i/>
          <w:color w:val="000000"/>
          <w:sz w:val="20"/>
          <w:lang w:val="en-US" w:eastAsia="en-US" w:bidi="ar-SA"/>
        </w:rPr>
        <w:t>Colet v. The Queen</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[1981] 1 S.C.R. 2</w:t>
        </w:r>
      </w:hyperlink>
      <w:r>
        <w:rPr>
          <w:rFonts w:ascii="arial" w:eastAsia="arial" w:hAnsi="arial" w:cs="arial"/>
          <w:color w:val="000000"/>
          <w:sz w:val="20"/>
          <w:lang w:val="en-US" w:eastAsia="en-US" w:bidi="ar-SA"/>
        </w:rPr>
        <w:t xml:space="preserve"> at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As well,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must be read in conjunction with s. 23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which provides that title to property is clear unless one of the listed interests in s. 23(2)(a) to (j) is registered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agree with the petitioner that given the specific provision in s. 14(7) permitting the Minister to order an owner to pay for a heritage investigation and/or heritage inspection in specified circumstances, it is inappropriate to infer that the ability of the Branch to impose conditions or refuse a permit under s. 12 meant that the Branch officials could require the petitioner to undertake a thorough investigation or heritage inspection at her own expense as a precondition to the permit. Section 12(1) does not allow the Minister to delegate the authority under s. 14(7) to make an order requiring a person to pay for a heritage investigation or a heritage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Kitkatla Band v. British Columbia (Small Business, Tourism and Culture)</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2000 BCCA 42</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seeks to strike a balance between competing interests. That was echoed by the Supreme Court of Canada in </w:t>
      </w:r>
      <w:r>
        <w:rPr>
          <w:rFonts w:ascii="arial" w:eastAsia="arial" w:hAnsi="arial" w:cs="arial"/>
          <w:i/>
          <w:color w:val="000000"/>
          <w:sz w:val="20"/>
          <w:lang w:val="en-US" w:eastAsia="en-US" w:bidi="ar-SA"/>
        </w:rPr>
        <w:t>Kitkatla Band v. British Columbia (Small Business, Tourism and Culture)</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2002 SCC 31</w:t>
        </w:r>
      </w:hyperlink>
      <w:r>
        <w:rPr>
          <w:rFonts w:ascii="arial" w:eastAsia="arial" w:hAnsi="arial" w:cs="arial"/>
          <w:color w:val="000000"/>
          <w:sz w:val="20"/>
          <w:lang w:val="en-US" w:eastAsia="en-US" w:bidi="ar-SA"/>
        </w:rPr>
        <w:t xml:space="preserve">, where the Court commented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attempts to balance the heritage value of a particular site or object against other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It is clear from a review of the whole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where the legislature wished to impose the costs of a heritage inspection or a heritage investigation on citizens, it did so expressly. As stated earlier, the Minister is empowered to make an order that a person pay for a heritage inspection or a heritage investigation in certain circumstances under s. 14(7). The only subsection that has possible relevance is s. 14(7)(e): change in use or development of the land. Leaving aside the issue of whether replacing one single family home with another on virtually the same footprint was either a change in use or a development of the land, no Ministerial order was made in this case ordering the petitioner to pay for heritage inspection and/or investigation. There is no other provision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none in s. 12, providing authority to Branch officials to require a heritage inspection or heritage investigation be done at the expense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a result, I have concluded that the Branch officials had no statutory authority to require the petitioner to pay for a heritage inspection or heritage investigation under any circumstances. In requiring the petitioner to do so, they exceeded their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For the reasons set out above, I have concluded the answer to the second question is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the judicial review the petitioner seeks a declaration that the respondents do not have statutory authority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order a property owner to obtain and pay for a s. 14 heritage inspection and a s. 14 heritage investigation as preconditions to granting a site alteration permit under s. 12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Although the petitioner states that the judicial review is not just related to past conduct but also relates to subsequent assertion of statutory authority which is ongoing, there is no order or decision in place that the petitioner seeks to have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relevant provisions of the </w:t>
      </w:r>
      <w:r>
        <w:rPr>
          <w:rFonts w:ascii="arial" w:eastAsia="arial" w:hAnsi="arial" w:cs="arial"/>
          <w:i/>
          <w:color w:val="000000"/>
          <w:sz w:val="20"/>
          <w:lang w:val="en-US" w:eastAsia="en-US" w:bidi="ar-SA"/>
        </w:rPr>
        <w:t>Judicial Review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On an application for judicial review, the court may grant any relief that the applicant would be entitled to in any one or more of the proceedings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or injunction, or both, in relation to the exercise, refusal to exercise, or proposed or purported exercise, of a statutory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One of the respondents is the Minister of Forests, Lands and Natural Resources Operations. As stated above, the Minister and his or her delegates have the authority to order a heritage inspection and a heritage investigation under s. 14(4)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the Minister has the authority to order a person to pay for the inspection and the investigation in certain circumstances under s. 14(7). Given there has been no Ministerial order, there is no decision in that regard to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Insofar as the petitioner's complaint is that there is no statutory authority for the Branch officials to require her to pay for a site inspection and site investigation in 2007 and 2008, those are the very issues being dealt with by the arbitrator by agreement between the parties. In my view, it is an abuse of process for the petitioner to bring this petition based on the same facts and seeking in essence the same relief, as she is before the arbitrator, which she has appealed. In fact, the argument the petitioner presented on the judicial review was identical to the argument she presented on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(Workers' Compensation Board) v. Figliola</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2011 SCC 52</w:t>
        </w:r>
      </w:hyperlink>
      <w:r>
        <w:rPr>
          <w:rFonts w:ascii="arial" w:eastAsia="arial" w:hAnsi="arial" w:cs="arial"/>
          <w:color w:val="000000"/>
          <w:sz w:val="20"/>
          <w:lang w:val="en-US" w:eastAsia="en-US" w:bidi="ar-SA"/>
        </w:rPr>
        <w:t xml:space="preserve">, the Court discussed the doctrines of issue estoppel,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abuse of process and the rule against collateral attack, and summarized them as follows at paras. 34-36: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At their heart, the foregoing doctrines exist to prevent unfairness by preventing "abuse of the decision-making process"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at para. 20; see also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[2004] 1 S.C.R. 629</w:t>
        </w:r>
      </w:hyperlink>
      <w:r>
        <w:rPr>
          <w:rFonts w:ascii="arial" w:eastAsia="arial" w:hAnsi="arial" w:cs="arial"/>
          <w:color w:val="000000"/>
          <w:sz w:val="20"/>
          <w:lang w:val="en-US" w:eastAsia="en-US" w:bidi="ar-SA"/>
        </w:rPr>
        <w:t xml:space="preserve">, at para. 72, and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at para. 37). Their common underlying principles can be summarized as follows:</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in the interests of the public and the parties that the finality of a decision can be relied on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Boucher</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[2005] 3 S.C.R. 279</w:t>
        </w:r>
      </w:hyperlink>
      <w:r>
        <w:rPr>
          <w:rFonts w:ascii="arial" w:eastAsia="arial" w:hAnsi="arial" w:cs="arial"/>
          <w:color w:val="000000"/>
          <w:sz w:val="20"/>
          <w:lang w:val="en-US" w:eastAsia="en-US" w:bidi="ar-SA"/>
        </w:rPr>
        <w:t>, at para. 35).</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Respect for the finality of a judicial or administrative decision increases fairness and the integrity of the courts, administrative tribunals and the administration of justice; on the other hand, relitigation of issues that have been previously decided in an appropriate forum may undermine confidence in this fairness [page441] and integrity by creating inconsistent results and unnecessarily duplicative proceedings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at paras. 38 and 51).</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 of challenging the validity or correctness of a judicial or administrative decision should be through the appeal or judicial review mechanisms that are intended by the legislature (</w:t>
      </w:r>
      <w:r>
        <w:rPr>
          <w:rFonts w:ascii="arial" w:eastAsia="arial" w:hAnsi="arial" w:cs="arial"/>
          <w:i/>
          <w:color w:val="000000"/>
          <w:sz w:val="20"/>
          <w:lang w:val="en-US" w:eastAsia="en-US" w:bidi="ar-SA"/>
        </w:rPr>
        <w:t>Boucher</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at para. 74).</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Parties should not circumvent the appropriate review mechanism by using other forums to challenge a judicial or administrative decision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[2010] 3 S.C.R. 585</w:t>
        </w:r>
      </w:hyperlink>
      <w:r>
        <w:rPr>
          <w:rFonts w:ascii="arial" w:eastAsia="arial" w:hAnsi="arial" w:cs="arial"/>
          <w:color w:val="000000"/>
          <w:sz w:val="20"/>
          <w:lang w:val="en-US" w:eastAsia="en-US" w:bidi="ar-SA"/>
        </w:rPr>
        <w:t xml:space="preserve">, at para. 61; </w:t>
      </w:r>
      <w:r>
        <w:rPr>
          <w:rFonts w:ascii="arial" w:eastAsia="arial" w:hAnsi="arial" w:cs="arial"/>
          <w:i/>
          <w:color w:val="000000"/>
          <w:sz w:val="20"/>
          <w:lang w:val="en-US" w:eastAsia="en-US" w:bidi="ar-SA"/>
        </w:rPr>
        <w:t>Boucher</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at para. 72).</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Avoiding unnecessary relitigation avoids an unnecessary expenditure of resources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at paras. 37 and 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These are the principles which underlie s. 27(1)(f). Singly and together, they are a rebuke to the theory that access to justice means serial access to multiple forums, or that more adjudication necessarily means more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Read as a whole, s. 27(1)(f) does not codify the actual doctrines or their technical explications, it embraces their underlying principles in pursuit of finality, fairness, and the integrity of the justice system by preventing unnecessary inconsistency, multiplicity and delay. That means the Tribunal should be guided less by precise doctrinal catechisms and more by the goals of the fairness of finality in decision-making and the avoidance of the relitigation of issues already decided by a decision-maker with the authority to resolve them. Justice is enhanced by protecting the expectation that parties will not be subjected to the relitigation in a different forum of matters they thought had been conclusively resolved. Forum shopping for a different and better result can be dressed up in many attractive adjectives, but fairness is not among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my view the judicial review, insofar as it deals with the authority of the Branch officials to require the petitioner to pay for the site inspection and investigation in 2007 and 2008, is an attempt to relitigate the issue the petitioner agreed would be heard by the arbitrator, and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Given that conclusion, along with the fact that there is no current order or decision to be reviewed, and the broad nature of the order being sought, I am of the view the judicial review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summary, the answers to the two questions of law on the appeal from the arbitrator, which are:</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arbitrator err in law in failing to apply the correct test necessary to establish nuisance, as articulated in paragraph 133 of his reasons, in concluding in paragraph 137 of his reasons that the actions of the Branch could not be said to have caused physical injury to the land or interfered with the petitioner's enjoyment of the property? and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nuisance is established, did the arbitrator err in law in finding that the Branch had the statutory authority to require the petitioner, in the manner it did, to engage at her expenses archaeologists to conduct a heritage inspection and a heritage investigation on her property and to obtain permits under s. 14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those purposes, as preconditions to granting her a site alteration permit under s. 122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petition for judicial review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petitioner is entitled to the costs of the appeal, and respondents are entitled to the costs of the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5"/>
          <w:headerReference w:type="default" r:id="rId776"/>
          <w:footerReference w:type="even" r:id="rId777"/>
          <w:footerReference w:type="default" r:id="rId778"/>
          <w:headerReference w:type="first" r:id="rId779"/>
          <w:footerReference w:type="first" r:id="rId7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1" w:history="1">
        <w:r>
          <w:rPr>
            <w:rFonts w:ascii="arial" w:eastAsia="arial" w:hAnsi="arial" w:cs="arial"/>
            <w:b/>
            <w:bCs/>
            <w:i/>
            <w:color w:val="0077CC"/>
            <w:kern w:val="32"/>
            <w:sz w:val="28"/>
            <w:szCs w:val="32"/>
            <w:u w:val="single"/>
            <w:shd w:val="clear" w:color="auto" w:fill="FFFFFF"/>
            <w:lang w:val="en-US" w:eastAsia="en-US" w:bidi="ar-SA"/>
          </w:rPr>
          <w:t>Pitt v. Holt, [2007] B.C.J. No. 2290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B.I. 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E062119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1555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162 A.C.W.S. (3d) 272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Aaron Sean Pitt, Plaintiff, and Sherri Louise Holt and William Arthur Holt,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5" w:name="Keywords_33"/>
      <w:bookmarkEnd w:id="235"/>
      <w:r>
        <w:rPr>
          <w:rFonts w:ascii="arial" w:eastAsia="arial" w:hAnsi="arial" w:cs="arial"/>
          <w:b/>
          <w:color w:val="000000"/>
          <w:sz w:val="20"/>
          <w:lang w:val="en-US" w:eastAsia="en-US" w:bidi="ar-SA"/>
        </w:rPr>
        <w:t>Civil procedure — Pleadings — Striking out pleadings or allegations — Grounds — Failure to disclose a cause of action or defence — False, frivolous, vexatious or an abuse of process — Res judicata — Application by the defendant daughter and father for summary judgment to dismiss the plaintiff's action against them allowed in part — Plaintiff and the daughter had been married — Father held a one-third interest in their matrimonial home — Plaintiff claimed that the father held his interest in trust for him and the daughter and the daughter made material misrepresentations to him — He also sought to set aside the separation agreement made with the daughter because it was unfair — There was no basis for the in-trust and misrepresentation claims and they were struck — Claim regarding the agreement was not struck — It had not been previously litigated and was not an abuse of process or was barred because of issue estoppel.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Disposition without trial — Dismissal of action — Action unfounded in law — Frivolous, vexatious or abuse of process — Application by the defendant daughter and father for summary judgment to dismiss the plaintiff's action against them allowed in part — Plaintiff and the daughter had been married — Father held a one-third interest in their matrimonial home — Plaintiff claimed that the father held his interest in trust for him and the daughter and the daughter made material misrepresentations to him — He also sought to set aside the separation agreement made with the daughter because it was unfair — There was no basis for the in-trust and misrepresentation claims and they were dismissed — Claim regarding the agreement was not dismissed — It had not been previously litigated and was not an abuse of process or was barred because of issue estoppel.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Judgments and orders — Summary judgments — To dismiss action — Application by the defendant daughter and father for summary judgment to dismiss the plaintiff's action against them allowed in part — Plaintiff and the daughter had been married — Father held a one-third interest in their matrimonial home — Plaintiff claimed that the father held his interest in trust for him and the daughter and the daughter made material misrepresentations to him — He also sought to set aside the separation agreement made with the daughter because it was unfair — There was no basis for the in-trust and misrepresentation claims and they were dismissed — Claim regarding the agreement was not dismissed — It had not been previously litigated and was not an abuse of process or was barred because of issue estoppel.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Estoppel — Estoppel by record (res judicata) — Issue estoppel — Res judicata as a bar to subsequent proceedings — Application by the defendant daughter and father for summary judgment to dismiss the plaintiff's action against them allowed in part — Plaintiff and the daughter had been married — Father held a one-third interest in their matrimonial home — Plaintiff claimed that the father held his interest in trust for him and the daughter and the daughter made material misrepresentations to him — He also sought to set aside the separation agreement made with the daughter because it was unfair — There was no basis for the in-trust and misrepresentation claims and they were dismissed — Claim regarding the agreement was not dismissed — It had not been previously litigated and was not an abuse of process or was barred because of issue estoppel.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Costs — Security for costs — Application by the defendants for the plaintiff to provide security for costs dismissed — Plaintiff and the daughter had been married — Father held a one-third interest in their matrimonial home — Plaintiff claimed that the father held his interest in trust for him and the daughter and the daughter made material misrepresentations to him — He also sought to set aside the separation agreement made with the daughter because it was unfair — There was no basis for the in-trust and misrepresentation claims and they were dismissed — Claim regarding the agreement was not dismissed — It had not been previously litigated and was not an abuse of process or was barred because of issue estoppel — Since the agreement and the issue of the proper division of family assets had not been ruled upon this case was not an abuse of process and no basis existed to order security for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Family law — Separation agreements, domestic contracts and marriage contracts — Grounds for setting aside — Inequitable result — Application by the defendant daughter and father for summary judgment to dismiss the plaintiff's action against them allowed in part — Plaintiff and the daughter had been married — Father held a one-third interest in their matrimonial home — Plaintiff claimed that the father held his interest in trust for him and the daughter and the daughter made material misrepresentations to him — He also sought to set aside the separation agreement made with the daughter because it was unfair — There was no basis for the in-trust and misrepresentation claims and they were dismissed — Claim regarding the agreement was not dismissed — It had not been previously litigated and was not an abuse of process or was barred because of issue estoppel.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Application by the defendant daughter and father for summary judgment to dismiss the plaintiff's action against them allowed in part — Plaintiff and the daughter had been married — Father held a one-third interest in their matrimonial home — Plaintiff claimed that the father held his interest in trust for him and the daughter and the daughter made material misrepresentations to him — He also sought to set aside the separation agreement made with the daughter because it was unfair — There was no basis for the in-trust and misrepresentation claims and they were dismissed — Claim regarding the agreement was not dismissed — It had not been previously litigated and was not an abuse of process or was barred because of issue estoppel.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Wills, estates and trusts law — Trusts — Express trusts, creation — Application by the defendant daughter and father for summary judgment to dismiss the plaintiff's action against them allowed in part — Plaintiff and the daughter had been married — Father held a one-third interest in their matrimonial home — Plaintiff claimed that the father held his interest in trust for him and the daughter and the daughter made material misrepresentations to him — He also sought to set aside the separation agreement made with the daughter because it was unfair — There was no basis for the in-trust and misrepresentation claims and they were dismissed — Claim regarding the agreement was not dismissed — It had not been previously litigated and was not an abuse of process or was barred because of issue estoppel.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6" w:name="Case Summary_31"/>
            <w:bookmarkEnd w:id="2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Sherri Holt and William Holt for summary judgment to dismiss the action of Pitt against them -- They also sought security for costs -- Pitt and Sherri commenced cohabitation in October 1998 -- They married in July 1999 -- Sherri had two children from a previous relationship -- Sherri and Pitt had a child together who was born in December 1999 -- After that child was born they decided to buy a property as their matrimonial home -- Pitt's grandparents provided $25,000 as a downpayment -- William, who was Sherri's father, acted as co-signed under the mortgage loan and went on title with the parties as a one-third owner in joint tenancy -- Sherri and Pitt separated in April 2004 -- They entered into a separation agreement in June 2004 in which Pitt was to be paid $27,629 for his transfer to Sherri of his interest in the home -- Agreement made no provision for maintenance -- Sherri commenced child support proceedings against Pitt in February 2005 -- He was ordered to pay basic support for the two older children and extraordinary expenses for all three of the children -- Pitt commenced this action in June 2006 and sought an equal division of the family assets -- He claimed that William had no interest in the home and held title to a one-half interest in trust for him and Sherri -- Pitt also claimed that Sherri and William colluded to deprive him of his rightful interest in the property and that Sherri made material misrepresentations to him about William's interest so as to deprive him of his fair entitlement to the property -- He also sought to set aside the separation agreement -- Defendants claimed this particular claim was an abuse of process and was also barred by the doctrine of issue estoppel -- HELD: Application allowed in part -- Pitt understood that in that agreement he gave up his interest in the property -- Purchase agreement for the house made it clear that Sherri, Pitt and William purchased it as joint owners -- Pitt could not now claim through oral testimony that the purchase agreement was other than it stated -- He also did not attest to the existence of an agreement to create a trust -- Pitt's in trust claim was struck -- On his own admission no trust could exist in his favour since he agreed to transfer all of his right, title and interest in the property to Sherri pursuant to the separation agreement -- Misrepresentation claim was also struck -- Pitt admitted that he knew that the only misrepresentation that was made to him was false -- Thus, since he placed no reliance on it, this claim could not succeed -- However, Pitt was entitled to argue that the separation agreement was unfair and should be set aside -- This claim was not an abuse of process and issue estoppel did not apply for the fairness of that agreement was not determined in the child support proceedings because it was not an issue in that proceeding -- That proceeding only dealt with custody and child support -- Pitt would not therefore be relitigating factual claims made in the child support proceeding -- Defendants were not entitled to security for costs -- Court had jurisdiction to order security to be paid when the proceeding was an abuse of process -- This case was not an abuse of process because Pitt did not attempt to relitigate a claim that he had lost since the fairness of the separation agreement and the issue of the proper division of family assets had not yet been determined.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7" w:name="Counsel_33"/>
      <w:bookmarkEnd w:id="2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1"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B.L. Scheirer.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Sherri Louise Holt: J. Lewis.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William Holt: F. Lamer.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8" w:name="Judgment_32"/>
      <w:bookmarkEnd w:id="238"/>
      <w:r>
        <w:pict>
          <v:line id="_x0000_s1192" style="position:absolute;z-index:2517954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9" w:name="B.I. COHEN J."/>
            <w:bookmarkEnd w:id="239"/>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defendants for dismissal of the plaintiff's action pursuant to Rules 18 and 19(24)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on the grounds that the action is entirely without merit and an abuse of process, and in the alternative for security for costs based on the same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Aaron Sean Pitt ("Pitt") and the defendant Sherri Louise Holt ("Holt") began cohabitating in October 1998. They were married on July 31, 1999. Holt had two children from a previous relationship (Zevan and Shirai Feen). A third child (Trinity) was born of the relationship between the parties on December 18,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Following Trinity's birth, the parties decided to purchase a property at 253 East 27th Street, in North Vancouver (the "property") as their matrimonial home. Pitt's grandparents provided $25,000 as a down payment. The defendant William Arthur Holt ("William"), Holt's father, acted as a co-signer under the mortgage loan and went on title with the parties as a one-third owner of the property in joint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parties separated in April 2004. They entered into a separation agreement dated June 24, 2004 (the "separation agreement"). The separation agreement provides,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the sum of $27,629 was to be paid to Pitt in consideration for a transfer by him to Holt of all of his "interest, right and title to and in" the property. The parties made no provision for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February 2, 2005, Holt commenced proceedings in Provincial Court to compel payment of child maintenance. In her reasons for judgment Baird Ellan P.C.J. held that Pitt had acted in </w:t>
      </w:r>
      <w:r>
        <w:rPr>
          <w:rFonts w:ascii="arial" w:eastAsia="arial" w:hAnsi="arial" w:cs="arial"/>
          <w:i/>
          <w:color w:val="000000"/>
          <w:sz w:val="20"/>
          <w:lang w:val="en-US" w:eastAsia="en-US" w:bidi="ar-SA"/>
        </w:rPr>
        <w:t>loco parentis</w:t>
      </w:r>
      <w:r>
        <w:rPr>
          <w:rFonts w:ascii="arial" w:eastAsia="arial" w:hAnsi="arial" w:cs="arial"/>
          <w:color w:val="000000"/>
          <w:sz w:val="20"/>
          <w:lang w:val="en-US" w:eastAsia="en-US" w:bidi="ar-SA"/>
        </w:rPr>
        <w:t xml:space="preserve"> in relation to the children Zevan and Shirai Feen and that they were therefore considered to be his children for child support purposes. Pitt was found liable to pay child maintenance of $300 for these children, retroactive to February 1, 2005, and required to pay one-third of the extraordinary expenses for these children. No child maintenance was ordered for the child Trinity, but Pitt was ordered to pay one-half of the extraordinary expenses for this child (due to a joint custody order for this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Pitt commenced this action on June 16, 2006. He seeks an order for equal division of family assets. He alleges that William has no beneficial or other interest in the property and that he holds title to a one-half interest in the property in trust for and on behalf of the parties. He also alleges,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that Holt and William colluded to deprive him of his rightful interest in the property and that Holt made material misrepresentations to him respecting the interest of William in the property with the intention and effect of depriving him of his interest and fair entitlement to his share of the property. Pitt seeks relief under the </w:t>
      </w:r>
      <w:r>
        <w:rPr>
          <w:rFonts w:ascii="arial" w:eastAsia="arial" w:hAnsi="arial" w:cs="arial"/>
          <w:b/>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pursuant to s. 66, a determination of ownership, right of possession and division of property, including the vesting of property under s. 65 as may be appropriate under the circumstances; pursuant to s. 66, an order fixing the monetary sum to be paid by Holt and William to Pitt as compensation for the purpose of adjusting the division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January 23, 2007, Pitt testified in Provincial Court that he could not pay the extraordinary expenses and child support he had been ordered to pay because he had not been working since December 2006. He also testified that he could not pay extraordinary expenses for Trinity and that he was borrowing money to live. Baird Ellan P.C.J. stayed the retroactive child support and payment of the retroactive extraordinary expenses and arrears for one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Issues</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"in trust" claim against William be dismissed?</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Pitt's claim for misrepresentation be dismissed?</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Pitt's claim for an order setting aside the separation agreement be dismissed?</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Pitt's action an abuse of process?</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Pitt be ordered to post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Legal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defence brings this application pursuant to Rules 18(6) and 19(24)(b)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Rule 18(6)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in which an appearance has been entered, the defendant may, on the ground there is no merit in the whole or part of the claim, apply to the court for judgment on an affidavit setting out the facts verifying the defendant's contention that there is no merit in the whole or part of the claim and stating that the deponent knows of no facts which would substantiate the whole or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an application under Rule 18(6), the court may make an order for summary judgment in favour of a defendant dismissing an action only where a plaintiff is "bound to lose". Another way of stating the test is whether there is a bona fide triable issue to be determined: </w:t>
      </w:r>
      <w:r>
        <w:rPr>
          <w:rFonts w:ascii="arial" w:eastAsia="arial" w:hAnsi="arial" w:cs="arial"/>
          <w:b/>
          <w:i/>
          <w:color w:val="000000"/>
          <w:sz w:val="20"/>
          <w:lang w:val="en-US" w:eastAsia="en-US" w:bidi="ar-SA"/>
        </w:rPr>
        <w:t>Serup v. Board of Trustees of School District #57</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57 D.L.R. (4th) 261</w:t>
        </w:r>
      </w:hyperlink>
      <w:r>
        <w:rPr>
          <w:rFonts w:ascii="arial" w:eastAsia="arial" w:hAnsi="arial" w:cs="arial"/>
          <w:color w:val="000000"/>
          <w:sz w:val="20"/>
          <w:lang w:val="en-US" w:eastAsia="en-US" w:bidi="ar-SA"/>
        </w:rPr>
        <w:t xml:space="preserve"> at 264, </w:t>
      </w:r>
      <w:hyperlink r:id="rId783" w:history="1">
        <w:r>
          <w:rPr>
            <w:rFonts w:ascii="arial" w:eastAsia="arial" w:hAnsi="arial" w:cs="arial"/>
            <w:i/>
            <w:color w:val="0077CC"/>
            <w:sz w:val="20"/>
            <w:u w:val="single"/>
            <w:shd w:val="clear" w:color="auto" w:fill="FFFFFF"/>
            <w:lang w:val="en-US" w:eastAsia="en-US" w:bidi="ar-SA"/>
          </w:rPr>
          <w:t>54 B.C.L.R. (2d) 258</w:t>
        </w:r>
      </w:hyperlink>
      <w:r>
        <w:rPr>
          <w:rFonts w:ascii="arial" w:eastAsia="arial" w:hAnsi="arial" w:cs="arial"/>
          <w:color w:val="000000"/>
          <w:sz w:val="20"/>
          <w:lang w:val="en-US" w:eastAsia="en-US" w:bidi="ar-SA"/>
        </w:rPr>
        <w:t xml:space="preserve"> (C.A.). In </w:t>
      </w:r>
      <w:r>
        <w:rPr>
          <w:rFonts w:ascii="arial" w:eastAsia="arial" w:hAnsi="arial" w:cs="arial"/>
          <w:b/>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(c.o.b. Metro Ford)</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61 B.C.L.R. (4th) 241</w:t>
        </w:r>
      </w:hyperlink>
      <w:r>
        <w:rPr>
          <w:rFonts w:ascii="arial" w:eastAsia="arial" w:hAnsi="arial" w:cs="arial"/>
          <w:color w:val="000000"/>
          <w:sz w:val="20"/>
          <w:lang w:val="en-US" w:eastAsia="en-US" w:bidi="ar-SA"/>
        </w:rPr>
        <w:t>, Thackray J.A. at paras. 10-13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judge hearing an application pursuant to Rule 18(6) must: examine the pleaded facts to determine which causes of action they may support; identify the essential elements required to be proved at trial in order to succeed on each cause of action; and determine if sufficient material facts have been pleaded to support each element of a given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i/>
          <w:color w:val="000000"/>
          <w:sz w:val="20"/>
          <w:lang w:val="en-US" w:eastAsia="en-US" w:bidi="ar-SA"/>
        </w:rPr>
        <w:t>insufficient</w:t>
      </w:r>
      <w:r>
        <w:rPr>
          <w:rFonts w:ascii="arial" w:eastAsia="arial" w:hAnsi="arial" w:cs="arial"/>
          <w:color w:val="000000"/>
          <w:sz w:val="20"/>
          <w:lang w:val="en-US" w:eastAsia="en-US" w:bidi="ar-SA"/>
        </w:rPr>
        <w:t xml:space="preserve"> material facts have been pleaded to support every element of a cause of action, then beyond a doubt that cause of action is bound to fail and a defendant bringing an application pursuant to Rule 18(6) will have met the onus to negative the existence of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i/>
          <w:color w:val="000000"/>
          <w:sz w:val="20"/>
          <w:lang w:val="en-US" w:eastAsia="en-US" w:bidi="ar-SA"/>
        </w:rPr>
        <w:t>sufficient</w:t>
      </w:r>
      <w:r>
        <w:rPr>
          <w:rFonts w:ascii="arial" w:eastAsia="arial" w:hAnsi="arial" w:cs="arial"/>
          <w:color w:val="000000"/>
          <w:sz w:val="20"/>
          <w:lang w:val="en-US" w:eastAsia="en-US" w:bidi="ar-SA"/>
        </w:rPr>
        <w:t xml:space="preserve"> material facts have been pleaded to support every element of a cause of action, but one or more of those pleaded material facts are contested, then the judge ruling on a Rule 18(6) application is not to weigh the evidence to determine the issue of fact for the purpose of the application. The judge's function is limited to a determination as to whether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arises on the material before the court in the context of the applicable law. If a judge ruling on a Rule 18(6) application must assess and weigh the evidence to arrive at a summary judgment, the "plain and obvious" or "beyond a doubt" test has not been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as on the application in chambers, the question addressed in a Rule 18(6) application of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issue to be tried must be decided assuming that the uncontested material facts as pleaded by the plaintiff are true: </w:t>
      </w:r>
      <w:r>
        <w:rPr>
          <w:rFonts w:ascii="arial" w:eastAsia="arial" w:hAnsi="arial" w:cs="arial"/>
          <w:i/>
          <w:color w:val="000000"/>
          <w:sz w:val="20"/>
          <w:lang w:val="en-US" w:eastAsia="en-US" w:bidi="ar-SA"/>
        </w:rPr>
        <w:t>Van Den Akker v. Naudi,</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[1997] B.C.J. No. 1649</w:t>
        </w:r>
      </w:hyperlink>
      <w:r>
        <w:rPr>
          <w:rFonts w:ascii="arial" w:eastAsia="arial" w:hAnsi="arial" w:cs="arial"/>
          <w:color w:val="000000"/>
          <w:sz w:val="20"/>
          <w:lang w:val="en-US" w:eastAsia="en-US" w:bidi="ar-SA"/>
        </w:rPr>
        <w:t>, 1997 CarswellBC 1470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instant case, Pitt argues that the test provides a low hurdle and that there is no question but that there are bona fide triable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19(24)(b) and (d) provides: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 scandalous allegation will not be struck if it is relevant to the proceedings. A pleading is "unnecessary" or "vexatious" if it does not go to establishing the plaintiff's cause of action or does not advance a claim known in law. A pleading is "frivolous" if it is unsustainable because of the doctrine of estoppel: see </w:t>
      </w:r>
      <w:r>
        <w:rPr>
          <w:rFonts w:ascii="arial" w:eastAsia="arial" w:hAnsi="arial" w:cs="arial"/>
          <w:b/>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36 C.P.C. (4th) 266</w:t>
        </w:r>
      </w:hyperlink>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(QL) (S.C.)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applicability of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must be plain and obvious before a statement of claim will be struck out: see </w:t>
      </w:r>
      <w:r>
        <w:rPr>
          <w:rFonts w:ascii="arial" w:eastAsia="arial" w:hAnsi="arial" w:cs="arial"/>
          <w:b/>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 xml:space="preserve"> at 66, </w:t>
      </w:r>
      <w:hyperlink r:id="rId787" w:history="1">
        <w:r>
          <w:rPr>
            <w:rFonts w:ascii="arial" w:eastAsia="arial" w:hAnsi="arial" w:cs="arial"/>
            <w:i/>
            <w:color w:val="0077CC"/>
            <w:sz w:val="20"/>
            <w:u w:val="single"/>
            <w:shd w:val="clear" w:color="auto" w:fill="FFFFFF"/>
            <w:lang w:val="en-US" w:eastAsia="en-US" w:bidi="ar-SA"/>
          </w:rPr>
          <w:t>109 D.L.R. (3d) 729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Chapman v. Canada</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2003 BCCA 665</w:t>
        </w:r>
      </w:hyperlink>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21 B.C.L.R. (4th) 272</w:t>
        </w:r>
      </w:hyperlink>
      <w:r>
        <w:rPr>
          <w:rFonts w:ascii="arial" w:eastAsia="arial" w:hAnsi="arial" w:cs="arial"/>
          <w:color w:val="000000"/>
          <w:sz w:val="20"/>
          <w:lang w:val="en-US" w:eastAsia="en-US" w:bidi="ar-SA"/>
        </w:rPr>
        <w:t>, Saunders J.A. at paras. 12-14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criteria for application of all provisions of Rule 19(24) are established in authorities considered by the chambers judge: </w:t>
      </w:r>
      <w:r>
        <w:rPr>
          <w:rFonts w:ascii="arial" w:eastAsia="arial" w:hAnsi="arial" w:cs="arial"/>
          <w:i/>
          <w:color w:val="000000"/>
          <w:sz w:val="20"/>
          <w:lang w:val="en-US" w:eastAsia="en-US" w:bidi="ar-SA"/>
        </w:rPr>
        <w:t>Hunt v. T &amp; N plc,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World Wide Treasure Adventures Inc. v. Trivia Games Inc.</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(1996), 17 B.C.L.R. (3d) 187</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(1990), 48 B.C.L.R. (2d) 171</w:t>
        </w:r>
      </w:hyperlink>
      <w:r>
        <w:rPr>
          <w:rFonts w:ascii="arial" w:eastAsia="arial" w:hAnsi="arial" w:cs="arial"/>
          <w:color w:val="000000"/>
          <w:sz w:val="20"/>
          <w:lang w:val="en-US" w:eastAsia="en-US" w:bidi="ar-SA"/>
        </w:rPr>
        <w:t xml:space="preserve"> (B.C.C.A.). The test is whether it is plain and obvious that the impugned pleading has the fault alleged. Otherwise the party whose pleading is challenged is entitled to a trial of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orders in this case were made under Rule 19(24)(a) and (d). Thus in order to succeed the applicant is required to establish that it is plain and obvious that the pleadings disclose no cause of action (Rule 19(24)(a)) or that the proceedings are an abuse of process (Rule 19(24)(d)). Otherwise the litigation will be allowed to proceed.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an application under Rule 19(24)(a) for an order that the pleading discloses no reasonable claim, no evidence is permitted to be adduced (Rule 19(27)), and the matter must proceed on the pleading alone. Rule 19(24)(d), concerning abuse of process, on the other hand, may be considered with reference to evidence. As the concepts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collateral attack on a court order are both encompassed by the concept of abuse of process, evidence is permitted to be adduced on a Rule 19(24)(d) application as to the circumstances that are said to characterize the claim as abusive.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Pitt argues that there is nothing about his pleadings that would support an order for the striking of them or any part of them in this case. He asserts that his is an ordinary family law case seeking divorce and a division of family assets in circumstances in which there is an unfair separation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Clause 14(b) of the separation agreement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14(b) Forthwith upon execution of this agreement, the Wife shall purchase from the Husband, all interest, right, and title to and in the matrimonial home upon the following terms and conditions: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Pitt's position is that the property was purchased by him and Holt and that William was not entitled to any of the equity, having made no contributions to the property. He also asserts that the separation agreement was settled between the parties on the basis of factual and legal inaccuracies. He claims that it provided for the division of only one of the family assets, the property, on the basis of its assessed value for 2003 and on the basis that William has a one-third beneficial interest in the property. He says that no one knew what the property was actually worth as there was no appraisal. Therefore, he submits, the separation agreement is null and void and a proper division of family assets ought to be made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main thrust of Pitt's claim is that the separation agreement was signed by him without legal advice and that it is unfair. He contends that William went on the title of the property as a one-third owner only because he was required to do so by the bank as a co-signer. He insists that it was not the case that the parties would not have been able to purchase the property if it was not for William.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To establish that William holds his one-third interest in trust, Pitt refers to evidence from the examination for discovery of William. He testified that he did not contribute financially in any way to the property and when he was asked if he ever had any discussions with either Pitt or Holt about the nature of certain renovations they made to the property he replied, "No. It wasn't my business." He also testified, "My wife. We discussed it, and I said to Marilyn, 'you understand that we're putting ourselves on the line for this house for those kids?' At the time we thought everything was going to be rosy, you know, that things were going to progress. Aaron would-you know, they'd go forward and there wouldn't be a problem. And possibly somewhere down the road they would take on the new mortgage, the two of them, and I would get out with a little bit of compensation for tying myself up for those years, and that would be the end of it. As it happened, nothing like that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Pitt also refers to the examination for discovery testimony of Holt where she testified when asked whether she had any discussions with the bank, "No. They drew up the contract, and that's how it was signed. I'm not a bank specialist or a contract specialist. We were just buying our first home together." She was then asked, "'We' being you and Mr. Pitt?" and she answered, "With my father's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at his examination for discovery, Pitt admitted that he knew and understood that in the separation agreement he parted with any and all of his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then at paragraph 14(b), 14(a) was crossed off, and you can see your initials there. I'm sorry, AP. And then immediately at 14(b), there is the essence of the deal which is: "The payment to the husband/wife of the sum of $27,629." And then below that: "The above amount will be paid out as of August 31st, 2004, in full. Until such time, Aaron Sean Pitt will continue to pay mortgage for two months prior to the payout for a total of $1,655."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read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understood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There's nothing complicated with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understood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your evidence is you let go of your half of the matrimonial home;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$27,629?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Plus two mortgage payments?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Pitt also admitted that, two months later, he signed a form of transfer of his interest in the property to Holt and William.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effect, Pitt asserts that the arrangement between the parties is different from what was provided for in the purchase agreement. The purchase agreement provides that the parties and William will each be a one-third owner as joint tenants: the amendments necessary in order to add William as a purchaser were in fact initialled by Pitt. On this point, Pitt's discovery testimony is that he did not understand the purchase agreement to represent such an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what's fairly clear, though, is that you agreed that Mr. Pitt would have to be a third owner of the property?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Pitt?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Mr. Holt.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be honest, I didn't realize the significance of being on title. In my mind he was just a co-signer of the mortgage.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never in the relationship, the years I lived in the house, ever considered him to be an owner of the house in any way, shape or form. He was a guarantor of the mortgage.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didn't think he was going to purchase a one-third interest in the home. Is that what you're saying?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going to show you a contract of purchase and sale then dated, as best as I can make out, June 23rd, 2002. Do you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a contract of purchase and sale whereby you acquired an interest in the home?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LAMER: Let's mark that as Exhibit number 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EXHIBIT 2: Contract of purchase and sale dated June 23,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so I get it straight, you didn't really think that Mr. Holt would be an owner of the property?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if I look at this agreement of purchase and sale, it's in typed terms here. It says "Aaron Pitt";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there's a handwritten amendment with some initials on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see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take it one of these initials is yours?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there was a change in the contract: add Sherri Holt and William Holt as buyers?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it about that that you didn't understand?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knew that it was necessary for him to be on title for some reason, but I didn't consider him a buyer of the property. I just knew that he was helping us out to buy a home by having his name on there because we had such a weak portfolio that we couldn't get one on our own.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what you're saying, though, is -- I just want to get your evidence correctly. You're saying that adding Sherri Holt and William Holt beside the caption "buyer" didn't make them buyers of the property?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see it that way. All I know is we faxed him some mortgage documents, and he signed the mortgage documents so we could get our home.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the purchase agreement makes it plain that the parties and William were purchasing the property as joint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my opinion, Pitt cannot now claim through oral testimony that the purchase agreement was other than it states. Even assuming an ambiguity in an agreement, which I find there is not, the law is settled that a party cannot contradict through oral evidence the terms of a written document: see </w:t>
      </w:r>
      <w:r>
        <w:rPr>
          <w:rFonts w:ascii="arial" w:eastAsia="arial" w:hAnsi="arial" w:cs="arial"/>
          <w:b/>
          <w:i/>
          <w:color w:val="000000"/>
          <w:sz w:val="20"/>
          <w:lang w:val="en-US" w:eastAsia="en-US" w:bidi="ar-SA"/>
        </w:rPr>
        <w:t>Sultani v. Blenz the Canadian Coffee Co.</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2005 BCCA 578</w:t>
        </w:r>
      </w:hyperlink>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218 B.C.A.C. 288</w:t>
        </w:r>
      </w:hyperlink>
      <w:r>
        <w:rPr>
          <w:rFonts w:ascii="arial" w:eastAsia="arial" w:hAnsi="arial" w:cs="arial"/>
          <w:color w:val="000000"/>
          <w:sz w:val="20"/>
          <w:lang w:val="en-US" w:eastAsia="en-US" w:bidi="ar-SA"/>
        </w:rPr>
        <w:t xml:space="preserve">. Moreover, evidence of a party's subjective understanding of an agreement is irrelevant and inadmissible in aid of the interpretation of contractual provisions: see </w:t>
      </w:r>
      <w:r>
        <w:rPr>
          <w:rFonts w:ascii="arial" w:eastAsia="arial" w:hAnsi="arial" w:cs="arial"/>
          <w:b/>
          <w:i/>
          <w:color w:val="000000"/>
          <w:sz w:val="20"/>
          <w:lang w:val="en-US" w:eastAsia="en-US" w:bidi="ar-SA"/>
        </w:rPr>
        <w:t>Carter v. Sigmund</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(1996), 75 B.C.A.C. 93</w:t>
        </w:r>
      </w:hyperlink>
      <w:r>
        <w:rPr>
          <w:rFonts w:ascii="arial" w:eastAsia="arial" w:hAnsi="arial" w:cs="arial"/>
          <w:color w:val="000000"/>
          <w:sz w:val="20"/>
          <w:lang w:val="en-US" w:eastAsia="en-US" w:bidi="ar-SA"/>
        </w:rPr>
        <w:t xml:space="preserve">, 123 W.A.C. 93 (B.C.C.A.), at paras. 11 and 14; </w:t>
      </w:r>
      <w:r>
        <w:rPr>
          <w:rFonts w:ascii="arial" w:eastAsia="arial" w:hAnsi="arial" w:cs="arial"/>
          <w:b/>
          <w:i/>
          <w:color w:val="000000"/>
          <w:sz w:val="20"/>
          <w:lang w:val="en-US" w:eastAsia="en-US" w:bidi="ar-SA"/>
        </w:rPr>
        <w:t>MacDonald v. Grant</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(1993), 85 B.C.L.R. (2d) 180</w:t>
        </w:r>
      </w:hyperlink>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35 R.P.R. (2d) 50</w:t>
        </w:r>
      </w:hyperlink>
      <w:r>
        <w:rPr>
          <w:rFonts w:ascii="arial" w:eastAsia="arial" w:hAnsi="arial" w:cs="arial"/>
          <w:color w:val="000000"/>
          <w:sz w:val="20"/>
          <w:lang w:val="en-US" w:eastAsia="en-US" w:bidi="ar-SA"/>
        </w:rPr>
        <w:t xml:space="preserve"> (S.C.), at paras. 47 and 53; </w:t>
      </w:r>
      <w:r>
        <w:rPr>
          <w:rFonts w:ascii="arial" w:eastAsia="arial" w:hAnsi="arial" w:cs="arial"/>
          <w:b/>
          <w:i/>
          <w:color w:val="000000"/>
          <w:sz w:val="20"/>
          <w:lang w:val="en-US" w:eastAsia="en-US" w:bidi="ar-SA"/>
        </w:rPr>
        <w:t>Toronto Dominion Bank v. Leigh Instruments Ltd.</w:t>
      </w:r>
      <w:r>
        <w:rPr>
          <w:rFonts w:ascii="arial" w:eastAsia="arial" w:hAnsi="arial" w:cs="arial"/>
          <w:color w:val="000000"/>
          <w:sz w:val="20"/>
          <w:lang w:val="en-US" w:eastAsia="en-US" w:bidi="ar-SA"/>
        </w:rPr>
        <w:t xml:space="preserve">, 1998 CarswellOnt. 2565 (WLeC), </w:t>
      </w:r>
      <w:hyperlink r:id="rId796" w:history="1">
        <w:r>
          <w:rPr>
            <w:rFonts w:ascii="arial" w:eastAsia="arial" w:hAnsi="arial" w:cs="arial"/>
            <w:i/>
            <w:color w:val="0077CC"/>
            <w:sz w:val="20"/>
            <w:u w:val="single"/>
            <w:shd w:val="clear" w:color="auto" w:fill="FFFFFF"/>
            <w:lang w:val="en-US" w:eastAsia="en-US" w:bidi="ar-SA"/>
          </w:rPr>
          <w:t>40 B.L.R. (2d) 1</w:t>
        </w:r>
      </w:hyperlink>
      <w:r>
        <w:rPr>
          <w:rFonts w:ascii="arial" w:eastAsia="arial" w:hAnsi="arial" w:cs="arial"/>
          <w:color w:val="000000"/>
          <w:sz w:val="20"/>
          <w:lang w:val="en-US" w:eastAsia="en-US" w:bidi="ar-SA"/>
        </w:rPr>
        <w:t xml:space="preserve"> (Ont. C.J.), at para. 410.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any event, Pitt admitted that the purchase agreement contemplated that William was purchasing a one-third interest in the property and that this "was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for example, when you were asked to approve the addition of Sherri Holt and William Holt, you didn't pay attention to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signed blindly?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There was an understanding. We -- they had accepted our down payment. We had accepted the purchase price. Things are in place. We needed a co-signer in order to get the mortgage. I was signing where I needed to sign so that we could get to where we needed to go.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There was no dispute about any of this? It was just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was a pleasant, positive atmosphere, wasn't it.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going to show you another document. It is a contract of purchase and sale addendum dated June 24th, 2002. I'm going to ask you if you recognize your signature on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LAMER: Let's mark that as the next exhibit. That will be Exhibit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EXHIBIT 4: Contract of purchase and sale addendum dated June 24,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I'll ask you to look at the initials here besides the words "made between Dichicalow W. Korecki as seller and Aaron Pitt/Sherri Holt/William Holt as buyer." Do you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your initials appear before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have your eyes closed when you did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saw that the purchasers were yourself, William Holt and Sherri Holt when you signed that document?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consider him a purchaser, but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saw that he was identified as a purchaser?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saw that he was on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didn't cause you any trouble?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Because that was the deal, if I can put it that 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Further, Pitt only claims that he "assumed" that William would hold the one-third interest in trust for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he needed to be on title, but there was no -- there was never any conversation as to, you know, if the relationship was to end that he would acquire a one-third interest because we were both contributing half to the mortgage payments and we were both - the down payment came from mainly my side of the family.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Continue.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 really trusted the fact that, you know, that I wasn't going to be swindled out of what was rightfully mine.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say "swindled." Why do you say "swindled"?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didn't think that he would claim one-third ownership as he held in trust for me and Sherri. He signed so that we could purchase the house, but I assumed obviously that he didn't contribute to the investment, so there's no way that he would assume one-third ownership.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You pronounced the word "in trust." What does that mean to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he held it. Like, he signed it so that we could have the home. And at a point to where we wanted to move the property or sell it, then he wouldn't have a right to it or he wouldn't have ownership of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tell anyone about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the in-trust arrangement?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it exist at the time that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There was no arrangement. It was just what we both assumed, and there was no reason for me to think otherwise.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assumed that he was holding in trust for whom?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Sherri and I.</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Sherri and yourself. So you assumed that you were both 50 percent owner?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 did you assume that you were one-third owner and Sherri was one-third owner 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assumed that I was 50 percent owner of the home.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Notwithstanding you knew very well that the documents that you signed said otherwise?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knew that he had to be on title for us to get the home, but I knew that I was a 50 percent owner of the home.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Thus, Pitt does not attest to the existence of an agreement or arrangement to create a "trust". As defence counsel argues, assumptions not communicated to the other side cannot be used to create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Pitt's counsel suggested at the hearing that Pitt was entitled to argue the existence of a constructive trust, although there is currently no pleading to this effect. Defence counsel argues that, even if the pleadings should be amended, such a plea would be bound to fail for the very reason that, if an enrichment has occurred, then there is a "juristic reason" for the enrichment, namely, the act of entering into a transaction where sufficient consideration was exchanged in return for the transfer of Pitt's interest in the property. Defence counsel asserts that unjust enrichment as a cause of action does not entitle a court of equity to assess whether the consideration exchanged under a valid contract is "fair" - this jurisdiction exists under s. 65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not under the rules of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of the hearing, Pitt's "in trust" claim was based on an alleged actual trust agreement and not on the principle of a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on Pitt's claim in the pleadings that William holds title to a one-half interest in the property in trust for and on behalf of the parties, that the defendants have met their onus to negative, beyond a doubt, the existence of a bona fide triable issue. On his own admissions, no trust in Pitt's favour can exist since he agreed to transfer all his right, title and interest in the property to Holt pursuant to the terms of the separation agreement. Accordingly, the defendants are entitled to an order pursuant to Rules 18(6) and 19(24) striking this plea.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The Misrepresentation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Turning to the allegation of misrepresentation, counsel contends that there is no merit to this claim. Pitt testified that the only misrepresentation made to him was Holt's statement that William held one-third of the property and that Pitt could not do anything about it. However, Pitt admitted that he knew these misrepresentations to be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it goes on to say this: "She also made material misrepresentations to the plaintiff in respect of the agreement, including material misrepresentations as to the interest and entitlement of the defendant William Holt in the former matrimonial home." You said you agreed with that statement?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what material misrepresentation are you talking about?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she said that he had a claim in the house and that I -- legally I couldn't -- that it had nothing I could do about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there anything else?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that discussion predated -- the misrepresentation about the agreement predated the time that you first saw the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to the effect that there was nothing you could legally do about her father's one-third interest in the property?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response to that, did you think of consulting a lawyer about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so you just accepted that as the truth even though -- did you have confidence in Ms. Holt? Did you trust 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care at that point.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necessarily trust her, but I didn't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a lot of animosity between the two of you that you described earlier today?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some animosity.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 put it to you that whatever it is that she said, you wouldn't have taken it for granted one way or the other.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care at that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other words, you were prepared to do this deal whether or not those representations were made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Thank you. Are there any other representations that you can recall that fit within that sentence I just read to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said that, you know, that the contents of the house was worth nothing. And, you know, there wasn't really anything else. Mainly concerning the home.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misrepresentation, so you get me clear, is a statement that you say is untrue; 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saying that her statement about the contents of the house are untrue? That the contents of the house, you know, was of negligible value?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just said this is all my stuff. I brought it all into the relationship. You take whatever, you know, is yours, basically. I knew that wasn't the case, but I didn't say anything about it because I just -- for the other reasons I said earlier.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she made a false statement to you or a statement with which you disagreed, and you knew it was false and you made the deal anyway.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Thus, claims counsel, by his own admission, Pitt did not place any reliance upon the alleged misrepresentation. It is the position of the defendants that, if that statement was made, it was true. But, argues counsel, even if this statement was made and even if it was untrue (and counsel says it is true because William's interest is not subject to the jurisdiction of the Court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there was no reliance placed upon that statement and therefore no causal link between the making of that statement and the act of entering into the separation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Pitt's own admissions, the tort of misrepresentation cannot succeed. Thus, I find that Pitt's allegation that Holt and William colluded to deprive him of his rightful interest in the property and that Holt made material misrepresentations to him respecting the interest of William in the property with the intention and effect of depriving Pitt of his interest and a fair entitlement to his share of the property must be struck. I find that the defendants have met their legal onus and are entitled to an order pursuant to Rules 18(6) and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The Separation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On the issue of whether the separation agreement should be set aside, the Court of Appeal in </w:t>
      </w:r>
      <w:r>
        <w:rPr>
          <w:rFonts w:ascii="arial" w:eastAsia="arial" w:hAnsi="arial" w:cs="arial"/>
          <w:b/>
          <w:i/>
          <w:color w:val="000000"/>
          <w:sz w:val="20"/>
          <w:lang w:val="en-US" w:eastAsia="en-US" w:bidi="ar-SA"/>
        </w:rPr>
        <w:t>M.(R.S.) v. M.(M.S.)</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2006 BCCA 362</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269 D.L.R. (4th) 259</w:t>
        </w:r>
      </w:hyperlink>
      <w:r>
        <w:rPr>
          <w:rFonts w:ascii="arial" w:eastAsia="arial" w:hAnsi="arial" w:cs="arial"/>
          <w:color w:val="000000"/>
          <w:sz w:val="20"/>
          <w:lang w:val="en-US" w:eastAsia="en-US" w:bidi="ar-SA"/>
        </w:rPr>
        <w:t xml:space="preserve"> at para. 25 set out the test for the review of a separation agreement,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standard chosen by the Legislature in s. 65, against which this agreement must be measured, is that of unfairness at the time of the division. An enquiry into the fairness of the property division aspects of the agreement allows an enquiry into the formation of the contract as discussed in </w:t>
      </w:r>
      <w:r>
        <w:rPr>
          <w:rFonts w:ascii="arial" w:eastAsia="arial" w:hAnsi="arial" w:cs="arial"/>
          <w:i/>
          <w:color w:val="000000"/>
          <w:sz w:val="20"/>
          <w:lang w:val="en-US" w:eastAsia="en-US" w:bidi="ar-SA"/>
        </w:rPr>
        <w:t>Klassen</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[2001] B.C.J. No. 1360</w:t>
        </w:r>
      </w:hyperlink>
      <w:r>
        <w:rPr>
          <w:rFonts w:ascii="arial" w:eastAsia="arial" w:hAnsi="arial" w:cs="arial"/>
          <w:color w:val="000000"/>
          <w:sz w:val="20"/>
          <w:lang w:val="en-US" w:eastAsia="en-US" w:bidi="ar-SA"/>
        </w:rPr>
        <w:t xml:space="preserve">, and an enquiry into the substance of the property division as discussed in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xml:space="preserve">. Both require consideration, assessed at the time the division is made, of the degree to which there has been variance from the division a party was entitled to under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an enquiry similar to the enquiry into the agreement's content discussed in </w:t>
      </w:r>
      <w:r>
        <w:rPr>
          <w:rFonts w:ascii="arial" w:eastAsia="arial" w:hAnsi="arial" w:cs="arial"/>
          <w:i/>
          <w:color w:val="000000"/>
          <w:sz w:val="20"/>
          <w:lang w:val="en-US" w:eastAsia="en-US" w:bidi="ar-SA"/>
        </w:rPr>
        <w:t>Miglin</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When examining the substance of the agreement, the court should ask itself whether the agreement is in substantial compliance with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As just noted, this "substantial compliance" should be determined by considering whether the agreement represents a significant departure from the general objectives of the Act, which necessarily include, as well as the spousal support considerations in s. 15.2, finality, certainty, and the invitation in the Act for parties to determine their own affairs. The greater the vulnerabilities present at the time of formation, the more searching the court's review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Waters v. Conrod</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2007 BCCA 230</w:t>
        </w:r>
      </w:hyperlink>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66 B.C.L.R. (4th) 181</w:t>
        </w:r>
      </w:hyperlink>
      <w:r>
        <w:rPr>
          <w:rFonts w:ascii="arial" w:eastAsia="arial" w:hAnsi="arial" w:cs="arial"/>
          <w:color w:val="000000"/>
          <w:sz w:val="20"/>
          <w:lang w:val="en-US" w:eastAsia="en-US" w:bidi="ar-SA"/>
        </w:rPr>
        <w:t xml:space="preserve"> at paras. 17-22, the Court of Appeal held that the fairness of a separation agreement must be assessed as at the date the agreement is made and, if that is the case, a court can then determine whether a material change in circumstances has intervened to render the agreement unfair. Moreover, the assessment of fairness must be made objectively based on the circumstances of the parties that are relevant under s. 65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On this point, the separation agreement contains an acknowledgement by the parties that they did not execute the separation agreement under "any pressure, influence, or intimidation by anyone" and that they were aware of the "advisability of seeking full and independent legal advice" with respect to the separation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addition, counsel for Holt argues that there is no evidence of any unfairness in the operation of the separation agreement when the division of assets occurred in 2004. He points out that the only asset of any significance was the property. The assessed value was $327,800 in 2003 and $374,200 in 2004, when the division of property was agreed upon. In fact, the separation agreement was negotiated on the basis that the value of the property in 2004 was $375,000, the assessed value at the time. Counsel states that it is eminently reasonable for parties to a separation agreement to rely on assessed values for the purpose of settling the division of family assets. In the instant case, the assessed value was based on the 2004 assessed value, which is an estimate of the market value for the property had it been for sale on July 1, 2003. This was the only information on the value of the property available to the parties in the summer of 2004 when the separation agreement was negotiated and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also notes Pitt's evidence that he was fully aware that he had made a bad economic deal right from the beginning and that he never took any steps to seek what he allegedly perceived to be rightfully his until after he was compelled to pay child maintenance by Baird Ellan P.C.J. Counsel points out that the form of transfer of Pitt's interest in the property was signed two months after the separation agreement was entered into and, yet, Pitt took no steps to set it aside: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LAMER: Let's mark that as the next exhibit.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EXHIBIT 8. Form A freehold transfer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that's, on my calculation, two months later;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had time, of course, to think about what you'd done through the separation agreement?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two months.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Two months;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think about whether that had been a good, bad, or indifferent deal after signing the agreement but before signing Exhibit 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contemplate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didn't contemplate; you never had a single thought as to whether or not you'd made a good deal for yourself?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I knew that I wasn't getting what was rightfully mine, but I -- at that point I didn't think about it that much.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unimportant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it was important, but because I was still paying for the mortgage at that time and paying rent, I was in financial straits.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those two months -- in other words, you're not preoccupied about the issue of whether you made a good, bad, or indifferent deal?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just trying to pay the mortgage and keep myself above water. I was just trying to heal emotionally.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go and see a lawyer, for example?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thought never entered your mind to see if the agreement that you signed was consistent with your legal rights?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Somewhere in my mind I knew that it wasn't a fair agreement, but at that point it wasn't in the forefront of my mind. I didn't think about it. I was just trying to get through.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you said earlier you thought the home was worth upwards of $475- to $500,000;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Which means if you had 50 percent of the equity in there, you should have had a lot more money than what was being paid?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fully aware of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Absolutely.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Nonetheless you did nothing about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go and see a lawyer?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which is it? Did you decide not to get the help of a lawyer because you couldn't afford it or did you decide not to get the advice of a lawyer because you didn't care, or for any other reason, for that matter?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feel like fighting it. I didn't feel like paying for a lawyer to fight it. It was combination of both.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lower you say: "The agreement is unfair and ought to be set aside or varied." Why do you say the agreement is unfair?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 feel that it was my inheritance money that went into the house. I had made 50/50 contributions to the mortgage payments. It was half my house, and I feel like I was wronged. I feel like I was misrepresented and that really half of that house belongs to 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all those statements that you've just said to me, you knew about. You were aware that you'd put in your inheritance money in the house?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because it was June 2004, like, 24 days after I decided to leave. And I was emotionally destroyed. I was not thinking clearly when I signed that agreement.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weren't seeing white elephants in the hallway, were you? You were aware that $20,000 came from your family and went into this house?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 Yes, I was aware of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weren't on drugs or anything?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conscious of the fact that you'd made mortgage payments?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still you made the agreement?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Unfortunately,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essentially, if I understand your evidence well, you're saying you made an economically bad deal?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made it knowing that it was an economically bad deal?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knew that it wasn't a fair deal.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asserts that Pitt has not provided any cogent reason as to why he would have accepted an agreement he now describes as "unfair". Moreover, says counsel, Pitt could not adequately explain the reason why he chose not to challenge the separation agreement until after the order of Baird Ellan P.C.J. Counsel suggests that it is because Pitt wanted to preserve his ability to argue before the Provincial Court that he should not be compelled to pay child maintenance because he had allegedly given an indirect benefit to the children by allowing Holt to keep a greater proportion of the value of the property than she was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On the issue of whether there was a material change in the circumstances of the parties that would warrant setting aside the separation agreement, counsel says that Pitt must demonstrate the existence of "new circumstances" that were "not reasonably anticipated by the parties, and have led to a situation that cannot be condoned": </w:t>
      </w:r>
      <w:r>
        <w:rPr>
          <w:rFonts w:ascii="arial" w:eastAsia="arial" w:hAnsi="arial" w:cs="arial"/>
          <w:b/>
          <w:i/>
          <w:color w:val="000000"/>
          <w:sz w:val="20"/>
          <w:lang w:val="en-US" w:eastAsia="en-US" w:bidi="ar-SA"/>
        </w:rPr>
        <w:t>M.(R.S.) v. M.(M.S.)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21, quoting from </w:t>
      </w:r>
      <w:r>
        <w:rPr>
          <w:rFonts w:ascii="arial" w:eastAsia="arial" w:hAnsi="arial" w:cs="arial"/>
          <w:b/>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2004 SCC 22</w:t>
        </w:r>
      </w:hyperlink>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[2004] 1 S.C.R. 550</w:t>
        </w:r>
      </w:hyperlink>
      <w:r>
        <w:rPr>
          <w:rFonts w:ascii="arial" w:eastAsia="arial" w:hAnsi="arial" w:cs="arial"/>
          <w:color w:val="000000"/>
          <w:sz w:val="20"/>
          <w:lang w:val="en-US" w:eastAsia="en-US" w:bidi="ar-SA"/>
        </w:rPr>
        <w:t xml:space="preserve"> at para. 43, quoting from </w:t>
      </w:r>
      <w:r>
        <w:rPr>
          <w:rFonts w:ascii="arial" w:eastAsia="arial" w:hAnsi="arial" w:cs="arial"/>
          <w:b/>
          <w:i/>
          <w:color w:val="000000"/>
          <w:sz w:val="20"/>
          <w:lang w:val="en-US" w:eastAsia="en-US" w:bidi="ar-SA"/>
        </w:rPr>
        <w:t>Miglin v. Miglin</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2003 SCC 24</w:t>
        </w:r>
      </w:hyperlink>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[2003] 1 S.C.R. 303</w:t>
        </w:r>
      </w:hyperlink>
      <w:r>
        <w:rPr>
          <w:rFonts w:ascii="arial" w:eastAsia="arial" w:hAnsi="arial" w:cs="arial"/>
          <w:color w:val="000000"/>
          <w:sz w:val="20"/>
          <w:lang w:val="en-US" w:eastAsia="en-US" w:bidi="ar-SA"/>
        </w:rPr>
        <w:t xml:space="preserve"> 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contends that the only material change in circumstances invoked by Pitt is the fact that Holt commenced the Provincial Court proceedings to seek child maintenance. When Pitt was asked why he suddenly cared about the alleged unfairness of the separation agreement he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because, as you put it earlier, you didn't care at the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really upset.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thinking clearly.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happened to make you care about it 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fact that I'm in a lot of debt, and I feel it was incredibly unfair, and it seemed very underhanded what was done to 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did you come to that realization that it's unfair and underhanded and so on such that you should take action about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Probably in 2005. But there was a court proceeding, there was a provincial court action in progress.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this -- could you go back to paragraph 14(a).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says: "An application to obtain an order was filed by the defendant Sherri Holt in the provincial court of British Columbia on February 2nd, 2005, seeking orders in respect of the custody, guardianship and maintenance of children."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only when that happened that you started thinking about the unfairness of it all?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knew it was unfair prior to that, but there was no correlation, really.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it's got nothing to do whatsoever with the fact that you're being pursued for child maintenance?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Indirectly because I'm in debt over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Essentially what prompted this is that you're liable for child maintenance and you want to offset it by a claim essentially that you were deprived of your rightful interest?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timing of it all, the fact that you're being pursued for child maintenance has nothing to do with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 the fact that I'm in debt.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fact that you're in debt has nothing to do with it, either?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my financial security and my ability to support my child in the future has something to do with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You see that reasons for judgment -- I'll rephrase this. I'm sorry. The first paragraph of the description 14(a): "A trial was settled before Judge Baird Elan [sic] on November 8th, 2005, January 24th, 2006, and April 10th, 2006, and reasons for judgment were issued June 14th, 2006." Do you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I take it that you were found to be liable for some child maintenance?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Two days later you decided to file this action.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still saying that the fact that you were found liable for child maintenance has nothing to do with your attempt to seek an interest or compensation for your interest in the family home?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want to start a proceeding simultaneously to this proceeding.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Thus, says counsel, Pitt disclaimed the existence of any particular factor: he testified that he realized that the separation agreement was unfair in 2005, when, just earlier, he states that he knew that it was unfair when he signed it. Counsel notes that Pitt attempted to claim that he realized the separation agreement was unfair because he was in debt, but also said that he was in debt when it was signed. Counsel says that the fact is Pitt's only change in financial circumstances was the commencement of the Provincial Court proceedings and the order that he pay child maintenance, which is not a ground for setting aside a separation agreement. Nor, can it be considered to be a material change in circumstances since the obligation to pay child maintenance cannot be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Pitt's main contention on the point of unfairness is that William did not contribute financially to the property. He gives no weight to William's contribution of his own credit worthiness which allowed the parties to purchase the property. William testified that he was putting himself on the line for the purchase of the property by the parties. In addition, the existence of an imbalance in contributions (assuming that William's contribution of his credit worthiness is without value) as between joint owners does not establish a trust relationship between the joint owners. As defence counsel argues, it may have been that Pitt should only have paid one-third of the mortgage payments if all three had resided in the property. However, William did not reside in the property and thus should not have been responsible for contributing to the mortgage payments or other carrying costs associated with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Turning to the defence argument based on issue estoppel and abuse of process, in </w:t>
      </w:r>
      <w:r>
        <w:rPr>
          <w:rFonts w:ascii="arial" w:eastAsia="arial" w:hAnsi="arial" w:cs="arial"/>
          <w:b/>
          <w:i/>
          <w:color w:val="000000"/>
          <w:sz w:val="20"/>
          <w:lang w:val="en-US" w:eastAsia="en-US" w:bidi="ar-SA"/>
        </w:rPr>
        <w:t>Dempsey v. Envision Credit Union</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2006 CarswellBC 1172 (WLeC), Garson J. held at paras. 9-15,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Pleadings will be struck out if they abuse the process of the court. Abuse of process is a flexible doctrine that allows the court to prevent a claim from proceeding where it "violates such principles as judicial economy, consistency, finality and the integrity of the administration of justice". (see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at para.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One way in which these principles are violated is where parties make allegations in subsequent proceedings that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Parties may not bring forward in a subsequent action, points related to the subject matter of previous litigation that the parties, exercising reasonable diligence, might have been able to bring forward. (</w:t>
      </w:r>
      <w:r>
        <w:rPr>
          <w:rFonts w:ascii="arial" w:eastAsia="arial" w:hAnsi="arial" w:cs="arial"/>
          <w:i/>
          <w:color w:val="000000"/>
          <w:sz w:val="20"/>
          <w:lang w:val="en-US" w:eastAsia="en-US" w:bidi="ar-SA"/>
        </w:rPr>
        <w:t>Johnson v. Gore Wood &amp; Co.</w:t>
      </w:r>
      <w:r>
        <w:rPr>
          <w:rFonts w:ascii="arial" w:eastAsia="arial" w:hAnsi="arial" w:cs="arial"/>
          <w:color w:val="000000"/>
          <w:sz w:val="20"/>
          <w:lang w:val="en-US" w:eastAsia="en-US" w:bidi="ar-SA"/>
        </w:rPr>
        <w:t xml:space="preserve">, 2002 2 A.C. 1 at 23 English Court of Appeal and </w:t>
      </w:r>
      <w:r>
        <w:rPr>
          <w:rFonts w:ascii="arial" w:eastAsia="arial" w:hAnsi="arial" w:cs="arial"/>
          <w:i/>
          <w:color w:val="000000"/>
          <w:sz w:val="20"/>
          <w:lang w:val="en-US" w:eastAsia="en-US" w:bidi="ar-SA"/>
        </w:rPr>
        <w:t>Samos Investments Inc. v. Pattison</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[2004] B.C.J. No. 705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w:t>
      </w:r>
      <w:r>
        <w:rPr>
          <w:rFonts w:ascii="arial" w:eastAsia="arial" w:hAnsi="arial" w:cs="arial"/>
          <w:i/>
          <w:color w:val="000000"/>
          <w:sz w:val="20"/>
          <w:lang w:val="en-US" w:eastAsia="en-US" w:bidi="ar-SA"/>
        </w:rPr>
        <w:t>Henderson v. Henderson</w:t>
      </w:r>
      <w:r>
        <w:rPr>
          <w:rFonts w:ascii="arial" w:eastAsia="arial" w:hAnsi="arial" w:cs="arial"/>
          <w:color w:val="000000"/>
          <w:sz w:val="20"/>
          <w:lang w:val="en-US" w:eastAsia="en-US" w:bidi="ar-SA"/>
        </w:rPr>
        <w:t xml:space="preserve">, 3 Hare 100, 114 to 115, cited in </w:t>
      </w:r>
      <w:r>
        <w:rPr>
          <w:rFonts w:ascii="arial" w:eastAsia="arial" w:hAnsi="arial" w:cs="arial"/>
          <w:i/>
          <w:color w:val="000000"/>
          <w:sz w:val="20"/>
          <w:lang w:val="en-US" w:eastAsia="en-US" w:bidi="ar-SA"/>
        </w:rPr>
        <w:t>Samos</w:t>
      </w:r>
      <w:r>
        <w:rPr>
          <w:rFonts w:ascii="arial" w:eastAsia="arial" w:hAnsi="arial" w:cs="arial"/>
          <w:color w:val="000000"/>
          <w:sz w:val="20"/>
          <w:lang w:val="en-US" w:eastAsia="en-US" w:bidi="ar-SA"/>
        </w:rPr>
        <w:t xml:space="preserve">, the plea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was discussed.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trying this question, I believe I state the rule of court correctly, when I say, that where a given matter becomes the subject of litigation in, and of adjudication by, a court of competent jurisdiction, the court requires the parties to that litigation to bring forward their whole case, and will not (except under special circumstances) permit the same parties to open the same subject of litigation in respect of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inadvertence, or even accident, omitted part of their case. The plea of res judicata applies, except in special cases, not only points upon which the court was actually required by the parties to form an opinion and pronounce a judgment, but to every point which properly belonged to the subject of litigation, and which the parties, exercising reasonable diligence, might have brought forward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(S.C.) at para. 18 it was held that R. 19(24)(d) gives the court the discretion to dismiss actions on the basis of abuse of process, that is, where the court process is being used for an improper purpose: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categories of abuse of process are open. Abuse of process may be found where proceedings involve a deception on the court or constitute a mere sham; where the process of the court is not being fairly or honestly used, or is employed for some ulterior or improper purpose; proceeding which are without foundation or serve no useful purpose and multiple or successive readings which cause or are likely to cause vexation or oppression.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 </w:t>
      </w:r>
      <w:r>
        <w:rPr>
          <w:rFonts w:ascii="arial" w:eastAsia="arial" w:hAnsi="arial" w:cs="arial"/>
          <w:i/>
          <w:color w:val="000000"/>
          <w:sz w:val="20"/>
          <w:lang w:val="en-US" w:eastAsia="en-US" w:bidi="ar-SA"/>
        </w:rPr>
        <w:t>Babavic</w:t>
      </w:r>
      <w:r>
        <w:rPr>
          <w:rFonts w:ascii="arial" w:eastAsia="arial" w:hAnsi="arial" w:cs="arial"/>
          <w:color w:val="000000"/>
          <w:sz w:val="20"/>
          <w:lang w:val="en-US" w:eastAsia="en-US" w:bidi="ar-SA"/>
        </w:rPr>
        <w:t>, Baker J. cited with approval the statement from I.H. Jacob, in "The Inherent Jurisdiction of the Court" as follows at page 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principle of abuse of process] connotes that the process of the court must be used properly, honestly and in good faith, and must not be abused. It means that the court will not allow its function as a court of law to be misused, and it will summarily prevent its machinery from being used as a means of vexation or oppression in the process of litigation. Unless the court had power to intervene summarily to prevent the misuse of legal machinery, the nature and function of the court would be transformed from a court dispensing justice into an instrument of injustice.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follows that where an abuse of process has taken place, the intervention of the court by stay or even dismissal of proceedings may often be required by the very essence of justice to be done, and so to prevent parties being harassed and put to expense by frivolous, vexatious or groundless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Arbour J. cited with approval Madam Justice McLachlin's statement concerning the doctrine of abuse of process in </w:t>
      </w:r>
      <w:r>
        <w:rPr>
          <w:rFonts w:ascii="arial" w:eastAsia="arial" w:hAnsi="arial" w:cs="arial"/>
          <w:i/>
          <w:color w:val="000000"/>
          <w:sz w:val="20"/>
          <w:lang w:val="en-US" w:eastAsia="en-US" w:bidi="ar-SA"/>
        </w:rPr>
        <w:t>R. v. Scott</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[1990] 3 S.C.R. 979</w:t>
        </w:r>
      </w:hyperlink>
      <w:r>
        <w:rPr>
          <w:rFonts w:ascii="arial" w:eastAsia="arial" w:hAnsi="arial" w:cs="arial"/>
          <w:color w:val="000000"/>
          <w:sz w:val="20"/>
          <w:lang w:val="en-US" w:eastAsia="en-US" w:bidi="ar-SA"/>
        </w:rPr>
        <w:t xml:space="preserve"> as follows at para. 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Abuse of process may be established where: (1) the proceedings are oppressive or vexatious; and (2) violate the fundamental principles of justice underlying the community's sense of fair play and decency. The concepts of oppressiveness and vexatiousness underlying the interest of the accused in a fair trial. But the doctrine evokes as well the public interest in a fair and just trial process and the proper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the Supreme Court of Canada confirms that the doctrine of abuse of process is intended to provide a court with the power to control and protect the integrity of its own process. Counsel says that this includes the power to prevent a party from re-litigating an issue that has already been decided. In </w:t>
      </w:r>
      <w:r>
        <w:rPr>
          <w:rFonts w:ascii="arial" w:eastAsia="arial" w:hAnsi="arial" w:cs="arial"/>
          <w:b/>
          <w:i/>
          <w:color w:val="000000"/>
          <w:sz w:val="20"/>
          <w:lang w:val="en-US" w:eastAsia="en-US" w:bidi="ar-SA"/>
        </w:rPr>
        <w:t>Toronto (City)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an employee was fired on the ground that he had been found guilty of sexual assault and alleged that his conviction had been unjust. The issue that arose was whether the doctrine of issue estoppel could apply where the requirement of mutuality has not been met (because the parties are different). The court held at paras. 37 and 51-53 that, where issue estoppel does not arise, the doctrine of abuse of process can preclude a party from re-litigating an issue already decided against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the context that interests us here, the doctrine of abuse of process engages "the inherent power of the court to prevent the misuse of its procedure, in a way that would ... bring the administration of justice into disrepute"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 at para. 55, per Goudge J.A., dissenting (approved </w:t>
      </w:r>
      <w:hyperlink r:id="rId806" w:history="1">
        <w:r>
          <w:rPr>
            <w:rFonts w:ascii="arial" w:eastAsia="arial" w:hAnsi="arial" w:cs="arial"/>
            <w:i/>
            <w:color w:val="0077CC"/>
            <w:sz w:val="20"/>
            <w:u w:val="single"/>
            <w:shd w:val="clear" w:color="auto" w:fill="FFFFFF"/>
            <w:lang w:val="en-US" w:eastAsia="en-US" w:bidi="ar-SA"/>
          </w:rPr>
          <w:t>[2002] 3 S.C.R. 307</w:t>
        </w:r>
      </w:hyperlink>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2002 SCC 63</w:t>
        </w:r>
      </w:hyperlink>
      <w:r>
        <w:rPr>
          <w:rFonts w:ascii="arial" w:eastAsia="arial" w:hAnsi="arial" w:cs="arial"/>
          <w:color w:val="000000"/>
          <w:sz w:val="20"/>
          <w:lang w:val="en-US" w:eastAsia="en-US" w:bidi="ar-SA"/>
        </w:rPr>
        <w:t>)). Goudge J.A. expanded on that concept in the following terms at paras. 55-56: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abuse of process engages the inherent power of the court to prevent the misuse of its procedure, in a way that would be manifestly unfair to a party to the litigation before it or would in some other way bring the administration of justice into disrepute. It is a flexible doctrine unencumbered by the specific requirements of concepts such as issue estoppel. See </w:t>
      </w:r>
      <w:r>
        <w:rPr>
          <w:rFonts w:ascii="arial" w:eastAsia="arial" w:hAnsi="arial" w:cs="arial"/>
          <w:i/>
          <w:color w:val="000000"/>
          <w:sz w:val="20"/>
          <w:lang w:val="en-US" w:eastAsia="en-US" w:bidi="ar-SA"/>
        </w:rPr>
        <w:t>House of Spring Gardens Ltd. v. Waite</w:t>
      </w:r>
      <w:r>
        <w:rPr>
          <w:rFonts w:ascii="arial" w:eastAsia="arial" w:hAnsi="arial" w:cs="arial"/>
          <w:color w:val="000000"/>
          <w:sz w:val="20"/>
          <w:lang w:val="en-US" w:eastAsia="en-US" w:bidi="ar-SA"/>
        </w:rPr>
        <w:t>, [1990] 3 W.L.R. 347 at p. 358, [1990] 2 All E.R. 990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One circumstance in which abuse of process has been applied is where the litigation before the court is found to be in essence an attempt to relitigate a claim which the court has already determined.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Goudge J.A.'s comments indicate, Canadian courts have applied the doctrine of abuse of process to preclude relitigation in circumstances where the strict requirements of issue estoppel (typically the privity/mutuality requirements) are not met, but where allowing the litigation to proceed would nonetheless violate such principles as judicial economy, consistency, finality and the integrity of the administration of justice. (See, for example, </w:t>
      </w:r>
      <w:r>
        <w:rPr>
          <w:rFonts w:ascii="arial" w:eastAsia="arial" w:hAnsi="arial" w:cs="arial"/>
          <w:i/>
          <w:color w:val="000000"/>
          <w:sz w:val="20"/>
          <w:lang w:val="en-US" w:eastAsia="en-US" w:bidi="ar-SA"/>
        </w:rPr>
        <w:t>Franco) v. White</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(2001), 53 O.R. (3d) 391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Bomac Construction Ltd. v. Stevenson</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[1986] 5 W.W.R. 21</w:t>
        </w:r>
      </w:hyperlink>
      <w:r>
        <w:rPr>
          <w:rFonts w:ascii="arial" w:eastAsia="arial" w:hAnsi="arial" w:cs="arial"/>
          <w:color w:val="000000"/>
          <w:sz w:val="20"/>
          <w:lang w:val="en-US" w:eastAsia="en-US" w:bidi="ar-SA"/>
        </w:rPr>
        <w:t xml:space="preserve"> (Sask. C.A.); and </w:t>
      </w:r>
      <w:r>
        <w:rPr>
          <w:rFonts w:ascii="arial" w:eastAsia="arial" w:hAnsi="arial" w:cs="arial"/>
          <w:i/>
          <w:color w:val="000000"/>
          <w:sz w:val="20"/>
          <w:lang w:val="en-US" w:eastAsia="en-US" w:bidi="ar-SA"/>
        </w:rPr>
        <w:t>Bjarnarson v. Government of Manitoba</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(1987), 38 D.L.R. (4th) 32</w:t>
        </w:r>
      </w:hyperlink>
      <w:r>
        <w:rPr>
          <w:rFonts w:ascii="arial" w:eastAsia="arial" w:hAnsi="arial" w:cs="arial"/>
          <w:color w:val="000000"/>
          <w:sz w:val="20"/>
          <w:lang w:val="en-US" w:eastAsia="en-US" w:bidi="ar-SA"/>
        </w:rPr>
        <w:t xml:space="preserve"> (Man. Q.B.), aff'd (1987), </w:t>
      </w:r>
      <w:hyperlink r:id="rId810" w:history="1">
        <w:r>
          <w:rPr>
            <w:rFonts w:ascii="arial" w:eastAsia="arial" w:hAnsi="arial" w:cs="arial"/>
            <w:i/>
            <w:color w:val="0077CC"/>
            <w:sz w:val="20"/>
            <w:u w:val="single"/>
            <w:shd w:val="clear" w:color="auto" w:fill="FFFFFF"/>
            <w:lang w:val="en-US" w:eastAsia="en-US" w:bidi="ar-SA"/>
          </w:rPr>
          <w:t>[1987] M.J. No. 576</w:t>
        </w:r>
      </w:hyperlink>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21 C.P.C. (2d) 302</w:t>
        </w:r>
      </w:hyperlink>
      <w:r>
        <w:rPr>
          <w:rFonts w:ascii="arial" w:eastAsia="arial" w:hAnsi="arial" w:cs="arial"/>
          <w:color w:val="000000"/>
          <w:sz w:val="20"/>
          <w:lang w:val="en-US" w:eastAsia="en-US" w:bidi="ar-SA"/>
        </w:rPr>
        <w:t xml:space="preserve"> at 312 (Man. C.A.)).) This has resulted in some criticism, on the ground that the doctrine of abuse of process by relitigation is in effect non-mutual issue estoppel by another name without the important qualifications recognized by the American courts as part and parcel of the general doctrine of non-mutual issue estoppel (</w:t>
      </w:r>
      <w:r>
        <w:rPr>
          <w:rFonts w:ascii="arial" w:eastAsia="arial" w:hAnsi="arial" w:cs="arial"/>
          <w:i/>
          <w:color w:val="000000"/>
          <w:sz w:val="20"/>
          <w:lang w:val="en-US" w:eastAsia="en-US" w:bidi="ar-SA"/>
        </w:rPr>
        <w:t>Watson, supra</w:t>
      </w:r>
      <w:r>
        <w:rPr>
          <w:rFonts w:ascii="arial" w:eastAsia="arial" w:hAnsi="arial" w:cs="arial"/>
          <w:color w:val="000000"/>
          <w:sz w:val="20"/>
          <w:lang w:val="en-US" w:eastAsia="en-US" w:bidi="ar-SA"/>
        </w:rPr>
        <w:t>, at pp. 624-25).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Rather than focus on the motive or status of the parties, the doctrine of abuse of process concentrates on the integrity of the adjudicative process. Three preliminary observations are useful in that respect. First, there can be no assumption that relitigation will yield a more accurate result than the original proceeding. Second, if the same result is reached in the subsequent proceeding, the relitigation will prove to have been a waste of judicial resources as well as an unnecessary expense for the parties and possibly an additional hardship for some witnesses. Finally, if the result in the subsequent proceeding is different from the conclusion reached in the first on the very same issue, the inconsistency, in and of itself, will undermine the credibility of the entire judicial process, thereby diminishing its authority, its credibility and its aim of finality.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In contrast, proper review by way of appeal increases confidence in the ultimate result and affirms both the authority of the process as well as the finality of the result. It is therefore apparent that from the system's point of view, relitigation carries serious detrimental effects and should be avoided unless the circumstances dictate that relitigation is in fact necessary to enhance the credibility and the effectiveness of the adjudicative process as a whole. There may be instances where relitigation will enhance, rather than impeach, the integrity of the judicial system, for example: (1) when the first proceeding is tainted by fraud or dishonesty; (2) when fresh, new evidence, previously unavailable, conclusively impeaches the original results; or (3) when fairness dictates that the original result should not be binding in the new context. This was stated unequivocally by this Court in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at para. 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The discretionary factors that apply to prevent the doctrine of issue estoppel from operating in an unjust or unfair way are equally available to prevent the doctrine of abuse of process from achieving a similar undesirable result. There are many circumstances in which the bar against relitigation, either through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that of abuse of process, would create unfairness. If, for instance, the stakes in the original proceeding were too minor to generate a full and robust response, while the subsequent stakes were considerable, fairness would dictate that the administration of justice would be better served by permitting the second proceeding to go forward than by insisting that finality should prevail. An inadequate incentive to defend, the discovery of new evidence in appropriate circumstances, or a tainted original process may all overcome the interest in maintaining the finality of the original decision (</w:t>
      </w:r>
      <w:r>
        <w:rPr>
          <w:rFonts w:ascii="arial" w:eastAsia="arial" w:hAnsi="arial" w:cs="arial"/>
          <w:i/>
          <w:color w:val="000000"/>
          <w:sz w:val="20"/>
          <w:lang w:val="en-US" w:eastAsia="en-US" w:bidi="ar-SA"/>
        </w:rPr>
        <w:t>Danyluk, supra</w:t>
      </w:r>
      <w:r>
        <w:rPr>
          <w:rFonts w:ascii="arial" w:eastAsia="arial" w:hAnsi="arial" w:cs="arial"/>
          <w:color w:val="000000"/>
          <w:sz w:val="20"/>
          <w:lang w:val="en-US" w:eastAsia="en-US" w:bidi="ar-SA"/>
        </w:rPr>
        <w:t xml:space="preserve">, at para. 51; </w:t>
      </w:r>
      <w:r>
        <w:rPr>
          <w:rFonts w:ascii="arial" w:eastAsia="arial" w:hAnsi="arial" w:cs="arial"/>
          <w:i/>
          <w:color w:val="000000"/>
          <w:sz w:val="20"/>
          <w:lang w:val="en-US" w:eastAsia="en-US" w:bidi="ar-SA"/>
        </w:rPr>
        <w:t>Franco, supra</w:t>
      </w:r>
      <w:r>
        <w:rPr>
          <w:rFonts w:ascii="arial" w:eastAsia="arial" w:hAnsi="arial" w:cs="arial"/>
          <w:color w:val="000000"/>
          <w:sz w:val="20"/>
          <w:lang w:val="en-US" w:eastAsia="en-US" w:bidi="ar-SA"/>
        </w:rPr>
        <w:t>,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Counsel argues that this action is an abuse of process for several reasons: the action attempts to re-litigate adverse findings made by Baird Ellan P.C.J. on the issue of whether Holt had received more than she was fairly entitled to receive under the terms of the separation agreement. Counsel says that this was relevant to the issue of whether, under s. 93(2)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court can take into consideration the fact that "one party has received a greater share of the assets in an agreement which has a benefit for the children", as counsel for Pitt argued in the Provincial Court proceedings. Pitt's counsel's written submissions to Baird Ellan P.C.J.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Considerations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Settlement Agreement drafted by Ms. Holt, and without legal advice for Mr. Pitt, Ms. Holt received the matrimonial home (assessed by BC Assessment in 2004 at $479,000 and now worth well over $500,000), the family vehicle worth $7,000 and all of the household furnishings whereas Mr. Pitt received a single payment of $27,900 [sic] (the "Agreement"). This amount, when considering his down payment of $25,000 and his share of mortgage payments over two years at $800 per month (for a total of $19,200) represented considerably less than his contribution toward the house (a total of $44,200). In contrast, the house alone increased in value from the date of separation, likely in excess of $250,000.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had the effect of providing a benefit for Shirai and Zevan and, in fact, has benefited them by allowing them to stay in the home and have use of all of the furnishings and the family vehicle.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Pitt, on the other hand, came out of the marriage with no significant assets. Since the separation, he has also had to pay for his own medical and dental costs for himself, as he is self-employed which he was not required to pay during the relationship because Ms. Holt had a medical/dental plan through her work. He also has debts in excess of $14,000.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93(2) of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[sic] allows the Court to take into account in determining a step-parent's child support obligations the fact that one party has received a greater share of the assets in an agreement which has a benefit for the children. Although the current application is not within the purview of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[sic] the Court has discretion to take all relevant circumstances into account and the factors to consider under s. 5 of the Guidelines is not exhaustive. A financial benefit to the children provided indirectly by a step-father, which has the effect of contributing to their needs, the Respondent submits, is a relevant factor and ought to be taken into account in determining the step-father's obligation for child support. "The appropriate child support order is a matter of discretion" </w:t>
      </w:r>
      <w:r>
        <w:rPr>
          <w:rFonts w:ascii="arial" w:eastAsia="arial" w:hAnsi="arial" w:cs="arial"/>
          <w:i/>
          <w:color w:val="000000"/>
          <w:sz w:val="20"/>
          <w:lang w:val="en-US" w:eastAsia="en-US" w:bidi="ar-SA"/>
        </w:rPr>
        <w:t>Russenberger v. Rebagliati</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[2000] B.C.J. No. 282</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Thus, contends counsel, Pitt now seeks to take back the alleged benefit he put forward in the Provincial Court proceedings through this action. Counsel says that this is the very type of inconsistent position that is at the centre of the doctrine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also asserts that, in any event, Pitt was unsuccessful on this point. Baird Ellan P.C.J. found,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father helped with the mortgage until August 2004 when the mother bought him out of the house for $27,900 [sic], which reflected the return of his down payment less his share of an amount the parties had borrowed from funds saved for one of the children. Thereafter he paid $300 under the separation agreement until January 2005, when the mother returned to work full time after her stress leave. The mother stayed in the house and kept most of the furnishings.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Having regard to the considerations provided for in the </w:t>
      </w:r>
      <w:r>
        <w:rPr>
          <w:rFonts w:ascii="arial" w:eastAsia="arial" w:hAnsi="arial" w:cs="arial"/>
          <w:i/>
          <w:color w:val="000000"/>
          <w:sz w:val="20"/>
          <w:lang w:val="en-US" w:eastAsia="en-US" w:bidi="ar-SA"/>
        </w:rPr>
        <w:t>Guidelines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outlined above, as I have said, it is in my view relevant that the mother pays for medical and dental insurance, and receives a contribution toward rent and household expenses from her new partner. I have considered the father's submission regarding the amount he received back in respect of his contribution to the purchase of the house. Given the timing of the purchase, the amount of the payments made over the months prior to separation, and the amount the father would have spent on rent for that period, I am not in a position to find that the amount he received should have been higher, nor that the agreement between the parties relating to the house has relevance to the factors I must consider in the applications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Counsel says that it is this very finding that Pitt is attempting to re-litigate and that as against Holt he is bound by issue estoppel and cannot succeed. Counsel asserts that this action is merely an attempt to "re-hash" the same arguments that were rejected by Baird Ellan P.C.J. As against William, counsel argues that the doctrine of abuse of process described in </w:t>
      </w:r>
      <w:r>
        <w:rPr>
          <w:rFonts w:ascii="arial" w:eastAsia="arial" w:hAnsi="arial" w:cs="arial"/>
          <w:b/>
          <w:i/>
          <w:color w:val="000000"/>
          <w:sz w:val="20"/>
          <w:lang w:val="en-US" w:eastAsia="en-US" w:bidi="ar-SA"/>
        </w:rPr>
        <w:t>Toronto (City)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precludes Pitt from re-litigating the issue. Counsel contends that the full weight and cost of the judicial system is being used against the defendants to extract money on the basis of an argument which has already failed in the Provincial Court proceedings. Counsel says that this action is not only vexatious, but clearly oppressive in the sense that legal expense required to try these issues is bound to exceed what would be reasonable to spend in relation to the true value of Pitt's monetary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thrust of the defence argument on this point is that the issue of the fairness of the separation agreement, having been decided by Baird Ellan P.C.J., cannot be re-litigated in this action. The logic of the defence argument, as I understand it, is that having relied on the separation agreement in the Provincial Court proceedings to attempt to reduce his exposure to child maintenance payments, it is not now open for Pitt to argue before this court that the separation agreement is unfair and should be declared void. The defence insists that Holt is entitled to rely on issue estoppel and William on abuse of process to dismiss Pitt's claim on the issue of the fairness of the separation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I find the defence submissions somewhat compelling on this point, I cannot accede to the defence position. In my opinion, the cases relied upon by the defence to argue issue estoppel and abuse of process do not apply in the instant case. It is correct that Pitt relied on the separation agreement as a ground for reducing his exposure to child maintenance payments, but Baird Ellan P.C.J. simply rejected Pitt's position on this point. In my view, she did not make any finding on the fairness of the separation agreement, for the obvious reason that it was not an issue before her. The only issues before her were custody, maintenance and extraordinary expenses. She did note in her reasons that Pitt helped with the mortgage payments until August 2004, when Holt bought him out of the property for $27,900 [sic], which she states, "reflected the return of his down payment less his share of an amount the parties had borrowed from funds saved for one of the children. Thereafter he paid $300 under the separation agreement until January 2005, when the mother returned to work full time after her stress leave. The mother stayed in the house and kept most of the furnishings." However, on the s. 93(2) argument put forward by Pitt, she did not make any finding on the separation agreement - on the contrary, she states that she was not, "in a position to find that the amount he received should have been higher, nor that the agreement between the parties relating to the house has relevance to the factors I must consider in the applications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opinion, the material does not establish that Pitt is re-litigating factual claims made before the Provincial Court. I find that the defence argument that Pitt is barred in law from pleading that the separation agreement is unfair and should be set aside must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Finally, I reject the defence application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court has jurisdiction to order security for costs be paid in the event that a triable issue is found to exist but the proceeding itself has the hallmarks of an abuse of process: see </w:t>
      </w:r>
      <w:r>
        <w:rPr>
          <w:rFonts w:ascii="arial" w:eastAsia="arial" w:hAnsi="arial" w:cs="arial"/>
          <w:b/>
          <w:i/>
          <w:color w:val="000000"/>
          <w:sz w:val="20"/>
          <w:lang w:val="en-US" w:eastAsia="en-US" w:bidi="ar-SA"/>
        </w:rPr>
        <w:t>Novin v. Novin</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2004 BCCA 527</w:t>
        </w:r>
      </w:hyperlink>
      <w:r>
        <w:rPr>
          <w:rFonts w:ascii="arial" w:eastAsia="arial" w:hAnsi="arial" w:cs="arial"/>
          <w:color w:val="000000"/>
          <w:sz w:val="20"/>
          <w:lang w:val="en-US" w:eastAsia="en-US" w:bidi="ar-SA"/>
        </w:rPr>
        <w:t xml:space="preserve">, 2004 CarswellBC 2250 (WLeC); </w:t>
      </w:r>
      <w:r>
        <w:rPr>
          <w:rFonts w:ascii="arial" w:eastAsia="arial" w:hAnsi="arial" w:cs="arial"/>
          <w:b/>
          <w:i/>
          <w:color w:val="000000"/>
          <w:sz w:val="20"/>
          <w:lang w:val="en-US" w:eastAsia="en-US" w:bidi="ar-SA"/>
        </w:rPr>
        <w:t>Gettliffe v. Aguirre</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[1996] B.C.J. No. 1317</w:t>
        </w:r>
      </w:hyperlink>
      <w:r>
        <w:rPr>
          <w:rFonts w:ascii="arial" w:eastAsia="arial" w:hAnsi="arial" w:cs="arial"/>
          <w:color w:val="000000"/>
          <w:sz w:val="20"/>
          <w:lang w:val="en-US" w:eastAsia="en-US" w:bidi="ar-SA"/>
        </w:rPr>
        <w:t xml:space="preserve"> (QL), 1996 CarswellBC 1384 (WLeC) (S.C.). The special circumstances relied upon in the instant case to support the application of the authorities is the defence assertion that Pitt is attempting to re-litigate claims that he has already lost, and that if he is permitted to do so he should have to post security for costs given his admission that he does not have the means to pay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found earlier in these reasons, I do not agree with the defence contention that Pitt is re-litigating the fairness of the separation agreement. No doubt it appears that he is attempting to have it both ways: rely on the separation agreement to reduce his exposure to a child maintenance award in Provincial Court and when his position is rejected, bring an action in this Court to set aside the separation agreement. Nonetheless, it cannot be said that the issue of the proper division of family assets has been ruled upon, and I find that no grounds exist for an order of security for costs against Pitt.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Holt and William are entitled to an order that: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 trust" pleading is struck;</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misrepresentation pleading is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Hold and William are not entitled to an order that the claim based on the fairness of the separation agreement should be struck or dismissed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3"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0" w:history="1">
        <w:r>
          <w:rPr>
            <w:rFonts w:ascii="arial" w:eastAsia="arial" w:hAnsi="arial" w:cs="arial"/>
            <w:b/>
            <w:bCs/>
            <w:i/>
            <w:color w:val="0077CC"/>
            <w:kern w:val="32"/>
            <w:sz w:val="28"/>
            <w:szCs w:val="32"/>
            <w:u w:val="single"/>
            <w:shd w:val="clear" w:color="auto" w:fill="FFFFFF"/>
            <w:lang w:val="en-US" w:eastAsia="en-US" w:bidi="ar-SA"/>
          </w:rPr>
          <w:t>Quinn v. Dubnyk, [2011] B.C.J. No. 1124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S096327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1124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792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1496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 M.V.R. (6th) 334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203 A.C.W.S. (3d) 490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:popois of the :shishalh.-tl'extl'ax-min, authorized representative for David Brian Jeffries Quinn, Plaintiff, and Constable Tracey Dubnyk Badge #52916 and C. McPherson Badge #57416, Employers District of Sechelt, Office of the Ministry of Public Safety/Solicitor General, ICBC,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4"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0" w:name="Keywords_34"/>
      <w:bookmarkEnd w:id="240"/>
      <w:r>
        <w:rPr>
          <w:rFonts w:ascii="arial" w:eastAsia="arial" w:hAnsi="arial" w:cs="arial"/>
          <w:b/>
          <w:color w:val="000000"/>
          <w:sz w:val="20"/>
          <w:lang w:val="en-US" w:eastAsia="en-US" w:bidi="ar-SA"/>
        </w:rPr>
        <w:t>Aboriginal law — Aboriginal status and rights — Practice and procedure — Application by defendants to dismiss aboriginal plaintiff's action for damages against them allowed — Plaintiff was ticketed by police inside an Indian Reserve for Motor Vehicle Act offences — He did not attend his trial and was deemed to be convicted — Municipality was not vicariously liable for police actions in charging plaintiff and for impounding his car — Officers were immune from liability — Minister of Public Safety and Solicitor General was not liable for police actions because plaintiff was subject to the Act — Action was collateral attack on conviction and it was an abuse of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Disposition without trial — Dismissal of action — Action unfounded in law — Frivolous, vexatious or abuse of process — Application by defendants to dismiss aboriginal plaintiff's action for damages against them allowed — Plaintiff was ticketed by police inside an Indian Reserve for Motor Vehicle Act offences — He did not attend his trial and was deemed to be convicted — Municipality was not vicariously liable for police actions in charging plaintiff and for impounding his car — Officers were immune from liability — Minister of Public Safety and Solicitor General was not liable for police actions because plaintiff was subject to the Act — Action was collateral attack on conviction and it was an abuse of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Ministries, departments and agencies — Ministers — Actions by and against Crown — Crown liability for acts of servants — Statutory defences, immunities and bars to action — Practice and procedure — Application by defendants to dismiss aboriginal plaintiff's action for damages against them allowed — Plaintiff was ticketed by police inside an Indian Reserve for Motor Vehicle Act offences — He did not attend his trial and was deemed to be convicted — Municipality was not vicariously liable for police actions in charging plaintiff and for impounding his car — Officers were immune from liability — Minister of Public Safety and Solicitor General was not liable for police actions because plaintiff was subject to the Act — Action was collateral attack on conviction and it was an abuse of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Actions by and against — Actions against municipality — Application by defendants to dismiss aboriginal plaintiff's action for damages against them allowed — Plaintiff was ticketed by police inside an Indian Reserve for Motor Vehicle Act offences — He did not attend his trial and was deemed to be convicted — Municipality was not vicariously liable for police actions in charging plaintiff and for impounding his car — Officers were immune from liability — Minister of Public Safety and Solicitor General was not liable for police actions because plaintiff was subject to the Act — Action was collateral attack on conviction and it was an abuse of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Regulated occupations — Liability — Occupations — Police officers — Application by defendants to dismiss aboriginal plaintiff's action for damages against them allowed — Plaintiff was ticketed by police inside an Indian Reserve for Motor Vehicle Act offences — He did not attend his trial and was deemed to be convicted — Municipality was not vicariously liable for police actions in charging plaintiff and for impounding his car — Officers were immune from liability — Minister of Public Safety and Solicitor General was not liable for police actions because plaintiff was subject to the Act — Action was collateral attack on conviction and it was an abuse of process.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1" w:name="Case Summary_32"/>
            <w:bookmarkEnd w:id="2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dismiss Quinn's action. The defendants were two RCMP constables, the District of Sechelt and the Minister of Public Safety and the Solicitor General. The two officers saw an aboriginal named Quinn driving a motor vehicle that displayed Canadian flags instead of licence plates. They stopped him on a road that was within the Sechelt Indian Band reserve. Quinn did not have vehicle insurance or valid licence plates and he was issued a ticket under the Motor Vehicle Act. Quinn would not sign the violation ticket and he would not obtain insurance. His vehicle was impounded to prevent further violations of the Act. Quinn did not attend trial and he was deemed to be convicted under the Act. He did not appeal his conviction. Instead, he commenced this action and he sought damages against the defendants for exercising unlawful authority to issue the ticket and to impound his vehicle. Quinn claimed that the police had no authority to enforce provincial legislation within the Reserve. The District did not have its own police force but it entered into a policing agreement with the Province for the provision of such services.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2" w:name="Holdings of Court_24"/>
            <w:bookmarkEnd w:id="24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dismissed against all of the defendants. The claim against the District was based on two premises. The first was that it was vicariously responsible for the officers' wrongdoing. This was rejected because the RCMP officers remained provincial constables and they did not become municipal constables. The District was therefore not vicariously liable for them. The second was that the District was responsible for enacting and enforcing the Act against aboriginal people and on their land. This was also rejected for the District was not responsible for the enactment of the Act and its application either to aboriginal persons or to land claimed by aboriginal nations. The Act was provincial legislation and the District, as a municipal government, had nothing to do with its enactment and enforcement. The officers were sued in their personal capacities for performing their duties. They were immune for performing duties as provincial constables pursuant to the policing agreement. There was therefore no cause of action against them. The Minister was not vicariously liable for the constables' acts because Quinn was subject to the Act, which was a law of general application as it applied to all residents in the Province. It also applied to the Reserve. The constables therefore had the right to enforce the Act against Quinn while they were on the Reserve. Quinn's action was an abuse of process because it was essentially a collateral attack against his deemed conviction. He should have appealed the conviction. Quinn could not avoid the appeal process by commencing this civil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3" w:name="Legislation Cited_23"/>
      <w:bookmarkEnd w:id="2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5"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9-5(1), Rule 9-5(1) (d),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Canada Act 1982 (U.K.), 1982, c. 11,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1982, R.S.C. 1985, App. II, No. 44, Schedule B, s.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Indian Act, </w:t>
      </w:r>
      <w:hyperlink r:id="rId821" w:history="1">
        <w:r>
          <w:rPr>
            <w:rFonts w:ascii="arial" w:eastAsia="arial" w:hAnsi="arial" w:cs="arial"/>
            <w:i/>
            <w:color w:val="0077CC"/>
            <w:sz w:val="20"/>
            <w:u w:val="single"/>
            <w:shd w:val="clear" w:color="auto" w:fill="FFFFFF"/>
            <w:lang w:val="en-US" w:eastAsia="en-US" w:bidi="ar-SA"/>
          </w:rPr>
          <w:t>R.S.C. 1985, c. I-5, s. 88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Indian Reserve Traffic Regulations, </w:t>
      </w:r>
      <w:hyperlink r:id="rId822" w:history="1">
        <w:r>
          <w:rPr>
            <w:rFonts w:ascii="arial" w:eastAsia="arial" w:hAnsi="arial" w:cs="arial"/>
            <w:i/>
            <w:color w:val="0077CC"/>
            <w:sz w:val="20"/>
            <w:u w:val="single"/>
            <w:shd w:val="clear" w:color="auto" w:fill="FFFFFF"/>
            <w:lang w:val="en-US" w:eastAsia="en-US" w:bidi="ar-SA"/>
          </w:rPr>
          <w:t>C.R.C., c. 959, s. 3</w:t>
        </w:r>
      </w:hyperlink>
      <w:r>
        <w:rPr>
          <w:rFonts w:ascii="arial" w:eastAsia="arial" w:hAnsi="arial" w:cs="arial"/>
          <w:color w:val="000000"/>
          <w:sz w:val="20"/>
          <w:lang w:val="en-US" w:eastAsia="en-US" w:bidi="ar-SA"/>
        </w:rPr>
        <w:t>,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823" w:history="1">
        <w:r>
          <w:rPr>
            <w:rFonts w:ascii="arial" w:eastAsia="arial" w:hAnsi="arial" w:cs="arial"/>
            <w:i/>
            <w:color w:val="0077CC"/>
            <w:sz w:val="20"/>
            <w:u w:val="single"/>
            <w:shd w:val="clear" w:color="auto" w:fill="FFFFFF"/>
            <w:lang w:val="en-US" w:eastAsia="en-US" w:bidi="ar-SA"/>
          </w:rPr>
          <w:t>RSBC 1996, CHAPTER 318, s. 1</w:t>
        </w:r>
      </w:hyperlink>
      <w:r>
        <w:rPr>
          <w:rFonts w:ascii="arial" w:eastAsia="arial" w:hAnsi="arial" w:cs="arial"/>
          <w:color w:val="000000"/>
          <w:sz w:val="20"/>
          <w:lang w:val="en-US" w:eastAsia="en-US" w:bidi="ar-SA"/>
        </w:rPr>
        <w:t>, s. 13(1)(b), s. 24(3)(b)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824" w:history="1">
        <w:r>
          <w:rPr>
            <w:rFonts w:ascii="arial" w:eastAsia="arial" w:hAnsi="arial" w:cs="arial"/>
            <w:i/>
            <w:color w:val="0077CC"/>
            <w:sz w:val="20"/>
            <w:u w:val="single"/>
            <w:shd w:val="clear" w:color="auto" w:fill="FFFFFF"/>
            <w:lang w:val="en-US" w:eastAsia="en-US" w:bidi="ar-SA"/>
          </w:rPr>
          <w:t>RSBC 1996, CHAPTER 367, s. 3</w:t>
        </w:r>
      </w:hyperlink>
      <w:r>
        <w:rPr>
          <w:rFonts w:ascii="arial" w:eastAsia="arial" w:hAnsi="arial" w:cs="arial"/>
          <w:color w:val="000000"/>
          <w:sz w:val="20"/>
          <w:lang w:val="en-US" w:eastAsia="en-US" w:bidi="ar-SA"/>
        </w:rPr>
        <w:t>, s. 14, s. 20, s. 21, s. 21(2), s. 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Royal Canadian Mounted Police Act, </w:t>
      </w:r>
      <w:hyperlink r:id="rId825" w:history="1">
        <w:r>
          <w:rPr>
            <w:rFonts w:ascii="arial" w:eastAsia="arial" w:hAnsi="arial" w:cs="arial"/>
            <w:i/>
            <w:color w:val="0077CC"/>
            <w:sz w:val="20"/>
            <w:u w:val="single"/>
            <w:shd w:val="clear" w:color="auto" w:fill="FFFFFF"/>
            <w:lang w:val="en-US" w:eastAsia="en-US" w:bidi="ar-SA"/>
          </w:rPr>
          <w:t>R.S.C. 1985, c. R-10, s. 18</w:t>
        </w:r>
      </w:hyperlink>
      <w:r>
        <w:rPr>
          <w:rFonts w:ascii="arial" w:eastAsia="arial" w:hAnsi="arial" w:cs="arial"/>
          <w:color w:val="000000"/>
          <w:sz w:val="20"/>
          <w:lang w:val="en-US" w:eastAsia="en-US" w:bidi="ar-SA"/>
        </w:rPr>
        <w:t>(a),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Royal Proclamation of 1763,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Sechelt Indian Band Self-Government Act, </w:t>
      </w:r>
      <w:hyperlink r:id="rId826" w:history="1">
        <w:r>
          <w:rPr>
            <w:rFonts w:ascii="arial" w:eastAsia="arial" w:hAnsi="arial" w:cs="arial"/>
            <w:i/>
            <w:color w:val="0077CC"/>
            <w:sz w:val="20"/>
            <w:u w:val="single"/>
            <w:shd w:val="clear" w:color="auto" w:fill="FFFFFF"/>
            <w:lang w:val="en-US" w:eastAsia="en-US" w:bidi="ar-SA"/>
          </w:rPr>
          <w:t>S.C. 1986, c. 27, s. 14</w:t>
        </w:r>
      </w:hyperlink>
      <w:r>
        <w:rPr>
          <w:rFonts w:ascii="arial" w:eastAsia="arial" w:hAnsi="arial" w:cs="arial"/>
          <w:color w:val="000000"/>
          <w:sz w:val="20"/>
          <w:lang w:val="en-US" w:eastAsia="en-US" w:bidi="ar-SA"/>
        </w:rPr>
        <w:t>(1)(1), s. 37, s.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Transportation Act, </w:t>
      </w:r>
      <w:hyperlink r:id="rId827" w:history="1">
        <w:r>
          <w:rPr>
            <w:rFonts w:ascii="arial" w:eastAsia="arial" w:hAnsi="arial" w:cs="arial"/>
            <w:i/>
            <w:color w:val="0077CC"/>
            <w:sz w:val="20"/>
            <w:u w:val="single"/>
            <w:shd w:val="clear" w:color="auto" w:fill="FFFFFF"/>
            <w:lang w:val="en-US" w:eastAsia="en-US" w:bidi="ar-SA"/>
          </w:rPr>
          <w:t>SBC 2004, CHAPTER 44,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4" w:name="Counsel_34"/>
      <w:bookmarkEnd w:id="2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6"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Constable Tracey Dubnyk, C. McPherson and Office of the Ministry of Public Safety/Solicitor General: L. 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District of Sechelt: A. Atherton.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ICBC: D. Griffin.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5" w:name="Judgment_33"/>
      <w:bookmarkEnd w:id="245"/>
      <w:r>
        <w:pict>
          <v:line id="_x0000_s1197"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6" w:name="C.J. BRUCE J."/>
            <w:bookmarkEnd w:id="246"/>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May 19, 2009, the defendant constables, who are employed by the Royal Canadian Mounted Police ("RCMP"), were on general duty and operating a marked police vehicle on Highway 101 north of Sechelt when they saw the plaintiff driving a motor vehicle that was displaying Canadian flags instead of licence plates. When the constables stopped the plaintiff's vehicle he was on Sinku Drive, which is within a reserve belonging to the Sechelt (Shishalh) Indian Band. The plaintiff did not have vehicle insurance or valid licence plates and the constables issued him a ticket for violating s. 13(1)(b) and s. 24(3)(b)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advised the officers that he would not sign the violation ticket and would not obtain insurance because he was operating a "state" vehicle immune from these provincial requirements. To prevent further infractions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the constables arranged to have the plaintiff's vehicle impounded pending proof that the plaintiff had secured insurance coverage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disputed the violation ticket and a trial was set down in provincial court for July 15, 2010. The plaintiff failed to attend on the day set for trial and was deemed convicted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violations specified in his violation ticket. The plaintiff did not appeal this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August 28, 2009, the plaintiff commenced this action claiming damages against the defendants for exercising an unlawful authority to issue the violation ticket and impound his vehicle. In essence, the plaintiff claims the constables had no authority to enforce provincial legislation on lands claimed by the Shishalh band. Accordingly, the plaintiff submits, the constables acted unlawfully by issuing a violation ticket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by impounding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apply to dismiss the plaintiff's claim pursuant to Rules 9-7 and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In addition to the defendants' position that the plaintiff's amended statement of claim discloses no cause of action against them or a triable issue, the defendant constables and the Solicitor General maintain the plaintiff's pleadings are scandalous, frivolous, vexatious, embarrassing, and otherwise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opposes the defendants' application generally; however, at the hearing of this matter, the plaintiff consented to an order that his claim against the Insurance Corporation of British Columbia ("ICBC") be dismissed. I reserved my decision on ICBC's claim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my intention to address the claim against each of the defendants separately and then address the sufficiency of the plaintiff's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DISTRICT OF SECHELT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plaintiff's claim against the District of Sechelt may be interpreted as based on two premises. First, Sechelt is vicariously responsible for the wrongdoing of the RCMP constables who issued the plaintiff a violation ticket and impounded his vehicle. Second, Sechelt is responsible for enacting and enforcing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against aboriginal people and on land claimed by the Shishalh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Turning to the first argument, pursuant to s. 3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a municipality with a population in excess of 5000 persons, which includes Sechelt, must provide policing and law enforcement services by one of three means. A municipality may establish its own municipal police force, enter into an agreement with the provincial government to provide police services through use of the provincial police force, or enter into an agreement with another municipality to share their municipal police force. Sechelt chose to provide these services through a provincial police force and contracted with the BC government for this purpose. The BC government does not have its own police force. To supply a provincial police force to municipalities, the BC government entered into an agreement with the Federal government for the use of the RCMP to act as a provincial police force carrying out the duties of a municipal police force. This agreement is sanctioned by s. 14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and s. 20 of the </w:t>
      </w:r>
      <w:r>
        <w:rPr>
          <w:rFonts w:ascii="arial" w:eastAsia="arial" w:hAnsi="arial" w:cs="arial"/>
          <w:i/>
          <w:color w:val="000000"/>
          <w:sz w:val="20"/>
          <w:lang w:val="en-US" w:eastAsia="en-US" w:bidi="ar-SA"/>
        </w:rPr>
        <w:t>Royal Canadian Mounted Police Act</w:t>
      </w:r>
      <w:r>
        <w:rPr>
          <w:rFonts w:ascii="arial" w:eastAsia="arial" w:hAnsi="arial" w:cs="arial"/>
          <w:color w:val="000000"/>
          <w:sz w:val="20"/>
          <w:lang w:val="en-US" w:eastAsia="en-US" w:bidi="ar-SA"/>
        </w:rPr>
        <w:t>, R.S.C., 1985, c. R-10 [</w:t>
      </w:r>
      <w:r>
        <w:rPr>
          <w:rFonts w:ascii="arial" w:eastAsia="arial" w:hAnsi="arial" w:cs="arial"/>
          <w:i/>
          <w:color w:val="000000"/>
          <w:sz w:val="20"/>
          <w:lang w:val="en-US" w:eastAsia="en-US" w:bidi="ar-SA"/>
        </w:rPr>
        <w:t>RCMP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Pursuant to s. 14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where the BC government has entered into a policing agreement with the Federal government, the RCMP officers so employed are deemed to be a provincial police force and each officer is deemed to be a provincial constable. Sechelt remains vicariously responsible for the torts and other improper acts of constables employed as municipal police officers pursuant to s. 20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however, it is not vicariously liable for acts of the RCMP acting as a provincial police force. Neither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nor the policing agreement between Sechelt and the BC government renders Sechelt vicariously liable for the torts of RCMP officers acting as provincial constables. It is thus only the provincial government that continues to be vicariously liable for the torts of provincial constables.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Rosario v. Canada (Royal Canadian Mounted Police)</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[1998] B.C.J. No. 3068</w:t>
        </w:r>
      </w:hyperlink>
      <w:r>
        <w:rPr>
          <w:rFonts w:ascii="arial" w:eastAsia="arial" w:hAnsi="arial" w:cs="arial"/>
          <w:color w:val="000000"/>
          <w:sz w:val="20"/>
          <w:lang w:val="en-US" w:eastAsia="en-US" w:bidi="ar-SA"/>
        </w:rPr>
        <w:t xml:space="preserve"> (S.C.), Ralph J. addressed an application by the City of Richmond to dismiss an action against it for damages arising out of wrongdoing by RCMP officers acting as provincial constables pursuant to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and a policing agreement with the BC government that was identical to the agreement between Sechelt and the BC government in the case at hand. After a thorough review of the legislation and the relevant provisions of the policing agreement, Ralph J. held that the City of Richmond was not vicariously liable for the acts of the RCMP officers. At para. 27 of the judgment, Ralph J.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conclusion that the R.C.M.P. constables serving in a municipal police unit remain provincial constables. They do not become municipal constables by either the provisions of the Police Act or the Municipal Police Unit Agreement made between the province and the municipality. A municipality is not vicariously liable for constables who are not municipal constables.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Accordingly, there is no triable issue with respect to the liability of Sechelt based on the plaintiff's first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plaintiff's second argument must also fail because it is based on the faulty premise that Sechelt is responsible for the enactment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its application to either aboriginal persons or to land claimed by aboriginal nations.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provincial legislation. Sechelt, as a municipal government, has nothing to do with the enactment or enforcement of this legislation apart from its contractual arrangement with the BC government concerning the provision of police services. Only the provincial government can be responsible for the impact of provincial legislation on the plaintiff or on lands claimed by the Shishalh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a consequence, the plaintiff's action against the District of Sechelt must be dismissed pursuant to Rule 9-7. Sechelt is not vicariously liable for the acts of the defendant constables. Sechelt is not liable for any wrongful acts arising out of the enactment or enforcement of the </w:t>
      </w:r>
      <w:r>
        <w:rPr>
          <w:rFonts w:ascii="arial" w:eastAsia="arial" w:hAnsi="arial" w:cs="arial"/>
          <w:i/>
          <w:color w:val="000000"/>
          <w:sz w:val="20"/>
          <w:lang w:val="en-US" w:eastAsia="en-US" w:bidi="ar-SA"/>
        </w:rPr>
        <w:t>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CONSTABLES DUBNYK AND MCPHERSON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 constables are sued in their personal capacities for performing their duties. Whether or not the enforcement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against the plaintiff as an aboriginal person or on lands claimed by the Shishalh nation is wrongful, it is apparent that the constables were carrying out their duties as police officers when they issued a violation ticket to the plaintiff and impounded his vehicle. Section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creates a limited immunity for police officers performing duties as provincial constables pursuant to a policing agreement with a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particular, s. 21(2)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provides that no action for damages lies against a provincial constable for acts done in the performance of her duties or in the exercise of her powers or for any alleged default or neglect in the performance of her duty or the exercise of her powers. While s. 21(3) defines an exception to this immunity for police officers who are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malicious or wilful misconduct, the plaintiff does not allege that the actions of the defendant constables amount to behaviour in any one of these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18(a) of the </w:t>
      </w:r>
      <w:r>
        <w:rPr>
          <w:rFonts w:ascii="arial" w:eastAsia="arial" w:hAnsi="arial" w:cs="arial"/>
          <w:i/>
          <w:color w:val="000000"/>
          <w:sz w:val="20"/>
          <w:lang w:val="en-US" w:eastAsia="en-US" w:bidi="ar-SA"/>
        </w:rPr>
        <w:t>RCMP Act</w:t>
      </w:r>
      <w:r>
        <w:rPr>
          <w:rFonts w:ascii="arial" w:eastAsia="arial" w:hAnsi="arial" w:cs="arial"/>
          <w:color w:val="000000"/>
          <w:sz w:val="20"/>
          <w:lang w:val="en-US" w:eastAsia="en-US" w:bidi="ar-SA"/>
        </w:rPr>
        <w:t xml:space="preserve"> provides that it is a duty of every member of the RCMP to uphold all laws in force in the province in which they are assigned to work.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a provincial law that the defendant constables were bound to enforce in the proper performance of their duties. A dispute about the application of this provincial law to aboriginal people or on lands claimed by aboriginal people does not give rise to a claim for damages against a police officer in his or her personal capacity. The plaintiff's claim, if one exists at all, is against the Minister of Public Safety and Solicitor General of British Columbia who is jointly and severally liable for wrongful acts committed by provincial constables.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Accordingly, the plaintiff's action against the defendant constables is dismissed. This action cannot be brought against the defendant constables in their personal capacities because it is barred by s. 21(2) of the </w:t>
      </w:r>
      <w:r>
        <w:rPr>
          <w:rFonts w:ascii="arial" w:eastAsia="arial" w:hAnsi="arial" w:cs="arial"/>
          <w:i/>
          <w:color w:val="000000"/>
          <w:sz w:val="20"/>
          <w:lang w:val="en-US" w:eastAsia="en-US" w:bidi="ar-SA"/>
        </w:rPr>
        <w:t>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MINISTER OF PUBLIC SAFETY AND SOLICITOR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Sinku Drive, where the plaintiff was stopped by the defendant constables, is a highway within the meaning of s.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which incorporates by reference the definition of "highway" contained in s. 1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 xml:space="preserve">. Included within that definition of "highway" is "a public street, road, trail, lane, bridge, trestle ... any other public way ...". There is no dispute that s. 13(1)(b)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makes it an offence to operate a motor vehicle on a highway without displaying current licence plates and that s. 24(3)(b) of the Act prohibits a person from driving a motor vehicle on a highway that is not insured as evidenced by an owner's certificate. The plaintiff lacked both licence plates and valid insurance for his vehicle when he was ticketed by the defendant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failed to attend at the hearing of his dispute notice concerning the offences charged in the violation ticket issued by the defendant constables. As a result, the plaintiff was deemed convicted of the offences. The plaintiff did not appeal his conviction. In these circumstances the court must accept that the violation ticket was properly issued in accordance with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view of the plaintiff's deemed conviction for these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offences, the Minister can only be vicariously liable for acts of the defendant constables in the performance of their duties if the plaintiff, as an aboriginal person, is not subject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not enforceable on the Shishalh reserve where the plaintiff was ticketed and his vehicle impounded.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There is no authority for the proposition that aboriginal persons are immune to provincial laws of general application. Indeed, the law is to the opposite effect. In </w:t>
      </w:r>
      <w:r>
        <w:rPr>
          <w:rFonts w:ascii="arial" w:eastAsia="arial" w:hAnsi="arial" w:cs="arial"/>
          <w:i/>
          <w:color w:val="000000"/>
          <w:sz w:val="20"/>
          <w:lang w:val="en-US" w:eastAsia="en-US" w:bidi="ar-SA"/>
        </w:rPr>
        <w:t>R. v. Alphonse</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[1993] 4 C.N.L.R. 19</w:t>
        </w:r>
      </w:hyperlink>
      <w:r>
        <w:rPr>
          <w:rFonts w:ascii="arial" w:eastAsia="arial" w:hAnsi="arial" w:cs="arial"/>
          <w:color w:val="000000"/>
          <w:sz w:val="20"/>
          <w:lang w:val="en-US" w:eastAsia="en-US" w:bidi="ar-SA"/>
        </w:rPr>
        <w:t xml:space="preserve"> (B.C.C.A.), the Court of Appeal held that laws of general application that do not affect "Indians in their Indianness", "Indians qua Indians" or "Indians in relation to the core values of their society" or "the status and capacities of Indians" apply to Indians by their own force as valid provincial laws: per MacFarlane J.A. at para. 39. Laws of general application that do affect Indians in the ways described above require s. 88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R.S.C., 1985, c. I-5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which incorporates such laws by reference, to make them applicable to Indians.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do not think there can be any doubt that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a law of general application in that it applies throughout the province to all residents. Further,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governs the operation of motor vehicles in the province and does not have any impact on the plaintiff as an aboriginal person in his capacity as an aboriginal person. As a consequence, the plaintiff's claim does not raise issues about the constitutional validity of s. 88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and, in particular, whether it violates s. 35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Neither s. 35 of the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 xml:space="preserve"> nor the </w:t>
      </w:r>
      <w:r>
        <w:rPr>
          <w:rFonts w:ascii="arial" w:eastAsia="arial" w:hAnsi="arial" w:cs="arial"/>
          <w:i/>
          <w:color w:val="000000"/>
          <w:sz w:val="20"/>
          <w:lang w:val="en-US" w:eastAsia="en-US" w:bidi="ar-SA"/>
        </w:rPr>
        <w:t>Royal Proclamation of 1763</w:t>
      </w:r>
      <w:r>
        <w:rPr>
          <w:rFonts w:ascii="arial" w:eastAsia="arial" w:hAnsi="arial" w:cs="arial"/>
          <w:color w:val="000000"/>
          <w:sz w:val="20"/>
          <w:lang w:val="en-US" w:eastAsia="en-US" w:bidi="ar-SA"/>
        </w:rPr>
        <w:t xml:space="preserve"> grant to aboriginal persons who reside within a province, immunity from the laws in force within that province and which apply to all persons resident in that province. Accordingly, any argument based on personal immunity from the application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also argues that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unenforceable on the lands claimed by the Shishalh nation. It is only necessary to address the application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to the Shishalh or Sechelt band reserve where the plaintiff was stopped and issued a violation ticket by the officers. For the purpose of this summary dismissal application, it is unnecessary to determine the consequences of operating an unlicensed motor vehicle on other lands claimed by the Shishalh nation. If the violation tickets were lawfully issued to the plaintiff on the Sechelt reserve, it is irrelevant that these tickets may not have been validly issued for driving without insurance or licence plates at some other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reserve where the plaintiff was pulled over is land held in fee simple by the Sechelt Indian Band and these lands are governed by the </w:t>
      </w:r>
      <w:r>
        <w:rPr>
          <w:rFonts w:ascii="arial" w:eastAsia="arial" w:hAnsi="arial" w:cs="arial"/>
          <w:i/>
          <w:color w:val="000000"/>
          <w:sz w:val="20"/>
          <w:lang w:val="en-US" w:eastAsia="en-US" w:bidi="ar-SA"/>
        </w:rPr>
        <w:t>Sechelt Indian Band Self-Government Act</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S.C. 1986, 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Sechelt Indian Band Self-Government Act</w:t>
      </w:r>
      <w:r>
        <w:rPr>
          <w:rFonts w:ascii="arial" w:eastAsia="arial" w:hAnsi="arial" w:cs="arial"/>
          <w:color w:val="000000"/>
          <w:sz w:val="20"/>
          <w:lang w:val="en-US" w:eastAsia="en-US" w:bidi="ar-SA"/>
        </w:rPr>
        <w:t>]. The members of the Sechelt band approved of this legislation in substance in a referendum held on March 15, 1986. The Act transfers to the Sechelt Indian Band all reserve lands in fee simple and reposes in the band the right of self-government over the lands subject to certain exceptions. The exceptions relevant to this case are found in ss. 37 and 38 of the Act:</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federal laws of general application in force in Canada are applicable to and in respect of the Band, its members and Sechelt lands, except to the extent that those laws are inconsistent with this Act.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Laws of general application of British Columbia apply to or in respect of the members of the Band except to the extent that those laws are inconsistent with the terms of any treaty, this or any other Act of Parliament, the constitution of the Band or a law of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Solicitor General argues that s. 37 of the Act incorporates by reference the </w:t>
      </w:r>
      <w:r>
        <w:rPr>
          <w:rFonts w:ascii="arial" w:eastAsia="arial" w:hAnsi="arial" w:cs="arial"/>
          <w:i/>
          <w:color w:val="000000"/>
          <w:sz w:val="20"/>
          <w:lang w:val="en-US" w:eastAsia="en-US" w:bidi="ar-SA"/>
        </w:rPr>
        <w:t>Indian Reserve Traffic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C.R.C., c. 959</w:t>
      </w:r>
      <w:r>
        <w:rPr>
          <w:rFonts w:ascii="arial" w:eastAsia="arial" w:hAnsi="arial" w:cs="arial"/>
          <w:color w:val="000000"/>
          <w:sz w:val="20"/>
          <w:lang w:val="en-US" w:eastAsia="en-US" w:bidi="ar-SA"/>
        </w:rPr>
        <w:t xml:space="preserve"> passed pursuant to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Section 3 of the Regulation provides that it applies to all roads within Indian reserves. Section 6 of the Regulation requires a driver of a vehicle on reserve lands to comply with all provincial motor vehicle laws in force from time to time. In my view, it is not clear that the </w:t>
      </w:r>
      <w:r>
        <w:rPr>
          <w:rFonts w:ascii="arial" w:eastAsia="arial" w:hAnsi="arial" w:cs="arial"/>
          <w:i/>
          <w:color w:val="000000"/>
          <w:sz w:val="20"/>
          <w:lang w:val="en-US" w:eastAsia="en-US" w:bidi="ar-SA"/>
        </w:rPr>
        <w:t>Indian Reserve Traffic Regulations</w:t>
      </w:r>
      <w:r>
        <w:rPr>
          <w:rFonts w:ascii="arial" w:eastAsia="arial" w:hAnsi="arial" w:cs="arial"/>
          <w:color w:val="000000"/>
          <w:sz w:val="20"/>
          <w:lang w:val="en-US" w:eastAsia="en-US" w:bidi="ar-SA"/>
        </w:rPr>
        <w:t xml:space="preserve"> is a law of general application within the meaning of the Regulation. Indeed, it is a law that specifically applies to "Indians" in their capacity as "Indians". In addition, the Sechelt Band Council is granted authority under the </w:t>
      </w:r>
      <w:r>
        <w:rPr>
          <w:rFonts w:ascii="arial" w:eastAsia="arial" w:hAnsi="arial" w:cs="arial"/>
          <w:i/>
          <w:color w:val="000000"/>
          <w:sz w:val="20"/>
          <w:lang w:val="en-US" w:eastAsia="en-US" w:bidi="ar-SA"/>
        </w:rPr>
        <w:t>Sechelt Indian Band Self-Government Act</w:t>
      </w:r>
      <w:r>
        <w:rPr>
          <w:rFonts w:ascii="arial" w:eastAsia="arial" w:hAnsi="arial" w:cs="arial"/>
          <w:color w:val="000000"/>
          <w:sz w:val="20"/>
          <w:lang w:val="en-US" w:eastAsia="en-US" w:bidi="ar-SA"/>
        </w:rPr>
        <w:t xml:space="preserve"> to pass laws in regard to a wide range of matters, including "public order and safety on Sechelt lands", which is found in s. 14(1)(l) of the Act. The regulation of traffic on the reserve appears to be encompassed within the category of "public order and safety". Thus it would be inconsistent to interpret s. 37 as incorporating by reference provincial legislation through the application of a federal law that is not a law of general application and over a subject which the band council theoretically has jurisdiction to enact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On the other hand, s. 38 of the Act directly extends the application of provincial legislation to members of the band while on a Sechelt reserve if it is a law of general application and not inconsistent with treaties, federal legislation, the band constitution or a law passed by the band. As set out above,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a law of general application. The plaintiff purports to be a member of the Sechelt band although he prefers the aboriginal name of "Shishalh". The application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to members of the Sechelt band while on the reserve lands is not inconsistent with any act of Parliament, including the </w:t>
      </w:r>
      <w:r>
        <w:rPr>
          <w:rFonts w:ascii="arial" w:eastAsia="arial" w:hAnsi="arial" w:cs="arial"/>
          <w:i/>
          <w:color w:val="000000"/>
          <w:sz w:val="20"/>
          <w:lang w:val="en-US" w:eastAsia="en-US" w:bidi="ar-SA"/>
        </w:rPr>
        <w:t>Sechelt Indian Band Self-Government Act.</w:t>
      </w:r>
      <w:r>
        <w:rPr>
          <w:rFonts w:ascii="arial" w:eastAsia="arial" w:hAnsi="arial" w:cs="arial"/>
          <w:color w:val="000000"/>
          <w:sz w:val="20"/>
          <w:lang w:val="en-US" w:eastAsia="en-US" w:bidi="ar-SA"/>
        </w:rPr>
        <w:t xml:space="preserve"> Further, the plaintiff has not produced any evidence that the application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to members of the Sechelt band while on the reserve is inconsistent with any law passed by the band or the band's constitution. Thus I must conclude that s. 38 of the Act extends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to persons travelling on roads within the Sechelt reserve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Accordingly, I find that the defendant officers had a right to enforce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against the plaintiff while on the Sechelt reserve lands. Consequently, the Solicitor General is not vicariously liable for the actions of the defendant constables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Solicitor General argues that the plaintiff's statement of claim is deficient in many respects. However, I find it is only necessary to address the Solicitor General's argument that the plaintiff's action is an abuse of process because it is essentially a collateral attack against his deemed conviction of the offences charged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court's process must not be used for an improper purpose and a statement of claim that attempts to use the court's process for ulterior or improper motives may be struck under Rule 9-5(1)(d). A civil action that seeks to challenge a conviction for an offence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is an abuse of process: </w:t>
      </w:r>
      <w:r>
        <w:rPr>
          <w:rFonts w:ascii="arial" w:eastAsia="arial" w:hAnsi="arial" w:cs="arial"/>
          <w:i/>
          <w:color w:val="000000"/>
          <w:sz w:val="20"/>
          <w:lang w:val="en-US" w:eastAsia="en-US" w:bidi="ar-SA"/>
        </w:rPr>
        <w:t>Sydel v. HMTQ</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2010 BCSC 638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Sydel</w:t>
      </w:r>
      <w:r>
        <w:rPr>
          <w:rFonts w:ascii="arial" w:eastAsia="arial" w:hAnsi="arial" w:cs="arial"/>
          <w:color w:val="000000"/>
          <w:sz w:val="20"/>
          <w:lang w:val="en-US" w:eastAsia="en-US" w:bidi="ar-SA"/>
        </w:rPr>
        <w:t xml:space="preserve">]. Having failed to appeal the deemed conviction for operating a motor vehicle without insurance and without valid licence plates, the plaintiff cannot bring a civil action that essentially challenges the validity of that conviction. As Kelleher J. says at paras. 42 and 43 of </w:t>
      </w:r>
      <w:r>
        <w:rPr>
          <w:rFonts w:ascii="arial" w:eastAsia="arial" w:hAnsi="arial" w:cs="arial"/>
          <w:i/>
          <w:color w:val="000000"/>
          <w:sz w:val="20"/>
          <w:lang w:val="en-US" w:eastAsia="en-US" w:bidi="ar-SA"/>
        </w:rPr>
        <w:t>Sydel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an abuse of the Court's process to bring a civil action which attempts to collaterally challenge a criminal conviction. As a result of the distinction between criminal proceedings and civil litigation, a party cannot seek a remedy statutorily provided for by way of an appeal through civil proceedings. Such an evasion of the criminal process is known as a collateral attack and is prohibited: </w:t>
      </w:r>
      <w:r>
        <w:rPr>
          <w:rFonts w:ascii="arial" w:eastAsia="arial" w:hAnsi="arial" w:cs="arial"/>
          <w:i/>
          <w:color w:val="000000"/>
          <w:sz w:val="20"/>
          <w:lang w:val="en-US" w:eastAsia="en-US" w:bidi="ar-SA"/>
        </w:rPr>
        <w:t>Hainsworth v. Ontario (Attorney General)</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[2002] O.J. No. 1390</w:t>
        </w:r>
      </w:hyperlink>
      <w:r>
        <w:rPr>
          <w:rFonts w:ascii="arial" w:eastAsia="arial" w:hAnsi="arial" w:cs="arial"/>
          <w:color w:val="000000"/>
          <w:sz w:val="20"/>
          <w:lang w:val="en-US" w:eastAsia="en-US" w:bidi="ar-SA"/>
        </w:rPr>
        <w:t xml:space="preserve"> at paras. 39-40 (S.C.J.); </w:t>
      </w:r>
      <w:r>
        <w:rPr>
          <w:rFonts w:ascii="arial" w:eastAsia="arial" w:hAnsi="arial" w:cs="arial"/>
          <w:i/>
          <w:color w:val="000000"/>
          <w:sz w:val="20"/>
          <w:lang w:val="en-US" w:eastAsia="en-US" w:bidi="ar-SA"/>
        </w:rPr>
        <w:t>Semeniuk v. British Columbia (Financial Institutions Commission)</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2008 BCSC 1634</w:t>
        </w:r>
      </w:hyperlink>
      <w:r>
        <w:rPr>
          <w:rFonts w:ascii="arial" w:eastAsia="arial" w:hAnsi="arial" w:cs="arial"/>
          <w:color w:val="000000"/>
          <w:sz w:val="20"/>
          <w:lang w:val="en-US" w:eastAsia="en-US" w:bidi="ar-SA"/>
        </w:rPr>
        <w:t xml:space="preserv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Public policy requires a defendant, who seeks to challenge her conviction, to do so directly by seeking to appeal that conviction. As Lord Steyn noted in </w:t>
      </w:r>
      <w:r>
        <w:rPr>
          <w:rFonts w:ascii="arial" w:eastAsia="arial" w:hAnsi="arial" w:cs="arial"/>
          <w:i/>
          <w:color w:val="000000"/>
          <w:sz w:val="20"/>
          <w:lang w:val="en-US" w:eastAsia="en-US" w:bidi="ar-SA"/>
        </w:rPr>
        <w:t>Arthur J.S. Hall and Co. v. Simons</w:t>
      </w:r>
      <w:r>
        <w:rPr>
          <w:rFonts w:ascii="arial" w:eastAsia="arial" w:hAnsi="arial" w:cs="arial"/>
          <w:color w:val="000000"/>
          <w:sz w:val="20"/>
          <w:lang w:val="en-US" w:eastAsia="en-US" w:bidi="ar-SA"/>
        </w:rPr>
        <w:t>, [2002] 1 A.C. 615 at 679 (H.L.):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 prima facie an abuse to initiate a collateral civil challenge to a criminal conviction. Ordinarily therefore a collateral civil challenge to a criminal conviction will be struck out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failed to attend the trial of his offences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as a result, he was deemed convicted. The plaintiff has not appealed that conviction. Instead, he seeks a declaration from this Court that he could not have been charged with these offences and an order for damages against the defendants for the consequently unlawful seizure of his vehicle. This action, in my view, amounts to a collateral attack on the plaintiff's deemed conviction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His only recourse was to appeal the conviction. The plaintiff cannot avoid the appeals process by commencing a civil action that seeks to override the conviction. I thus find this action must be struck as being an abuse of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normal rule is that the successful parties are entitled to their costs. There is no reason to depart from this principle in the circumstances of this case. Accordingly, I find the defendants are entitled to their costs at Scale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8"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Starr v. British Columbia (Attorney General), [2009] B.C.J. No. 2365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S065551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2365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1641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3219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182 A.C.W.S. (3d) 579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Ricky Stanley Starr, Plaintiff (Appellant), and Her Majesty the Queen in Right of the Province of British Columbia as represented by the Ministry of Attorney General and Carol W. Hickman, Defendants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9"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7" w:name="Keywords_35"/>
      <w:bookmarkEnd w:id="247"/>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Disposition without trial — Dismissal of action — Action unfounded in law — Appeals — From Masters' decisions — Appeal by plaintiff from Master's decision dismissing his action for damages for conspiracy and breach of fiduciary duty dismissed — The Crown obtained an assignment of the child support that the plaintiff's former wife was entitled to, and its lawyer sought to collect the support — Plaintiff alleged that Crown was obliged to disclose wife's whereabouts — Master struck the statement of claim as disclosing no reasonable cause of action — Crown and its lawyer did not owe plaintiff any duties — It was plain and obvious that the claim would fail.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Crown liability for acts of third parties — Appeal by plaintiff from Master's decision dismissing his action for damages for conspiracy and breach of fiduciary duty dismissed — The Crown obtained an assignment of the child support that the plaintiff's former wife was entitled to, and its lawyer sought to collect the support — Plaintiff alleged that Crown was obliged to disclose wife's whereabouts — Master struck the statement of claim as disclosing no reasonable cause of action — Crown and its lawyer did not owe plaintiff any duties — It was plain and obvious that the claim would fail.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profession — Barristers and solicitors — Liability — Relationship with others — Relationship with opposite party — Fiduciary duty — Appeal by plaintiff from Master's decision dismissing his action for damages for conspiracy and breach of fiduciary duty dismissed — The Crown obtained an assignment of the child support that the plaintiff's former wife was entitled to, and its lawyer sought to collect the support — Plaintiff alleged that Crown was obliged to disclose wife's whereabouts — Master struck the statement of claim as disclosing no reasonable cause of action — Crown and its lawyer did not owe plaintiff any duties — It was plain and obvious that the claim would fail.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Duties — Duty of care — Professions — Legal — Barristers and solicitors — Appeal by plaintiff from Master's decision dismissing his action for damages for conspiracy and breach of fiduciary duty dismissed — The Crown obtained an assignment of the child support that the plaintiff's former wife was entitled to, and its lawyer sought to collect the support — Plaintiff alleged that Crown was obliged to disclose wife's whereabouts — Master struck the statement of claim as disclosing no reasonable cause of action — Crown and its lawyer did not owe plaintiff any duties — It was plain and obvious that the claim would fail.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Torts by the Crown — Actions against the Crown — When available — Appeal by plaintiff from Master's decision dismissing his action for damages for conspiracy and breach of fiduciary duty dismissed — The Crown obtained an assignment of the child support that the plaintiff's former wife was entitled to, and its lawyer sought to collect the support — Plaintiff alleged that Crown was obliged to disclose wife's whereabouts — Master struck the statement of claim as disclosing no reasonable cause of action — Crown and its lawyer did not owe plaintiff any duties — It was plain and obvious that the claim would fail.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8" w:name="Case Summary_33"/>
            <w:bookmarkEnd w:id="2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plaintiff Starr from the decision of a Master who directed that his statement of claim was to be struck and the action was to be dismissed because the pleadings disclosed no reasonable cause of action. Starr lived in Ontario. He was previously married and had three children. His wife moved to British Columbia with the children and refused to disclose her address and telephone number in violation of the consent divorce judgment. The allegation against the defendant Hickman related to her position as a solicitor retained by the Province of British Columbia to seek a provisional order regarding support payments and arrears owed by Starr. Hickman contacted Starr's legal counsel in Ontario but refused to release the former wife's address and telephone number. Starr claimed that this concealment of the children amounted to a breach of the divorce judgment, a breach of contract and a breach of the defendants' fiduciary duty. He alleged that as a result of the defendants' actions he suffered damages. Starr also claimed that when the Province took an assignment of the support payments due to the wife it became engaged in a direct relationship with him and it owed him certain duties, including a duty to abide by the divorce judgment.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9" w:name="Holdings of Court_25"/>
            <w:bookmarkEnd w:id="249"/>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Master did not err when he relied on a case which stated definitively that there could be no tort action for wrongful interference with access rights. The breach of an access order did not give rise to a fiduciary duty upon which a cause of action could be based. To allow this action to proceed would impose upon the Crown, derivatively, the duty to discharge all of the obligations of a party under a consent order, when the assignment to it was limited. This was legally untenable. It was plain and obvious that the claim was ill conceived and was bound to fail. Starr had remedies available through the divorce order to enforce the obligations the wife owed him. The defendants owed him no duties. Their relationship with him was strictly as to the assignment of support payments to the Crown and as counsel to the Crown for that limited purpose. The facts that the defendants told Starr something about his wife that he already knew, that she had no interest in communicating with him, was no basis at law for a claim against the Crown.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0" w:name="Legislation Cited_24"/>
      <w:bookmarkEnd w:id="2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0"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Employment and Assistance Act, </w:t>
      </w:r>
      <w:r>
        <w:rPr>
          <w:rFonts w:ascii="arial" w:eastAsia="arial" w:hAnsi="arial" w:cs="arial"/>
          <w:i/>
          <w:color w:val="000000"/>
          <w:sz w:val="20"/>
          <w:lang w:val="en-US" w:eastAsia="en-US" w:bidi="ar-SA"/>
        </w:rPr>
        <w:t>SBC 2002, CHAPTER 40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from the decision of the Supreme Court of British Columbia dated April 24, 2008 (</w:t>
            </w:r>
            <w:r>
              <w:rPr>
                <w:rFonts w:ascii="arial" w:eastAsia="arial" w:hAnsi="arial" w:cs="arial"/>
                <w:i/>
                <w:color w:val="000000"/>
                <w:sz w:val="20"/>
                <w:lang w:val="en-US" w:eastAsia="en-US" w:bidi="ar-SA"/>
              </w:rPr>
              <w:t>Starr v. HMTQ</w:t>
            </w:r>
            <w:r>
              <w:rPr>
                <w:rFonts w:ascii="arial" w:eastAsia="arial" w:hAnsi="arial" w:cs="arial"/>
                <w:color w:val="000000"/>
                <w:sz w:val="20"/>
                <w:lang w:val="en-US" w:eastAsia="en-US" w:bidi="ar-SA"/>
              </w:rPr>
              <w:t xml:space="preserve">, Docket no. S065551)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1" w:name="Counsel_35"/>
      <w:bookmarkEnd w:id="2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1"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(Appellant): E. Zeppieri, G. Gryguc.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(Respondent), Carol W. Hickman: M.G.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Crown: I. Wiebe.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2" w:name="Judgment_34"/>
      <w:bookmarkEnd w:id="252"/>
      <w:r>
        <w:pict>
          <v:line id="_x0000_s1202"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3" w:name="T.M. McEWAN J."/>
            <w:bookmarkEnd w:id="253"/>
            <w:r>
              <w:rPr>
                <w:rFonts w:ascii="arial" w:eastAsia="arial" w:hAnsi="arial" w:cs="arial"/>
                <w:b/>
                <w:color w:val="000000"/>
                <w:sz w:val="30"/>
                <w:lang w:val="en-US" w:eastAsia="en-US" w:bidi="ar-SA"/>
              </w:rPr>
              <w:t>T.M. 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a decision of a Master directing that the plaintiff's claim be struck and the action dismissed on the basis that the pleadings disclose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Master's reasons are succinct: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COURT: There are presently two applications before me, one by the defendant Her Majesty the Queen and the other by Carol Hickman, to strike the statement of claim as it discloses no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At the outset of the hearing today, I advised counsel that my thinking was that there were causes of action in the statement of claim and that perhaps I should either direct particulars be given or amending the statement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Mr. Armstrong was kind enough to furnish the authority of </w:t>
      </w:r>
      <w:r>
        <w:rPr>
          <w:rFonts w:ascii="arial" w:eastAsia="arial" w:hAnsi="arial" w:cs="arial"/>
          <w:i/>
          <w:color w:val="000000"/>
          <w:sz w:val="20"/>
          <w:lang w:val="en-US" w:eastAsia="en-US" w:bidi="ar-SA"/>
        </w:rPr>
        <w:t>Frame v. Smith and Smith</w:t>
      </w:r>
      <w:r>
        <w:rPr>
          <w:rFonts w:ascii="arial" w:eastAsia="arial" w:hAnsi="arial" w:cs="arial"/>
          <w:color w:val="000000"/>
          <w:sz w:val="20"/>
          <w:lang w:val="en-US" w:eastAsia="en-US" w:bidi="ar-SA"/>
        </w:rPr>
        <w:t xml:space="preserve"> from the Supreme Court of Canada. It is a judgment dated September 15th, 1987, at tab 3 of his binder. In my view that case is a complete answer to the notices of motion that have been filed.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 statement of claim will be struck and the action will be dismissed. The defendants, Her Majesty the Queen and Mrs. Hickman, are entitled to their costs of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Although Mr. Percival made an attempt to distinguish that case, that case is clear in the authority, in my mind, and stands for the proposition that where there are statutory remedies there will not be additional torts and actions for those torts. The alleged torts will not be allowed.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the Master was incorrect and/or that his reasons were so brief as to prevent meaningful appellate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approach to be taken on an appeal of a Master's order dismissing a proceeding is to treat the matter as a re-hearing (see: </w:t>
      </w:r>
      <w:r>
        <w:rPr>
          <w:rFonts w:ascii="arial" w:eastAsia="arial" w:hAnsi="arial" w:cs="arial"/>
          <w:i/>
          <w:color w:val="000000"/>
          <w:sz w:val="20"/>
          <w:lang w:val="en-US" w:eastAsia="en-US" w:bidi="ar-SA"/>
        </w:rPr>
        <w:t>Abermin Corporation v. Granges Exploration Ltd.</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at p. 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appellant's Statement of Claim sets out the following background circumstances in paras. 1 and 3 to 10:</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Ricky Stanley Starr ("Mr. Starr") is an individual residing in the Town of Pickering, in the Province of Ontario.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Carol W. Hickman is a Barrister and Solicitor licensed to practice law in the province of British Columbia, and at all material times was an agent of the Defendant Her Majesty the Queen in Right of the Province of British Columbia as represented by the Ministry of the Attorney General to pursue enforcement of child and spousal support awed by Mr. Starr.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married to Johanne Jenine Starr ("Mrs. Starr") on September 3, 1983. There were three children of the marriage: Krista Marie Stair, born June 28, 1985; Jennifer Johanne Starr, born June 16, 1987; Lisa Julia Starr, born September 10, 1989.</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28, 1992, Mrs. Starr obtained an order without notice from the Ontario Court (General Division) restraining Mr. Starr from any contact with Mrs. Starr or the children on the grounds of alleged sexual abuse of the children.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Starr issued a Petition for Divorce on November 6, 1992, following which extensive investigations by Ontario Police, criminal proceedings and child protection proceeding ensued. At no rime were any of Mrs. Starr's allegations of sexual abuse proven or accepted by any court or authority in the province of Ontario.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Starr moved with the children to British Columbia in 1994, without any notification to Mr. Starr.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 Mrs. Starr were divorced by way of Consent Judgment dated September 22, 1997. Paragraph 14 of the Judgment reads, "the petitioner shall keep the respondent advised of her address". Paragraph 15 of the Judgment reads, "the petitioner shall provide the respondent with her telephone number by no later than December I, 1997 for the purpose of facilitating access".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date Mrs. Starr has not provided her address or telephone number to Mr. Starr, nor will she disclose her whereabouts, or the whereabouts of the Starr children, contrary to the Divorce Judgment, and subsequent to the Access Order of the Ontario Court dated January 21, 1995.</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Starr has not seen or known the whereabouts of his children since approximately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allegation against the defendant Hickman relates to her position as a solicitor retained by the Province of British Columbia to seek a provisional order in British Columbia relating to support payments and arrears owed by the plaintiff to his former wife, Johanne Starr. Mrs. Starr, who lives in British Columbia, applied for and was granted income assistance benefits from the Province. In return, she was obliged to assign to the Crown her right to support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connection with those responsibilities, the defendant Hickman contacted the plaintiff's legal counsel in Ontario. The Statement of Claim alleges that she advised Mr. Starr's counsel that Johanne Starr did not wish her address or telephone number to be released to the plaintiff. Ms. Hickman does not deny that this conversation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leads to the following pleadings: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concealment of the Starr children from their father amounts to a breach of the Divorce Judgment, a breach of contract and a breach of the Defendants' fiduciary duty.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or ought to have known of the existence of the terms of the Divorce Judgment, and the Plaintiff's right to access with his children. The Plaintiff pleads that the Defendants wilfully induced Mrs. Starr to breach the Divorce Judgment, by not facilitating access between the Plaintiff and his children by advising of the children's whereabouts.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pleads that the Defendants had a duty to disclose the address and telephone number of Mrs. Starr to the Plaintiff, and/or an obligation to inform Mrs. Starr to do so.</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pleads that the Defendants conspired with Mrs. Starr in a way calculated to do damage to the Plaintiff and any possible relationship he may have hoped to have with his children.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actions of the Defendants, the Plaintiff has suffered special and general damages, including alienation of his children and loss of reputation.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actions constitute a wanton and outrageous disregard of the Plaintiff's rights for which the Plaintiff is entitled to an award of aggravated, punitive and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submits that in taking an assignment of the support payments due to Johanne Starr, the defendants "received her rights to maintenance," as a consequence of which they became engaged in "a direct relationship with the plaintiff that resulted in the defendants having a duty to abide by the governing orders between the parties, including the Divorce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does not set out any material facts in support of their proposition, pleading it as a legal consequence of the Crown taking an assignment of support payments rights. The assignment is required of a person receiving income assistance and the legal relationship of the Crown as assignee and the plaintiff is as to maintenance only, as the legislation (The </w:t>
      </w:r>
      <w:r>
        <w:rPr>
          <w:rFonts w:ascii="arial" w:eastAsia="arial" w:hAnsi="arial" w:cs="arial"/>
          <w:i/>
          <w:color w:val="000000"/>
          <w:sz w:val="20"/>
          <w:lang w:val="en-US" w:eastAsia="en-US" w:bidi="ar-SA"/>
        </w:rPr>
        <w:t>Employment and Assistance Act</w:t>
      </w:r>
      <w:r>
        <w:rPr>
          <w:rFonts w:ascii="arial" w:eastAsia="arial" w:hAnsi="arial" w:cs="arial"/>
          <w:color w:val="000000"/>
          <w:sz w:val="20"/>
          <w:lang w:val="en-US" w:eastAsia="en-US" w:bidi="ar-SA"/>
        </w:rPr>
        <w:t>) makes clear. The Crown is not thereby made a party to the divorce judgment, or to its collateral terms, whether by consent or otherwise. It is simply entitled to the receipt of the amounts owing under that order to offset what it is paying in income assistance to Johanne Starr.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then alleges that this assignment placed the defendants in a fiduciary relationship owing a duty of care to him in the circumstances. No material facts beyond the fact of the assignment are pleaded. The allegation is, at bottom, that Johanne Starr's alleged breach of one of her contractual obligations, filed for enforcement as a consent order in the Starr divorce action, has become the defendants' problem as a result of taking assignment of one of his obligations under the order. This turns the legal position of the parties upside down. Relative to the issue of support, and consequently of the assignment, Johanne Starr is </w:t>
      </w:r>
      <w:r>
        <w:rPr>
          <w:rFonts w:ascii="arial" w:eastAsia="arial" w:hAnsi="arial" w:cs="arial"/>
          <w:color w:val="000000"/>
          <w:sz w:val="20"/>
          <w:u w:val="single"/>
          <w:lang w:val="en-US" w:eastAsia="en-US" w:bidi="ar-SA"/>
        </w:rPr>
        <w:t>adverse</w:t>
      </w:r>
      <w:r>
        <w:rPr>
          <w:rFonts w:ascii="arial" w:eastAsia="arial" w:hAnsi="arial" w:cs="arial"/>
          <w:color w:val="000000"/>
          <w:sz w:val="20"/>
          <w:lang w:val="en-US" w:eastAsia="en-US" w:bidi="ar-SA"/>
        </w:rPr>
        <w:t xml:space="preserve"> to the plaintiff. She is not in a relationship, as the plaintiff would have it, of discretion or power she can unilaterally exercise concerning which the plaintiff is particularly vulnerable. The evidence is that </w:t>
      </w:r>
      <w:r>
        <w:rPr>
          <w:rFonts w:ascii="arial" w:eastAsia="arial" w:hAnsi="arial" w:cs="arial"/>
          <w:i/>
          <w:color w:val="000000"/>
          <w:sz w:val="20"/>
          <w:lang w:val="en-US" w:eastAsia="en-US" w:bidi="ar-SA"/>
        </w:rPr>
        <w:t>he</w:t>
      </w:r>
      <w:r>
        <w:rPr>
          <w:rFonts w:ascii="arial" w:eastAsia="arial" w:hAnsi="arial" w:cs="arial"/>
          <w:color w:val="000000"/>
          <w:sz w:val="20"/>
          <w:lang w:val="en-US" w:eastAsia="en-US" w:bidi="ar-SA"/>
        </w:rPr>
        <w:t xml:space="preserve"> has not honoured his support obligations to </w:t>
      </w:r>
      <w:r>
        <w:rPr>
          <w:rFonts w:ascii="arial" w:eastAsia="arial" w:hAnsi="arial" w:cs="arial"/>
          <w:i/>
          <w:color w:val="000000"/>
          <w:sz w:val="20"/>
          <w:lang w:val="en-US" w:eastAsia="en-US" w:bidi="ar-SA"/>
        </w:rPr>
        <w:t>her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submits that the Master erred in his reliance on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states definitively that there can be not tort action for wrongful interference with access rights, nor does breach of an access order give rise to a fiduciary relationship upon which a cause of action can be based. The relevant portions of the decision include: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obvious to me that the Legislature intended to devise a comprehensive scheme for dealing with these issues. If it had contemplated additional support by civil action, it would have made provision for this, especially given the rudimentary state of the common law. Indeed, as we saw, the Legislature in a separate statute (the </w:t>
      </w:r>
      <w:r>
        <w:rPr>
          <w:rFonts w:ascii="arial" w:eastAsia="arial" w:hAnsi="arial" w:cs="arial"/>
          <w:i/>
          <w:color w:val="000000"/>
          <w:sz w:val="20"/>
          <w:lang w:val="en-US" w:eastAsia="en-US" w:bidi="ar-SA"/>
        </w:rPr>
        <w:t>Family Law Reform Act</w:t>
      </w:r>
      <w:r>
        <w:rPr>
          <w:rFonts w:ascii="arial" w:eastAsia="arial" w:hAnsi="arial" w:cs="arial"/>
          <w:color w:val="000000"/>
          <w:sz w:val="20"/>
          <w:lang w:val="en-US" w:eastAsia="en-US" w:bidi="ar-SA"/>
        </w:rPr>
        <w:t xml:space="preserve">) went out of its way to abolish all the relevant, if inadequate, remedies then existing at common law. Gray J. in </w:t>
      </w:r>
      <w:r>
        <w:rPr>
          <w:rFonts w:ascii="arial" w:eastAsia="arial" w:hAnsi="arial" w:cs="arial"/>
          <w:i/>
          <w:color w:val="000000"/>
          <w:sz w:val="20"/>
          <w:lang w:val="en-US" w:eastAsia="en-US" w:bidi="ar-SA"/>
        </w:rPr>
        <w:t>Schrenk</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[1981] O.J. No. 2499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assumed that an action like the present fell within the ambit of these abolished common law remedies, and I agree that the statute shows a clear disposition not to permit recourse to the courts for civil actions of this nature. There is more here than the usual presumption that the Legislature must be taken to have known the pre-existing law. It had acted on the basis of a </w:t>
      </w:r>
      <w:r>
        <w:rPr>
          <w:rFonts w:ascii="arial" w:eastAsia="arial" w:hAnsi="arial" w:cs="arial"/>
          <w:i/>
          <w:color w:val="000000"/>
          <w:sz w:val="20"/>
          <w:lang w:val="en-US" w:eastAsia="en-US" w:bidi="ar-SA"/>
        </w:rPr>
        <w:t>Report on Family Law</w:t>
      </w:r>
      <w:r>
        <w:rPr>
          <w:rFonts w:ascii="arial" w:eastAsia="arial" w:hAnsi="arial" w:cs="arial"/>
          <w:color w:val="000000"/>
          <w:sz w:val="20"/>
          <w:lang w:val="en-US" w:eastAsia="en-US" w:bidi="ar-SA"/>
        </w:rPr>
        <w:t xml:space="preserve"> (1969) prepared by the Ontario Law Reform Commission.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adopting this position, I am merely following the approach taken by this Court in a number of recent cases. In </w:t>
      </w:r>
      <w:r>
        <w:rPr>
          <w:rFonts w:ascii="arial" w:eastAsia="arial" w:hAnsi="arial" w:cs="arial"/>
          <w:i/>
          <w:color w:val="000000"/>
          <w:sz w:val="20"/>
          <w:lang w:val="en-US" w:eastAsia="en-US" w:bidi="ar-SA"/>
        </w:rPr>
        <w:t>Seneca College of Applied Arts and Technology v. Bhadauria</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[1981] 2 S.C.R. 181</w:t>
        </w:r>
      </w:hyperlink>
      <w:r>
        <w:rPr>
          <w:rFonts w:ascii="arial" w:eastAsia="arial" w:hAnsi="arial" w:cs="arial"/>
          <w:color w:val="000000"/>
          <w:sz w:val="20"/>
          <w:lang w:val="en-US" w:eastAsia="en-US" w:bidi="ar-SA"/>
        </w:rPr>
        <w:t xml:space="preserve">, the Court had to deal with the issue whether the repeated denial of employment on the ground of racial discrimination gave rise to a common law tort. As is the case here, a comprehensive statute, </w:t>
      </w:r>
      <w:r>
        <w:rPr>
          <w:rFonts w:ascii="arial" w:eastAsia="arial" w:hAnsi="arial" w:cs="arial"/>
          <w:i/>
          <w:color w:val="000000"/>
          <w:sz w:val="20"/>
          <w:lang w:val="en-US" w:eastAsia="en-US" w:bidi="ar-SA"/>
        </w:rPr>
        <w:t>The Ontario Human Rights Code</w:t>
      </w:r>
      <w:r>
        <w:rPr>
          <w:rFonts w:ascii="arial" w:eastAsia="arial" w:hAnsi="arial" w:cs="arial"/>
          <w:color w:val="000000"/>
          <w:sz w:val="20"/>
          <w:lang w:val="en-US" w:eastAsia="en-US" w:bidi="ar-SA"/>
        </w:rPr>
        <w:t>, R.S.O. 1970, c. 318, had been enacted to deal with the problem in the face of rudimentary common law development. As here too, the substance of the right was defined by the statute and an array of remedies had been devised to enforce it. Laskin C.J., speaking for the Court, at p. 189, made it clear that there was no room "to create by judicial fiat an obligation ... to confer ... [a] benefit upon certain persons ... solely on the basis of a breach of a statute which itself provides comprehensively for remedies for its breach". The present case, in my view, affords a complete parallel to that situation.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generally, what the present action appears to contemplate is the enforcement of a statutory duty, or what amounts to the same thing, an order made by virtue of a statutory discretion, by means of a civil action rather than by means of the remedies provided by the Act. This Court had occasion to deal with that issue in </w:t>
      </w:r>
      <w:r>
        <w:rPr>
          <w:rFonts w:ascii="arial" w:eastAsia="arial" w:hAnsi="arial" w:cs="arial"/>
          <w:i/>
          <w:color w:val="000000"/>
          <w:sz w:val="20"/>
          <w:lang w:val="en-US" w:eastAsia="en-US" w:bidi="ar-SA"/>
        </w:rPr>
        <w:t>The Queen in right of Canada v. Saskatchewan Wheat Pool</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There the Canadian Wheat Board sought to recover damages against the Pool for having delivered infested grain out of its terminal elevators contrary to a statutory provision;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pleaded. The action failed. The Court flatly rejected the notion of a nominate tort of statutory breach; if the legislature wished to provide for a civil action, it held, it could do so. Any other course would simply allow the courts to choose, in no predictable fashion, to grant a civil remedy for a statutory breach whenever they thought fit. The tenor of the Court's approach may be gleaned from the following passage of the judgment of the present Chief Justice, then Dickson J., at pp. 215-16: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pretence of seeking what has been called a "will o' the wisp", a non-existent intention of Parliament to create a civil cause of action, has been harshly criticized. It is capricious and arbitrary, "judicial legislation" at its very worst.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 "bare faced fiction" at odds with accepted canons of statutory interpretation: "the legislature's silence on the question of civil liability rather points to the conclusion that it either did not have it in mind or deliberately omitted to provide for it"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5th ed., 1977, at p. 123). Glanville Williams is now of the opinion that the "irresolute course" of the judicial decisions "reflect no credit on our jurisprudence" and, with respect, I agree. He writes: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judges to develop a governing attitude means that it is almost impossible to predict, outside the decided authorities, when the courts will regard a civil duty as impliedly created. In effect the judge can do what he likes, and then select one of the conflicting principles stated by his predecessors in order to justify his decision.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need today to supplement legislative action in this way. Indeed, to do so may well do violence to the comprehensive statutory scheme provided by the Legislature; see </w:t>
      </w:r>
      <w:r>
        <w:rPr>
          <w:rFonts w:ascii="arial" w:eastAsia="arial" w:hAnsi="arial" w:cs="arial"/>
          <w:i/>
          <w:color w:val="000000"/>
          <w:sz w:val="20"/>
          <w:lang w:val="en-US" w:eastAsia="en-US" w:bidi="ar-SA"/>
        </w:rPr>
        <w:t>St. Anne Nackawic Pulp &amp; Paper Co. v. Canadian Paper Workers Union, Local 219</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Estey J., especially at p. 721. I shall have more to say about this later. As well, when it is subsequently desired to make changes to a legislative scheme, common law accretions are difficult to deal with adequately.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therefore, the appellant husband has not established a proper basis for an action in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Possible Fiduciary Obligation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Much of what I have already stated seems to me, with respect, to apply with equal force to the possibility, about which this Court invited counsel to make additional submissions, that the appellant may have an action for a breach of a fiduciary obligation arising out of the court order granting him access to the child. All the reasons for not permitting a tort action apply equally to an action for the breach of such an obligation. The Legislature created the rights of custody and access and, as we saw, provided a whole array of remedies for enforcing them, from directions for supervising access, to restraining orders against interference, to apprehending the child, if necessary by permitting entries into premises and searches by the police or the sheriff, to fines and imprisonment. Why the legislature should be thought to have intended enforcement by an action for breach of a fiduciary obligation when there is a failure to comply with an access order, when an intention to permit a tortious action will not be implied, I fail to understand. All the more so when the Legislature has taken pains to abolish all non-statutory actions that had any obvious relevance to the matter. Indeed there are in my view stronger reasons to doubt that the Legislature would have contemplated recourse to this action. It is extremely ill-defined and it would scarcely be one that would immediately leap to mind.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greater clarity as to when an action for a breach of fiduciary obligation would arise than is the case respecting possible tortious action for interference with access. Even if one assumes that not every breach of the right of access can give rise to an action, at what point precisely does an action arise? As I noted in discussing a possible tort action, precision is virtually impossible in this area. The fact that the court may have some discretion in awarding damages does not alter the fact that there may be a wide area of conduct that might be thought by litigants to warrant suit. These are but a few of the uncertainties that surround this amorphous remedy. These uncertainties have the potential to generate pyrrhic, excessive and often needless litigation.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Permitting such an action may well be violative of the express direction of the Act that custody of, and access to children should, in situations like these, be accorded solely on the basis of the children's best interests. The Legislature may well have thought that allowing a civil action would have this effect. I might mention here that the courts will not permit violence to be done indirectly to a legislative scheme. In other contexts, not only have they refused to allow a tort action, but they have gone further and not permitted what had traditionally been permissible contractual actions; see, for example, </w:t>
      </w:r>
      <w:r>
        <w:rPr>
          <w:rFonts w:ascii="arial" w:eastAsia="arial" w:hAnsi="arial" w:cs="arial"/>
          <w:i/>
          <w:color w:val="000000"/>
          <w:sz w:val="20"/>
          <w:lang w:val="en-US" w:eastAsia="en-US" w:bidi="ar-SA"/>
        </w:rPr>
        <w:t>St. Anne Nackawic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 it is by no means certain that permitting civil actions against the custodial parents can be said to be in the best interests of the child, whether this be by creating a tort or recognizing a fiduciary relationship arising out of a court order. Resort even to fines and imprisonment, which is permitted by the Act, has been described as not "entirely appropriate"; see James G. McLeod, "Annotation" to </w:t>
      </w:r>
      <w:r>
        <w:rPr>
          <w:rFonts w:ascii="arial" w:eastAsia="arial" w:hAnsi="arial" w:cs="arial"/>
          <w:i/>
          <w:color w:val="000000"/>
          <w:sz w:val="20"/>
          <w:lang w:val="en-US" w:eastAsia="en-US" w:bidi="ar-SA"/>
        </w:rPr>
        <w:t>O'Byrne v. Koresec</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(1986), 2 R.F.L. (3d) 104</w:t>
        </w:r>
      </w:hyperlink>
      <w:r>
        <w:rPr>
          <w:rFonts w:ascii="arial" w:eastAsia="arial" w:hAnsi="arial" w:cs="arial"/>
          <w:color w:val="000000"/>
          <w:sz w:val="20"/>
          <w:lang w:val="en-US" w:eastAsia="en-US" w:bidi="ar-SA"/>
        </w:rPr>
        <w:t>, at p. 105. That is because these may encroach on the resources of the custodial parent and because the child may suffer from the knowledge that one parent has taken such drastic action against the other. This applies, and in some respects with greater force to a legal action. Damages can impose a far greater financial burden than the fine of up to $1,000 which may be imposed under the Act (s. 39(1)). Furthermore, though the imprisonment of one parent at the behest of the other may be damaging to the child, litigation by one against the other over a protracted period may well be even more damaging.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these reasons, I cannot accept that a breach of the statutorily authorized order in the present case gives rise to a fiduciary relationship on which a cause of action can be grounded.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Conclusion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possible basis for a cause of action having been presented, I would dismiss the appeal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plaintiff's attempt to distinguish </w:t>
      </w:r>
      <w:r>
        <w:rPr>
          <w:rFonts w:ascii="arial" w:eastAsia="arial" w:hAnsi="arial" w:cs="arial"/>
          <w:i/>
          <w:color w:val="000000"/>
          <w:sz w:val="20"/>
          <w:lang w:val="en-US" w:eastAsia="en-US" w:bidi="ar-SA"/>
        </w:rPr>
        <w:t>Frame</w:t>
      </w:r>
      <w:r>
        <w:rPr>
          <w:rFonts w:ascii="arial" w:eastAsia="arial" w:hAnsi="arial" w:cs="arial"/>
          <w:color w:val="000000"/>
          <w:sz w:val="20"/>
          <w:lang w:val="en-US" w:eastAsia="en-US" w:bidi="ar-SA"/>
        </w:rPr>
        <w:t xml:space="preserve"> on the basis that its claim of interference is not against Johanne Starr but against the Crown and its legal counsel requires the court to accept a form of intellectual gymnastics that would impose upon the Crown, </w:t>
      </w:r>
      <w:r>
        <w:rPr>
          <w:rFonts w:ascii="arial" w:eastAsia="arial" w:hAnsi="arial" w:cs="arial"/>
          <w:i/>
          <w:color w:val="000000"/>
          <w:sz w:val="20"/>
          <w:lang w:val="en-US" w:eastAsia="en-US" w:bidi="ar-SA"/>
        </w:rPr>
        <w:t>derivatively</w:t>
      </w:r>
      <w:r>
        <w:rPr>
          <w:rFonts w:ascii="arial" w:eastAsia="arial" w:hAnsi="arial" w:cs="arial"/>
          <w:color w:val="000000"/>
          <w:sz w:val="20"/>
          <w:lang w:val="en-US" w:eastAsia="en-US" w:bidi="ar-SA"/>
        </w:rPr>
        <w:t xml:space="preserve">, the duty to discharge all of the obligations of a party under a consent order, despite the limit of its assignment of one of the obligations of the appellant, while at the same time, being </w:t>
      </w:r>
      <w:r>
        <w:rPr>
          <w:rFonts w:ascii="arial" w:eastAsia="arial" w:hAnsi="arial" w:cs="arial"/>
          <w:i/>
          <w:color w:val="000000"/>
          <w:sz w:val="20"/>
          <w:lang w:val="en-US" w:eastAsia="en-US" w:bidi="ar-SA"/>
        </w:rPr>
        <w:t>independently</w:t>
      </w:r>
      <w:r>
        <w:rPr>
          <w:rFonts w:ascii="arial" w:eastAsia="arial" w:hAnsi="arial" w:cs="arial"/>
          <w:color w:val="000000"/>
          <w:sz w:val="20"/>
          <w:lang w:val="en-US" w:eastAsia="en-US" w:bidi="ar-SA"/>
        </w:rPr>
        <w:t xml:space="preserve"> liable. This is legally untenable. It is plain and obvious that the claim is ill-conceived and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has remedies available to him through the divorce order to enforce the obligations Johanne Starr owes him in connection with their family relationship. The defendants owe him none of those duties. Their relationship with him is strictly as to the assignment of support payments to the Crown and, as counsel to the Crown for that limited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fact that counsel or the Crown told the plaintiff something about his wife that he already knew -- that she had no interest in communicating with him -- is no basis at law for a claim against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appeal of the Master's ruling is therefore dismissed with costs, and the Master's ruling that the Statement of Claim be struck and the action be dismissed affirmed with costs in this Court and throughout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3"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6"/>
          <w:headerReference w:type="default" r:id="rId847"/>
          <w:footerReference w:type="even" r:id="rId848"/>
          <w:footerReference w:type="default" r:id="rId849"/>
          <w:headerReference w:type="first" r:id="rId850"/>
          <w:footerReference w:type="first" r:id="rId8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2" w:history="1">
        <w:r>
          <w:rPr>
            <w:rFonts w:ascii="arial" w:eastAsia="arial" w:hAnsi="arial" w:cs="arial"/>
            <w:b/>
            <w:bCs/>
            <w:i/>
            <w:color w:val="0077CC"/>
            <w:kern w:val="32"/>
            <w:sz w:val="28"/>
            <w:szCs w:val="32"/>
            <w:u w:val="single"/>
            <w:shd w:val="clear" w:color="auto" w:fill="FFFFFF"/>
            <w:lang w:val="en-US" w:eastAsia="en-US" w:bidi="ar-SA"/>
          </w:rPr>
          <w:t>T.K.L. v. T.M.P., [2016] B.C.J. No. 899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Duncan,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D.W. Thompson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21-24,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14937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Duncan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899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789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T.K.L., Plaintiff, and T.M.P.,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4"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4" w:name="Keywords_36"/>
      <w:bookmarkEnd w:id="254"/>
      <w:r>
        <w:rPr>
          <w:rFonts w:ascii="arial" w:eastAsia="arial" w:hAnsi="arial" w:cs="arial"/>
          <w:b/>
          <w:color w:val="000000"/>
          <w:sz w:val="20"/>
          <w:lang w:val="en-US" w:eastAsia="en-US" w:bidi="ar-SA"/>
        </w:rPr>
        <w:t>Damages — For torts — Affecting the person — Invasion of privacy — Action by TKL for damages for breach of privacy, sexual assault and battery allowed in part — Plaintiff alleged her stepfather surreptitiously observed and video-recorded her while she was undressed in her bedroom and bathroom and on earlier occasion tugged off her towel shortly after she left shower — Defendant reasonably believed that towel incident was consensual horseplay — Spying and recording constituted breach of privacy and fiduciary duty and caused plaintiff serious psychological harm — Plaintiff entitled to general damages of $85,000, including $25,000 for aggravated circumstances, $800 for past wage loss, $7,500 for costs of future care and $550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Psychological injuries — Action by TKL for damages for breach of privacy, sexual assault and battery allowed in part — Plaintiff alleged her stepfather surreptitiously observed and video-recorded her while she was undressed in her bedroom and bathroom and on earlier occasion tugged off her towel shortly after she left shower — Defendant reasonably believed that towel incident was consensual horseplay — Spying and recording constituted breach of privacy and fiduciary duty and caused plaintiff serious psychological harm — Plaintiff entitled to general damages of $85,000, including $25,000 for aggravated circumstances, $800 for past wage loss, $7,500 for costs of future care and $550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Special damages — Past loss of income — Expenses and expenditures — Non-pecuniary loss — Action by TKL for damages for breach of privacy, sexual assault and battery allowed in part — Plaintiff alleged her stepfather surreptitiously observed and video-recorded her while she was undressed in her bedroom and bathroom and on earlier occasion tugged off her towel shortly after she left shower — Defendant reasonably believed that towel incident was consensual horseplay — Spying and recording constituted breach of privacy and fiduciary duty and caused plaintiff serious psychological harm — Plaintiff entitled to general damages of $85,000, including $25,000 for aggravated circumstances, $800 for past wage loss, $7,500 for costs of future care and $550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Assault — Battery — Action by TKL for damages for breach of privacy, sexual assault and battery allowed in part — Plaintiff alleged her stepfather surreptitiously observed and video-recorded her while she was undressed in her bedroom and bathroom and on earlier occasion tugged off her towel shortly after she left shower — Defendant reasonably believed that towel incident was consensual horseplay — Spying and recording constituted breach of privacy and fiduciary duty and caused plaintiff serious psychological harm — Plaintiff entitled to general damages of $85,000, including $25,000 for aggravated circumstances, $800 for past wage loss, $7,500 for costs of future care and $550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Invasion of privacy — Action by TKL for damages for breach of privacy, sexual assault and battery allowed in part — Plaintiff alleged her stepfather surreptitiously observed and video-recorded her while she was undressed in her bedroom and bathroom and on earlier occasion tugged off her towel shortly after she left shower — Defendant reasonably believed that towel incident was consensual horseplay — Spying and recording constituted breach of privacy and fiduciary duty and caused plaintiff serious psychological harm — Plaintiff entitled to general damages of $85,000, including $25,000 for aggravated circumstances, $800 for past wage loss, $7,500 for costs of future care and $550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5" w:name="Case Summary_34"/>
            <w:bookmarkEnd w:id="2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TKL for damages for breach of privacy, sexual assault and battery. In 2004, when the plaintiff was 14 years of age, her mother and the defendant began a marriage-like relationship. The plaintiff alleged that in 2008, when she was 18 years of age, she was home alone with the defendant. She claimed that she had just exited the shower when the defendant knocked on the door and told her she had a phone call. She claimed that as she exited the bathroom, the defendant grabbed at the towel that was covering her. She tried to close the door, but could only do so by letting go of the towel, which left her naked. She further alleged that the defendant later tried to grab the towel again when the plaintiff had gone to her room. The defendant claimed that the incident was consented-to hijinks, that he did not see the plaintiff naked and that he ended the game when the plaintiff withdrew her consent. On four occasions in 2011, the defendant surreptitiously video-recorded the plaintiff while she was in the shower and for a period of time shortly after she left the shower. The plaintiff came across the videos and reports the matter to the RCMP. In October 2012, the defendant pleaded guilty to voyeurism. After finding the recordings, the plaintiff became quiet, withdrawn and fearful. She suffered depression, anxiety, mood swings, panic attacks, hypervigilance, irrational fears, loss of confidence and self-esteem and suicidal ideation. She scratched her arms with pins and lost a great deal of weight.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6" w:name="Holdings of Court_26"/>
            <w:bookmarkEnd w:id="25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assault and battery allegations had not been proven. The towel incident began as a juvenile and consensual game. The plaintiff likely became scared and wanted to put a stop to it sooner than the defendant perceived. It was more probable than not that once the defendant had the opportunity to see that the plaintiff was scared by the horseplay, he ended it. He reasonably believed that the plaintiff consented to him tugging at the towels. The spying and recording constituted a breach of privacy and fiduciary duty. Those intentional acts caused the plaintiff serious psychological harm, which resulted in a variety of emotional and physical symptoms. As a result, the plaintiff was entitled to general damages of $85,000, including $25,000 for the aggravated circumstances of the case, $800 for past wage loss, $7,500 for costs of future care and $550 for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7" w:name="Legislation Cited_25"/>
      <w:bookmarkEnd w:id="2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5"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Bankruptcy and Insolvency Act, </w:t>
      </w:r>
      <w:hyperlink r:id="rId853" w:history="1">
        <w:r>
          <w:rPr>
            <w:rFonts w:ascii="arial" w:eastAsia="arial" w:hAnsi="arial" w:cs="arial"/>
            <w:i/>
            <w:color w:val="0077CC"/>
            <w:sz w:val="20"/>
            <w:u w:val="single"/>
            <w:shd w:val="clear" w:color="auto" w:fill="FFFFFF"/>
            <w:lang w:val="en-US" w:eastAsia="en-US" w:bidi="ar-SA"/>
          </w:rPr>
          <w:t>R.S.C. 1985, c. B-3, s. 178</w:t>
        </w:r>
      </w:hyperlink>
      <w:r>
        <w:rPr>
          <w:rFonts w:ascii="arial" w:eastAsia="arial" w:hAnsi="arial" w:cs="arial"/>
          <w:color w:val="000000"/>
          <w:sz w:val="20"/>
          <w:lang w:val="en-US" w:eastAsia="en-US" w:bidi="ar-SA"/>
        </w:rPr>
        <w:t>(1) (a.1)(i)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s. 162(1)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Care Costs Recovery Act, </w:t>
      </w:r>
      <w:hyperlink r:id="rId854" w:history="1">
        <w:r>
          <w:rPr>
            <w:rFonts w:ascii="arial" w:eastAsia="arial" w:hAnsi="arial" w:cs="arial"/>
            <w:i/>
            <w:color w:val="0077CC"/>
            <w:sz w:val="20"/>
            <w:u w:val="single"/>
            <w:shd w:val="clear" w:color="auto" w:fill="FFFFFF"/>
            <w:lang w:val="en-US" w:eastAsia="en-US" w:bidi="ar-SA"/>
          </w:rPr>
          <w:t>S.B.C. 2008, c. 27, s. 16</w:t>
        </w:r>
      </w:hyperlink>
      <w:r>
        <w:rPr>
          <w:rFonts w:ascii="arial" w:eastAsia="arial" w:hAnsi="arial" w:cs="arial"/>
          <w:color w:val="000000"/>
          <w:sz w:val="20"/>
          <w:lang w:val="en-US" w:eastAsia="en-US" w:bidi="ar-SA"/>
        </w:rPr>
        <w:t>, s. 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Privacy Act, s. 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8" w:name="Counsel_36"/>
      <w:bookmarkEnd w:id="2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6"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N.W.P.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Appearing in Person: T.M.P.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9" w:name="Judgment_35"/>
      <w:bookmarkEnd w:id="259"/>
      <w:r>
        <w:pict>
          <v:line id="_x0000_s1207"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0" w:name="D.W. THOMPSON J."/>
            <w:bookmarkEnd w:id="260"/>
            <w:r>
              <w:rPr>
                <w:rFonts w:ascii="arial" w:eastAsia="arial" w:hAnsi="arial" w:cs="arial"/>
                <w:b/>
                <w:color w:val="000000"/>
                <w:sz w:val="30"/>
                <w:lang w:val="en-US" w:eastAsia="en-US" w:bidi="ar-SA"/>
              </w:rPr>
              <w:t>D.W. THOMPSON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for damages arising from a stepfather surreptitiously observing and video-recording his stepdaughter while she was undressed in her bathroom and bedroom. The plaintiff also alleges that her stepfather, on an earlier occasion, tugged off her towels shortly after she left the shower -- the plaintiff submits that this was a sexual assault and battery that also caused damages. The plaintiff relies on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the doctrine of fiduciary duty, and the law of intentional tort (assault/battery).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For the reasons that follow, I find that the assault and battery allegations have not been proven. However, I am satisfied that the spying and recording constitutes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tort as well as a breach of fiduciary duty. These intentional acts have caused the plaintiff serious psychological harm that has given rise to a variety of troubling emotional and physical symptoms. The resulting general damages award includes a measure of compensation for the aggravated circumstances in this case. The plaintiff also claims and is entitled to reimbursement for her past wage loss, compensation for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born in 1990. She grew up on a hobby farm outside of Duncan. She lived there with her father, mother, and younger brother. The defendant was born in 1960. He and his wife and two children lived across the road from the plaintiff's family. The defendant's wife and children left the home when he separated from his wife in or about the year 2000. The defendant's children came to see him on weekends, after school, and on holidays.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parents separated when she was about 12-years-old. In 2004, when the plaintiff was 14-years-old, the defendant and the plaintiff's mother began a marriage-like relationship. The plaintiff's mother, the plaintiff, and the plaintiff's brother moved in with the defendant. In the result, the plaintiff and the defendant lived in the same home from 2004 until the day that the defendant's videos were discovered by the plaintiff in July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October 2012, the defendant pleaded guilty to voyeurism under s. 162(1)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In September 2013, he received a suspended sentence with three years' probation. His conviction also led to his registration as a sex offender.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signed an eight-page agreed statement of facts as part of the plea and sentencing proceedings. He initialled each page. When he was examined for discovery in this action, the defendant admitted the truth of the contents of this document. The defendant acknowledged in the agreed statement of facts that he took on a parental role in relation to the plaintiff:</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T.L.'s step-parent and as such [the defendant] was generally involved in the raising and caring for T.L. throughout her childhood. [The defendant] contributed to T.L.'s cost of living, prepared meals for T.L. and ensured that T.L. followed her chore and homework schedule. [The defendant] was also responsible for disciplining T.L. and caring for T.L. while [T.L.'s mother] was out of the home for work or to attend schooling.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During his evidence, the defendant tried to distance himself from this admission of a parent-child relationship with the plaintiff. The evidence establishes that the plaintiff's mother was primarily responsible for her daughter's care and for following her daughter's chore and homework schedule. Any discipline that the defendant wished to employ was to be meted out by the plaintiff's mother. However, the defendant did have a measure of parental involvement, and I am satisfied that his admission is generally accurate. I find that the defendant acted as a parent to the plaintiff during the seven years the parties lived in the same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Towel-Tugging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incident happened in the spring of 2008, when the plaintiff was 18-years-old. Only the plaintiff and the defendant were at home. The plaintiff's evidence is that she had just exited the shower and had a towel over her body. The defendant knocked on the bathroom door, telling her she had a phone call. The plaintiff opened the door. The defendant grabbed at the towel that was covering her. She asked him what he was doing. He laughed and continued to try to tug on the towel. She tried to close the door and could only accomplish this by letting go of her towel and she was left naked. She managed to close the door and lock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testified that she grabbed another towel to cover herself and sat on the bathroom floor for five or ten minutes. Hearing nothing, she unlocked the door and waited. She slowly opened the door and ran to her bedroom across the hall and closed the door. The defendant opened the bedroom door. He moved to grab the towel. She told him to stop. She was very scared. The plaintiff testified that at that moment, her mother came home and the defendant walked out of her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evidence is that he answered a phone call for the plaintiff. He opened the bathroom door to tell the plaintiff about the phone call. The plaintiff was standing in front of him. She looked at the towel that was covering her body and said, "Go ahead, I have three more towels." The defendant stepped back outside the door, then reached around and pulled the towel off. She put on the other towels and he pulled them off, one by one. His evidence is that he was not looking at her because he was reaching around the door when this was happening. They were laughing. When she left the bathroom for her bedroom, he was tugging on the last towel. He testified that he is stronger than the plaintiff and could have yanked that last towel off if he had so chosen. When she sat on her bed, he looked at her and realized by the fearful look on her face that the game was over and he left her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framework of analysis for the sexual assault allegation was summarized in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at 246: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alleged sexual assault in this case falls under the tort of battery. A battery is the intentional infliction of unlawful force on another person. Consent, express or implied, is a defence to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a case such as one at bar, where it is not disputed that the contact took place, the defendant bears the burden of proof that the plaintiff consented or that a reasonable person in the defendant's position would have thought that the plaintiff consented: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at para.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plaintiff's evidence, a battery would be made out: an intentional touching (by pulling on the towel) and her description of the circumstances would leave no room for argument about lack of consent. And, if the event occurred as the plaintiff recalls, the removal of the towel leaving her completely naked and exposed to his sight may well be sufficient to characterize the battery as a sexual assault. On the defendant's evidence, the incident was consented-to hijinks. His evidence was that at no time did the defendant see the plaintiff naked and he ended the game the moment he knew that the plaintiff's consent was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My impression is that both the plaintiff and the defendant testified to their honest recollection of this incident. I think that the event began as a juvenile and consensual game. The plaintiff likely became scared and wanted to put a stop to it at an earlier time than the defendant perceived. I think it likely that he was, as he testified, reaching around the bathroom door to pull at her towels and this would account (because she was out of his sight) for him being slow to understand that the plaintiff's consent had been withdrawn. I accept that it is more probable than not that once the defendant had the opportunity to see that the plaintiff was scared by the horseplay, he promptly put an end to it. I conclude that the defendant reasonably believed that the plaintiff was consenting to him tugging at her towels.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coming to this conclusion, I have not lost sight of the context in which the towel-tugging incident occurred. The defendant is 30 years older than the plaintiff. He has admitted that he looked upon the plaintiff in a sexual manner from the time she was 13- or 14-years-old -- the plaintiff gave evidence that she looked to be 17 by the time she was 13 or 14. And three years after the towel-tugging incident, the defendant spied on the plaintiff and video-recorded her in the shower. These facts must be considered when weighing the surrounding probabilities. However, I also weigh in the balance my impression of the defendant as a person who is not reluctant to admit that he has done wrong. The defendant admits that he has done a great deal wrong in relation to the plaintiff and that he has caused her significant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conclude that each party viewed this inappropriate incident from the same perspective at the beginning of the event, but from a different perspective as it unfolded. I find that the defendant has discharged his burden of showing that a reasonable person in his position would have thought that the plaintiff consented to the contact that occurred. Accordingly, I conclude that the alleged sexual assault has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Spying and Video-recording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four occasions in the first half of 2011, the defendant surreptitiously video-recorded the plaintiff while she was in the shower and for a period of time shortly after she left the shower. The plaintiff was 20-years-old the first time this happened; on the latter three occasions she was 21. In July 2011, the plaintiff came across the videos on the defendant's camera. The matter was reported to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agreed statement of facts referenced earlier includes a recitation of what was depicted on the video recordings. The following summary of the four recordings is drawn from the agreed statement of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13 January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seen exiting the bathroom door and entering into her bedroom. She is wearing a towel wrapped around her body and has a towel wrapped around her head. She closes her bedroom door and walks around in her bedroom. She gathers her clothes and takes off her towels. Her entire body, including her buttocks, genital area and breasts are captured on the video clip and in the reflection of mirrors that are against her bedroom wall. She is seen bending over to pull up her underwear.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8 May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seen entering into the stand-up shower with a clear glass door. She is completely naked and the video-recording captures images of her vagina, breasts and buttocks. It also shows her masturbating in the shower for a couple of minutes. She is next seen shaving and trimming her pubic hair, and shaving her armpits and legs. She then goes back to masturbating and eventually sits on the shower stall floor. She exits the shower stall and dries 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22 May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is holding the camera, pointed at the shower through a gap in the bathroom door frame. He adjusts the angle and zooms in at various times, capturing images of the plaintiff's vagina, buttocks and breasts. He zooms in on her nipples, zooms out and then re-zooms on her face. She masturbates. After a few minutes of masturbating she washes and conditions her hair, with her arms extended over her shoulders. She is seen getting out of the shower, and images of her breasts, buttocks and vagina are clearly captured.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12 June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is holding the camera, pointed at the shower through a gap in the bathroom door frame. The plaintiff can be seen in the shower completely naked. She is captured exiting the shower and her breasts and vagina are within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agreed statement of facts was drafted by Crown Counsel after she watched the four video-recordings on the camera. The videos were transferred by the RCMP from the camera onto a compact disk. The compact disk was introduced into evidence in the case at bar, and the videos played as part of the plaintiff's case. The defendant stayed in the courtroom while the videos played, but wisely requested that the video monitors be placed so that he could not see the screens.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referred to some of the defendant's admissions. In his evidence at discovery and trial, he made other significant admissions. In particular, he said that there were two reasons he video-recorded the plaintiff. His first motivation was to hurt her and get revenge. He wanted to steal her trust and confidence. He and the plaintiff were frequently arguing, and he felt helpless in his position in the household. I infer that his feeling of helplessness arose because he could not discipline the plaintiff without involving the plaintiff's mother. His second reason is that he saw the video-recording of her as humiliating her and this played into his sexual fantasies. The defendant admitted that before the videos were discovered in July 2011, he viewed them often and used them as stimuli to satisfy himself sexually.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Privacy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By spying on and video-recording the plaintiff as described above, the defendant committed disturbing violations of the plaintiff's personal privacy. Subsection 1(1)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provides that it is a tort for a person, wilfully and without a claim of right, to violate the privacy of another. Little analysis is necessary on the facts of this case to reach the conclusion that the defendant has committed this statutory tort. The defendant acted wilfully. The plaintiff was entitled to the highest degree of privacy when showering with the bathroom door closed, and changing her clothes in her bedroom with the door closed. The nature and occasions of the defendant's conduct make it apparent that his actions violated the plaintiff's privacy. The defendant's liability for the statutory tort is beyond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agree with the plaintiff's submission that the voyeurism and video-recording by her stepfather was a breach of fiduciary duty. There are two Supreme Court of Canada cases that are particularly relevant to this analysis: </w:t>
      </w:r>
      <w:r>
        <w:rPr>
          <w:rFonts w:ascii="arial" w:eastAsia="arial" w:hAnsi="arial" w:cs="arial"/>
          <w:i/>
          <w:color w:val="000000"/>
          <w:sz w:val="20"/>
          <w:lang w:val="en-US" w:eastAsia="en-US" w:bidi="ar-SA"/>
        </w:rPr>
        <w:t>K.M. v. H.M.</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K.M. v. H.M.</w:t>
      </w:r>
      <w:r>
        <w:rPr>
          <w:rFonts w:ascii="arial" w:eastAsia="arial" w:hAnsi="arial" w:cs="arial"/>
          <w:color w:val="000000"/>
          <w:sz w:val="20"/>
          <w:lang w:val="en-US" w:eastAsia="en-US" w:bidi="ar-SA"/>
        </w:rPr>
        <w:t>, the plaintiff sued her father for the damages she suffered as a result of his incestuous acts. The majority judgment establishes several principles that are applicable in the case at bar, and no members of the Court took issue with what Mr. Justice La Forest wrote about the fiduciary duty owed by the defendant to his daughter. The relationship between parent and child is fiduciary in nature (p. 61). The sexual assault of one's child is a grievous and heinous breach of the obligations arising from that relationship (pp. 61-62). The inherent purpose of the family relationship imposes obligations on a parent to act in his or her child's best interests (p. 65). The fiduciary obligations are shaped by the demands of the situation (p.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the plaintiffs suffered abuse in foster homes. At paras. 48-49 of her majority judgment, Chief Justice McLachlin spoke of the content of the parental fiduciary duty. The unique focus of this fiduciary duty is the relationship of trust and loyalty. A breach of this duty is a breach of trust, an act of disloyalty that displays the preference of the parent's own interests at the expense of the child's interests. The parent who uses a child for sexual gratification or who exercises undue influence over their child in economic matters puts his own interest first, abuses the trust, and is disloyal.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There is no doubt that the law extends the fiduciary duty to a step-parent. In </w:t>
      </w:r>
      <w:r>
        <w:rPr>
          <w:rFonts w:ascii="arial" w:eastAsia="arial" w:hAnsi="arial" w:cs="arial"/>
          <w:i/>
          <w:color w:val="000000"/>
          <w:sz w:val="20"/>
          <w:lang w:val="en-US" w:eastAsia="en-US" w:bidi="ar-SA"/>
        </w:rPr>
        <w:t>S.Y. v. F.G.C.</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 the plaintiff had suffered sexual abuse at the hands of her stepfather. In his reasons for the Court, Macfarlane J.A. made the points that a stepfather has a relationship of trust with a stepchild (paras. 38 and 57) and that the issue of breach of fiduciary duty could have been left to the jury (para. 84). In </w:t>
      </w:r>
      <w:r>
        <w:rPr>
          <w:rFonts w:ascii="arial" w:eastAsia="arial" w:hAnsi="arial" w:cs="arial"/>
          <w:i/>
          <w:color w:val="000000"/>
          <w:sz w:val="20"/>
          <w:lang w:val="en-US" w:eastAsia="en-US" w:bidi="ar-SA"/>
        </w:rPr>
        <w:t>R.D. v. G.S.</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2011 BCSC 1118</w:t>
        </w:r>
      </w:hyperlink>
      <w:r>
        <w:rPr>
          <w:rFonts w:ascii="arial" w:eastAsia="arial" w:hAnsi="arial" w:cs="arial"/>
          <w:color w:val="000000"/>
          <w:sz w:val="20"/>
          <w:lang w:val="en-US" w:eastAsia="en-US" w:bidi="ar-SA"/>
        </w:rPr>
        <w:t>, Madam Justice L. Smith held that the defendant stepfather breached his fiduciary duty to his stepdaughter by sexual touching and by keeping photos of her mixed in with child pornography in a place where he knew she might find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case at bar differs from the </w:t>
      </w:r>
      <w:r>
        <w:rPr>
          <w:rFonts w:ascii="arial" w:eastAsia="arial" w:hAnsi="arial" w:cs="arial"/>
          <w:i/>
          <w:color w:val="000000"/>
          <w:sz w:val="20"/>
          <w:lang w:val="en-US" w:eastAsia="en-US" w:bidi="ar-SA"/>
        </w:rPr>
        <w:t>S.Y. v. F.G.C.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R.D. v. G.S.</w:t>
      </w:r>
      <w:r>
        <w:rPr>
          <w:rFonts w:ascii="arial" w:eastAsia="arial" w:hAnsi="arial" w:cs="arial"/>
          <w:color w:val="000000"/>
          <w:sz w:val="20"/>
          <w:lang w:val="en-US" w:eastAsia="en-US" w:bidi="ar-SA"/>
        </w:rPr>
        <w:t xml:space="preserve"> cases in two ways: in each of those cases there was sexual touching, and in each the stepdaughter was a minor. In my opinion, these different features do not assist the defendant. The stepfather's fiduciary obligations might not be as onerous to a stepchild that is no longer an infant in the eyes of the law, but where, as here, the defendant has taken advantage of the proximity and trust created by the stepfather/stepchild relationship, he has surely committed a breach of fiduciary duty. The defendant put his own selfish motivations of sexual gratification and feeling able to punish the plaintiff ahead of the plaintiff's dignity and other important privacy interests. This was disloyal in the extreme and a breach of the relationship of trust between family members that the law imposes in circumstances such as existed in this case. I conclude that the defendant cannot escape liability for a breach of fiduciary duty by the fact that the plaintiff, who was still living at home and dependent upon him, reached the age of majority before he committed his grievously disloyal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Bankruptcy and Insolvency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his amended response to civil claim, the defendant pleads that because of his insolvency and his consumer proposal made before the filing of the plaintiff's notice of civil claim, the provisions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bar the "actions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on the statutory tort of breach of privacy and the granting or enforcement of an award of damage in relation to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On 15 July 2013 the plaintiff was granted an order that the automatic stay provisions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no longer operate to bar the commencement or continuation of this action. Accordingly, there is no bar in place to prevent the trial of this action or the pronouncement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argument, the plaintiff pressed for a declaration that the award of damages against the defendant is in respect of "bodily harm intentionally inflicted," and therefore creates an obligation by the defendant to the plaintiff that survives a bankruptcy discharge under s. 178(1)(a.1)(i)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I think the better course is to release this judgment and await developments. If either of the parties in due course requires adjudication of the issue of whether the judgment arising from these reasons survives a bankruptcy discharge, they have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claims damages to compensate for her pain and suffering, loss of enjoyment of life, and loss of amenities. She submits that the award ought to fully reflect the aggravated circumstances. She claims for a modest amount of past wage loss, and compensation for her cost of future care. She also claims special damages. The plaintiff's additional claim for punitive damages was made only in relation to the towel-tugging incident; she does not claim for punitive damages arising out of the defendant's voyeurism and video-recording.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a case like this, there is every reason to think that the assessment of damages in tort and the assessment of equitable compensation arising from the breach of fiduciary duty will lead to the same result: </w:t>
      </w:r>
      <w:r>
        <w:rPr>
          <w:rFonts w:ascii="arial" w:eastAsia="arial" w:hAnsi="arial" w:cs="arial"/>
          <w:i/>
          <w:color w:val="000000"/>
          <w:sz w:val="20"/>
          <w:lang w:val="en-US" w:eastAsia="en-US" w:bidi="ar-SA"/>
        </w:rPr>
        <w:t>K.M. v. H.M.</w:t>
      </w:r>
      <w:r>
        <w:rPr>
          <w:rFonts w:ascii="arial" w:eastAsia="arial" w:hAnsi="arial" w:cs="arial"/>
          <w:color w:val="000000"/>
          <w:sz w:val="20"/>
          <w:lang w:val="en-US" w:eastAsia="en-US" w:bidi="ar-SA"/>
        </w:rPr>
        <w:t xml:space="preserve">, at 80-81; </w:t>
      </w:r>
      <w:r>
        <w:rPr>
          <w:rFonts w:ascii="arial" w:eastAsia="arial" w:hAnsi="arial" w:cs="arial"/>
          <w:i/>
          <w:color w:val="000000"/>
          <w:sz w:val="20"/>
          <w:lang w:val="en-US" w:eastAsia="en-US" w:bidi="ar-SA"/>
        </w:rPr>
        <w:t>S.Y. v. F.G.C.</w:t>
      </w:r>
      <w:r>
        <w:rPr>
          <w:rFonts w:ascii="arial" w:eastAsia="arial" w:hAnsi="arial" w:cs="arial"/>
          <w:color w:val="000000"/>
          <w:sz w:val="20"/>
          <w:lang w:val="en-US" w:eastAsia="en-US" w:bidi="ar-SA"/>
        </w:rPr>
        <w:t>, at paras. 73-85. Accordingly, I will begin by summarizing the lay and expert evidence on the emotional and physical effects of the defendant's wrongful acts. I will then turn to a tort law assessment of the various heads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Harm Caused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is now 26-years-old, and works in Victoria as a trouble-shooter at a cellphone company. She described a happy childhood, and a close friendship with J.F. who lived close-by in their rural neighbourhood. The plaintiff attended elementary school, middle school, and high school alongside J.F. and they graduated from high school together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recalls that her parents separated when she was 12-years-old. She and her younger brother lived with her mother but she continued to enjoy a close relationship with her father. After moving in with the defendant, the plaintiff described life as "okay" in the new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impression I gathered from listening to the plaintiff's evidence is that she was emotionally well until the time she discovered the video-recordings. J.F. gave evidence and described her friend as strong, bubbly, outgoing, confident, independent, and fearless. J.F. described the changes in her friend as occurring in 2011, after the videos were discovered. I find that the towel-tugging incident caused slight if any psychological harm. J.F. was the closest of friends with the plaintiff; they were confidantes and saw one another every day. If the towel incident had caused significant upset, I think it likely that it would have been reflected in J.F.'s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other hand, there is no doubt that the 2011 events had profound impact. J.F. described her friend as a different person thereafter: quiet, withdrawn, and fearful. J.F. testified that the plaintiff is only now beginning to "become herself again." The plaintiff is now "more social" than she has been since 2011 but "nowhere near what she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J.F.'s mother also gave evidence. She saw the plaintiff daily over the years. The plaintiff would often be over at their house, including for sleepovers. She described the plaintiff before 2011 as a strong-minded and smart girl who was full of life, laughter, and creativity. After the 2011 events, the plaintiff was withdrawn and confused. J.F.'s mother noticed that the plaintiff lost a lot of weight. However, she has noticed that the plaintiff seems in a "better place" and is "more her old self" in the past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J.F. and her mother were both excellent witnesses. I accept their evidence. It corroborates the plaintiff's evidence that she was deeply disturbed by the discovery that she had been spied on and video-recorded by her stepfather. The plaintiff described many psychological and emotional problems, including depression, anxiety, mood swings, panic attacks, flashbacks, hypervigilance, irrational fears, loss of confidence and self-esteem, and suicidal ideation. I accept that she has suffered all of these symptoms and that they were caused by the defendant's wrongdoing in 2011. There have also been physical manifestations of the harm done by the defendant. The plaintiff has suffered from abdominal distress and night sweats. She scratched up her own arms with pins. At one point she had lost about 20% of her body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June 2013, the plaintiff was directed by her counsel to Dr. Maura Beattie, a registered psychologist, for assessment of the degree of psychological harm suffered by the plaintiff and her opinion on treatment recommendations. Dr. Beattie's report describes the plaintiff as a young woman with a "generally well-balanced and psychologically healthy core." Dr. Beattie puts the development of the plaintiff's anxiety disorder and depression down to the "impact of chronic stress/anxiety on physical functioning (including sleep and appetite disturbance), and due to the resultant restriction in activities that occurs when individuals no longer feel safe in their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understand Dr. Beattie's opinion to be that the discovery of the videos was the primary causative factor in the development of this anxiety disorder and depression. I find on the whole of the evidence, however, that the anxiety disorder and depression can be traced entirely to the plaintiff's discovery of the videos. I do not accept Dr. Beattie's evidence to the extent that it suggests that the onset of the plaintiff's difficulties pre-date the 2011 events. In the language used in the causation framework established by the Supreme Court of Canada, the plaintiff's "original position" -- both psychological and physical -- was very sound indeed before the defendant's wrongdoing in 2011. See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Beattie concluded that the plaintiff would benefit from 30 to 40 hours of psychotherapy and from seeing her doctor about some sleep medication. Dr. Beattie's opinion is that the plaintiff's strong core of psychological well-being, her strengths that remain evident despite the anxiety and depression, and the good emotional support she enjoys from family and friends, all bode well for a "relatively good recovery, at least close to her pre-injury level." I accept Dr. Beattie's evidence as to prognosis and treatment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impression I gained from the plaintiff's evidence, and the evidence of J.F. and J.F.'s mother, is that the plaintiff's recovery is now well under way. She is seeing the benefits of the anti-depressant medication regime she is on and she is willing to take the recommended psychotherapy that I think will result in further gains. I accept the evidence of Dr. Beattie that with additional treatment she will rebound to very near her "original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the Supreme Court of Canada considered damages for the intentional tort of battery. Mr. Justice La Forest, also for Gonthier and Cory JJ., provided this conceptual summary at 263: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begin by noting that the battery is actionable without proof of damage. Moreover, liability is not confined to foreseeable consequences. Aggravated damages may be awarded if the battery has occurred in humiliating or undignified circumstances. These damages are not awarded in addition to general damages. Rather, general damages are assessed "taking into account any aggravating features of the case and to that extent increasing the amount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is a young woman who was in her home, a place where she was entitled to feel comfortable and safe. It is not surprising that having a family member so profoundly violate her trust and invade her personal privacy has caused serious harm. It is surely the case that one of the fundamental building blocks of a happy life, with all of its subtle day-to-day reciprocity, is to be able to form and nurture trusting relationships. As young people grow into adulthood, they continuously fine-tune what they have learned about whom and how much to trust. Victims of the type of behaviour engaged in by the defendant take from their experience the unfortunate lesson that no one should be trusted, and they lose their self-confidence about their ability to make judgements about trust and relationships. Indeed, in her evidence the plaintiff has described the destruction of her ability to trust, and the resulting melancholy, loss of self-esteem, and loss of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To his credit, the defendant admits that he has caused the plaintiff a great deal of harm, and he conducted his case with appropriate restraint. As part of his case, the defendant led evidence that the plaintiff was not given to an excessive degree of modesty. He and the plaintiff's mother each testified that on one occasion, the plaintiff pressed her bare breasts against a frosted glass window knowing that the defendant and her mother could see her. The plaintiff denied that this happened. Both the defendant and her mother also testified to some photos that they saw on the shared family computer of partially nude self-photographs of the plaintiff. The plaintiff denied that there was any nudity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think it likely that the plaintiff did press her breasts against the window. She probably did take some mildly provocative self-portraits. But none of this in my opinion detracts from her case or significantly mitigates the damages otherwise payable. The evidence establishes that the plaintiff was a confident and happy young woman. She had a strong sense of self-esteem and probably was proud of her body. She was perfectly entitled to choose what she showed of her body -- and to whom, how, and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seeks an award of $100,000 for general damages, including a $25,000 component to reflect the aggravating features of the case. There are very few cases available to provide guidance.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Malcolm v. Fleming</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[2000] B.C.J. No. 2400</w:t>
        </w:r>
      </w:hyperlink>
      <w:r>
        <w:rPr>
          <w:rFonts w:ascii="arial" w:eastAsia="arial" w:hAnsi="arial" w:cs="arial"/>
          <w:color w:val="000000"/>
          <w:sz w:val="20"/>
          <w:lang w:val="en-US" w:eastAsia="en-US" w:bidi="ar-SA"/>
        </w:rPr>
        <w:t xml:space="preserve">, Madam Justice Downs considered a serious breach of the provisions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When the plaintiff was a 23- or 24-year-old nursing student, she rented a room in the defendants' home. During a period of three years, the male defendant, after forming a close relationship with the plaintiff almost like father to daughter, surreptitiously took video of the plaintiff dressing and undressing, and attending to her personal care. One of the videos showed her in the bathroom removing a tampon. There was no criminal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Malcolm suffered significant emotional and psychological difficulties but was able to complete her college courses. She experienced crying spells, difficulty sleeping, weight loss, and depressed mood. She was left feeling vulnerable when alone and behind closed doors, and unable to trust others, particularly men, as she had before. Downs J. noted the dearth of precedents for fixing the amount of compensatory damages. She noted the similarity of these symptoms to the effects one sees in victims of sexual assault, and fixed compensatory damages "in the range suggested by her counsel" at $15,000. She also awarded punitive damages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L.A.M. v. J.E.L.I.</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2008 BCSC 1147</w:t>
        </w:r>
      </w:hyperlink>
      <w:r>
        <w:rPr>
          <w:rFonts w:ascii="arial" w:eastAsia="arial" w:hAnsi="arial" w:cs="arial"/>
          <w:color w:val="000000"/>
          <w:sz w:val="20"/>
          <w:lang w:val="en-US" w:eastAsia="en-US" w:bidi="ar-SA"/>
        </w:rPr>
        <w:t xml:space="preserve">, is another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case. The defendant videotaped the plaintiff and her young daughter in the bathroom of his house through a peep hole. The videos were taken when the plaintiff was in her mid-twenties. She was in an intimate relationship with the defendant. One video showed the plaintiff in different stages of undress, going to the bathroom, and removing and reinserting a tampon. This footage was discovered after a dispute over a sex tape that the plaintiff and defendant had made together, causing the plaintiff to review a stack of video tapes. After discovering the bathroom video, the plaintiff described feeling humiliated and unable to function for three weeks. She showered wearing clothes and left the lights on in her house out of fear. She was scared to go out of her home, and was uncomfortable in other people's bathrooms. The plaintiff had anxiety and depressed mood. She testified that she was unable to work for a year because of depression because she was afraid to go out and did not want to see anyone. Mr. Justice Truscott made a finding that the plaintiff ought to have pursued recommended counselling and medication. The plaintiff sought $20,000 for non-pecuniary damages and was awarded this sum, along with $35,000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also cited </w:t>
      </w:r>
      <w:r>
        <w:rPr>
          <w:rFonts w:ascii="arial" w:eastAsia="arial" w:hAnsi="arial" w:cs="arial"/>
          <w:i/>
          <w:color w:val="000000"/>
          <w:sz w:val="20"/>
          <w:lang w:val="en-US" w:eastAsia="en-US" w:bidi="ar-SA"/>
        </w:rPr>
        <w:t>Doe 464533 v. N.D.</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2016 ONSC 541</w:t>
        </w:r>
      </w:hyperlink>
      <w:r>
        <w:rPr>
          <w:rFonts w:ascii="arial" w:eastAsia="arial" w:hAnsi="arial" w:cs="arial"/>
          <w:color w:val="000000"/>
          <w:sz w:val="20"/>
          <w:lang w:val="en-US" w:eastAsia="en-US" w:bidi="ar-SA"/>
        </w:rPr>
        <w:t>. In this recently-decided case, damages were assessed as a result of the plaintiff sending an intimate video of herself to her ex-boyfriend at his urging. Both the parties were 18-years-old. The defendant assured the plaintiff no one else would see the video. Motivated by malice, the defendant posted the video on a pornographic website. The video was available online for approximately three weeks. The police were contacted but declined to become involved. The plaintiff was "devastated, distraught and humiliated" by the defendant's actions. She experienced serious depression, and had reactions resembling panic attacks. Four years after the incident, despite extensive counselling, she remained emotionally fragile. The plaintiff nevertheless overcame these challenges to finish her undergraduate studies and at the time of trial was in the midst of a graduate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Justice Stinson noted the absence of similar cases. In assessing general damages, he drew parallels to the analysis in notable sexual battery decisions including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at para. 89, and the judgment of Cromwell J.A. (as he then was) in </w:t>
      </w:r>
      <w:r>
        <w:rPr>
          <w:rFonts w:ascii="arial" w:eastAsia="arial" w:hAnsi="arial" w:cs="arial"/>
          <w:i/>
          <w:color w:val="000000"/>
          <w:sz w:val="20"/>
          <w:lang w:val="en-US" w:eastAsia="en-US" w:bidi="ar-SA"/>
        </w:rPr>
        <w:t>B.M.G. v. Nova Scotia (Attorney General)</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2007 NSCA 120</w:t>
        </w:r>
      </w:hyperlink>
      <w:r>
        <w:rPr>
          <w:rFonts w:ascii="arial" w:eastAsia="arial" w:hAnsi="arial" w:cs="arial"/>
          <w:color w:val="000000"/>
          <w:sz w:val="20"/>
          <w:lang w:val="en-US" w:eastAsia="en-US" w:bidi="ar-SA"/>
        </w:rPr>
        <w:t xml:space="preserve"> at paras. 127-135, and considered a non-exhaustive list of factors taken into account in sexual battery cases, including the circumstances of the victim at the time of the events including factors such as age and vulnerability, the circumstances of the acts including their number, frequency, and how violent, invasive and degrading they were, the circumstances of the defendant and whether he was in a position of trust, and the consequences for the victim including ongoing psychological injuries. The non-pecuniary damages award was $75,000, including a $25,000 aggravated damages component. The Court also awarded punitive damages in the sum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Doe 464533</w:t>
      </w:r>
      <w:r>
        <w:rPr>
          <w:rFonts w:ascii="arial" w:eastAsia="arial" w:hAnsi="arial" w:cs="arial"/>
          <w:color w:val="000000"/>
          <w:sz w:val="20"/>
          <w:lang w:val="en-US" w:eastAsia="en-US" w:bidi="ar-SA"/>
        </w:rPr>
        <w:t xml:space="preserve"> case is persuasive, I instruct myself that I must be careful not to take aggravating features into account twice: once by considering the issue of how invasive and degrading the defendant's actions were in coming to the non-pecuniary damages assessment, and then again by boosting the damages award on the basis of these same factors as aggravating.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My sense is that the plaintiff in the case at bar has suffered a greater degree of pain, disability, emotional suffering, impairment of family and social relationships, and loss of lifestyle than the plaintiffs in the </w:t>
      </w:r>
      <w:r>
        <w:rPr>
          <w:rFonts w:ascii="arial" w:eastAsia="arial" w:hAnsi="arial" w:cs="arial"/>
          <w:i/>
          <w:color w:val="000000"/>
          <w:sz w:val="20"/>
          <w:lang w:val="en-US" w:eastAsia="en-US" w:bidi="ar-SA"/>
        </w:rPr>
        <w:t>Malcolm</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L.A.M.</w:t>
      </w:r>
      <w:r>
        <w:rPr>
          <w:rFonts w:ascii="arial" w:eastAsia="arial" w:hAnsi="arial" w:cs="arial"/>
          <w:color w:val="000000"/>
          <w:sz w:val="20"/>
          <w:lang w:val="en-US" w:eastAsia="en-US" w:bidi="ar-SA"/>
        </w:rPr>
        <w:t xml:space="preserve"> cases. I conclude that the quantum of compensatory damages awarded in those cases would be wholly inadequate compensation in the case at bar. I award $85,000 for general damages, of which $25,000 is allotted to take account of the aggravated features of the case -- I agree with the plaintiff that the damages ought to be significantly increased in response to the defendant's thoroughly undignified and humiliating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claims and the defendant accepts responsibility for paying $700 for wages lost in 2011, shortly after the plaintiff discovered the videos. I award $800 to bring into account the court order interest payable on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accepts the plaintiff's need for 30 to 40 hours of psychotherapy sessions at $200 per hour, and he also accepts that he is responsible for paying $833 forecast as anti-depressant medication costs over the next three years. I award a total of $7500 for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defendant does not contest that the plaintiff is entitled to compensation for $185 she has spent on anti-depressant medication. In addition, there is a certificate in evidence issued under s. 16 of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The record of healthcare services attached to the certificate shows the MSP costs of visits to doctors for anxiety/depression between 2012 and 2015 to a total of $349. The certificate makes reference to a wrongful act occurring "on or about 2008/04/01," but I am satisfied that the health care services were fully attributable to the 2011 events for which the defendant has been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total special damages are $534; I increase the award slightly to $550 to account for 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and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By his intentional actions of spying on and video-recording the plaintiff, the defendant is liable for damages caused by his breach of fiduciary duty and his commission of the intentional tort established by the provisions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The defendant wanted to cause harm to the plaintiff. He accomplished his aim, and the harm has manifested both emotionally and physically. I award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1255"/>
        <w:gridCol w:w="64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$ 85,000</w:t>
            </w:r>
          </w:p>
        </w:tc>
        <w:tc>
          <w:tcPr>
            <w:tcW w:w="634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732"/>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046"/>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$ 7,500</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2091"/>
        <w:gridCol w:w="836"/>
        <w:gridCol w:w="69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$ 550</w:t>
            </w:r>
          </w:p>
        </w:tc>
        <w:tc>
          <w:tcPr>
            <w:tcW w:w="67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$ 93,850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Pursuant to s. 20(1) of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$349 of the total award is designated as applicable to the health care services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If either of the parties requires adjudication of the issue of whether this judgment survives a bankruptcy discharge, they have liberty to apply. The registrar is directed to return to the plaintiff the compact disk filed as an exhibit at trial upon the expiry of the appeal period if no appeal is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Unless there are circumstances of which I am unaware, the plaintiff is entitled to her costs on Scale B in an amount to be agreed-upon or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D.W. THOMPSON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8"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Brown v. Insurance Corp. of British Columbia, [2018] B.C.J. No. 3724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DeWitt-Van Oosten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19-21,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S1751245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3724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2018 BCSC 2089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Marie Jeanne Caroline Brown, Brian Albert Brown, Plaintiffs, and Insurance Corporation of British Columbia, First Truck Collision Centre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jc w:val="both"/>
        <w:rPr>
          <w:rFonts w:ascii="arial" w:eastAsia="arial" w:hAnsi="arial" w:cs="arial"/>
          <w:sz w:val="20"/>
          <w:lang w:val="en-US" w:eastAsia="en-US" w:bidi="ar-SA"/>
        </w:rPr>
      </w:pPr>
      <w:bookmarkStart w:id="261" w:name="Counsel_37"/>
      <w:bookmarkEnd w:id="2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9"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in person: Marie J.C. Brown, Brian A.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Vince G. Critchley.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First Truck Collision Centre Ltd.: Douglas A. McLauchlan.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2" w:name="Judgment_36"/>
      <w:bookmarkEnd w:id="262"/>
      <w:r>
        <w:pict>
          <v:line id="_x0000_s1210" style="position:absolute;z-index:2517483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3" w:name="DeWITT-VAN OOSTEN J."/>
            <w:bookmarkEnd w:id="263"/>
            <w:r>
              <w:rPr>
                <w:rFonts w:ascii="arial" w:eastAsia="arial" w:hAnsi="arial" w:cs="arial"/>
                <w:b/>
                <w:color w:val="000000"/>
                <w:sz w:val="30"/>
                <w:lang w:val="en-US" w:eastAsia="en-US" w:bidi="ar-SA"/>
              </w:rPr>
              <w:t>DeWITT-VAN OOSTEN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w:t>
      </w:r>
      <w:r>
        <w:rPr>
          <w:rFonts w:ascii="arial" w:eastAsia="arial" w:hAnsi="arial" w:cs="arial"/>
          <w:i/>
          <w:color w:val="000000"/>
          <w:sz w:val="20"/>
          <w:lang w:val="en-US" w:eastAsia="en-US" w:bidi="ar-SA"/>
        </w:rPr>
        <w:t>Reasons for Judgment</w:t>
      </w:r>
      <w:r>
        <w:rPr>
          <w:rFonts w:ascii="arial" w:eastAsia="arial" w:hAnsi="arial" w:cs="arial"/>
          <w:color w:val="000000"/>
          <w:sz w:val="20"/>
          <w:lang w:val="en-US" w:eastAsia="en-US" w:bidi="ar-SA"/>
        </w:rPr>
        <w:t xml:space="preserve"> were delivered as oral reasons. They have since been edited for distribution to the parties and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own and operated a logging truck consisting of a tractor and two trailers. In January 2015, the unit was involved in an accident on a forest road near Fort St.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Within hours of the accident, the plaintiffs filed a claim with the Insurance Corporation of British Columbia (ICBC). First Truck Collision Centre Ltd. (First Truck) subsequently assessed the damage to the logging truck, estimated the cost of repairs and, with the authorization of the plaintiffs, did the work. ICBC covered the cost of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are dissatisfied with the repairs. In their view, First Truck underestimated the amount of damage caused by the accident; failed to complete repairs that needed to be done; and, some of the completed repairs were done inadequately.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say the logging truck is unusable and allege significant revenue loss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From the plaintiffs' perspective, ICBC is equally responsible for the loss as the insurer. It approved an estimate that proved to be inadequate. As a result, the repairs done to the logging truck were insufficient and ICBC did not deliver the coverage promised under the insurance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Since a last set of repairs completed in February 2017, the logging truck has been sitting idle at First Truck's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First Truck's position that the plaintiffs should have removed the truck from its yard once told there would be no more repairs. First Truck asks that the plaintiffs pay storage costs from April 2017 onward.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trial of this matter commenced in Prince George on November 19, 2018. It was set for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plaintiffs closed their case at the end of the second day. The defendants subsequently brought a no evidence motion under Rule 12-5(4)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and applied for dismissal on grounds that the plaintiffs have tendered no evidence on one or more of the essential elements they are required to 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is my ruling on the no evidence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RAISED BY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both a Notice of Civil Claim and Counterclaim. The plaintiffs represented themselves at trial. The defendants had legal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From the pleadings, the trial raises these primary questions:</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First Truck and/or ICBC negligent in estimating damage sustained as a result of the collision in January 2015, and failing to adequately complete the necessary repairs?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ICBC breach its insurance contract by failing to provide the extent of coverage promised to the plaintiffs?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plaintiffs have established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or a breach of contract, what are their damages?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plaintiffs mitigate any such damages?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plaintiffs liable to First Truck for storage costs since the last set of repairs to the logging truck?</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each of the first three of these questions, the plaintiffs bear the onus of proof. To succeed on the trial, they must establish liability as against First Truck and ICBC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their no evidence motion, the defendants argue that the plaintiffs have not tendered evidence from which liability may reasonably be determined in the plaintiffs'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Logging Truck's Condition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Freightliner tractor and trailers (a 1990 Artic tandem Jeep and 1978 Brentwood tandem pole trailer), are registered in the name of Marie Brown. However, they were used to support a joint business enterprise between Marie Brown and Brian Brown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Freightliner was purchased in 2007. It was already nine years old, having been manufactured in 1998. An odometer reading shows there are over 191,000 kilometres on the Freightliner. However, Mr. Brown acknowledged in cross-examination that the odometer may have reached 999,999 before then and, as a result, the actual usage in kilometres could stand as high as 1.19 million. The odometer has not been working properly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first seven years post-purchase, the Freightliner was used by the plaintiffs in various capacities, including hauling equipment and gravel for their work in the construction industry. Mr. Brown considered the truck to be an important part of his available equipment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trailers were purchased in December 2014. The plaintiffs tendered an invoice dated December 18, 2014 that shows they paid a total of $7,000 for the trailers.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purchasing the trailers, the plaintiffs began to ready the Freightliner and trailers for hauling logs. Various repairs or improvements were done to the unit, including replacing tires. Receipts for work completed show about $4,218 worth of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Freightliner and each of the trailers passed a semi-annual commercial vehicle inspection in January 2015, as required by the provincial Ministry of Transportation and Infrastructure.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Full-year vehicle insurance was arranged for all three pieces of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coverage was purchased with ICBC, in the name of Ms. Brown. According to policies put before the Court, the Freightliner carried a "Declared Value" of $40,000 as at January 2015. Its insurance included basic coverage, third party liability, collision, "comprehensive" and coverage for loss of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Arctic and Brentwood trailers were also insured for "comprehensive".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Brown testified that the unit began hauling logs at the end of December 2014, beginning of January 2015. Payment documents produced by the plaintiffs show that in January 2015, the logging truck generated $18,508.46 in gross revenue.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January 2015, Mr. Brown was operating the logging truck. He was working on a radio-assisted forest road near Fort St. James. He pulled over to allow an oncoming logging truck get by. The other truck came across a bridge and caught his vehicle on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Brown disputed liability for the collision. The evidence is that ICBC assessed him to be 50% liable. The other driver took the matter to court and, ultimately, Mr. Brown was found to be 100%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Brown testified that the collision dragged his vehicle backward. One of the trailers was jack-knifed across the road. The other lay off to the side. With the assistance of others in attendance, Mr. Brown moved the trailer that was across the road out of the way. He left the trailers at the scene and drove the Freightliner to Fort St.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Brown took photographs of the damage to his logging truck immediately following the collision. Some of the photos were put in to evidence. Among other things, they show damage to the driver's mirror on the cab. A chain hanger in front of the back tires on the Freightliner was bent. There was a large rip in a back tire and the rim was destroyed. According to Mr. Brown, the unit's suspension axles were thrown into misalignment and U-bolts holding the suspension in place had been sheared. The truck's air container was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Fort St. James, Mr. Brown had the tire with the ripped sidewall replaced. The rim was re-mounted to stabilize the remaining wheel on that side of the vehicle, and Mr. Brown drove the Freightliner to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contacted ICBC to initiate a claim. Mr. Brown was told to find a repair shop. He took the Freightliner to First Truck for an estimate and repairs. He had not dealt with First Truck before, but testified that it was next to, or connected with, a company known to him as Premium Truck &amp; Trailer Inc. ("Premium"), and he was familiar with the work done by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two trailers arrived at First Truck a couple of days later. When they arrived, Mr. Brown viewed them. It was his opinion that further damage had occurred to the trailers post-accident, probably from a hit and run. Among other things, there was damage to the carrying pipe and a front bunk was missing. Because of the additional damage, the plaintiffs initiated a second claim with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resulted in a cumulative four claims with ICBC: one for each piece of the unit arising out of the first collision, and a fourth claim for the trailers based on the further damage sustained after Mr. Brown left the collision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First Truck agreed to complete repairs in respect of all four claims.</w:t>
      </w:r>
      <w:bookmarkStart w:id="264" w:name="Backward_fnref_fnr-1_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6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some point, the date is unclear, Mr. Brown was contacted by ICBC's Commercial Claims Department. He was told in an email of the steps he must follow in having the logging truck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Brown acknowledged that he was told ICBC would assign an appraiser to the file. Once an estimate of the damage was received by the appraiser, it would be reviewed and approved. However, according to the email, it was Mr. Brown's responsibility to authorize the repairs and he was told he should do so "ASAP" to mitigate the plaintiffs'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Brown testified that in bringing the Freightliner and trailers to First Truck, he "entrusted" the equipment to First Truck and ICBC for the purposes of repairs. It was his expectation that the equipment would be released back to him in its pre-accident condition, roadworthy and capable of passing inspection as required by the Ministry of Transportation and Infrastructure.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Repairs by First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An "ICBC Direct Truck Repair Sheet" dated January 27, 2015 shows that an estimate of the damage to the Freightliner and trailers was completed by Randy Evans with First Truck. Mr. Brown understood that Mr. Evans was the manager of First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 to the Truck Repair Sheet, the total estimate for repairs came in at $14,548.41.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February 6, 2015, the plaintiffs provided written authorization to First Truck to proceed with "the repairs as approved by ICBC". The letter specified the plaintiffs' understanding that ICBC had approved repairs to the "cab, cab guard, chain hanger, tires, wheels and suspension of the truck". The letter further noted that ICBC had approved repairs to the trailers, but the plaintiffs were unaware of the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February 6 authorization, the plaintiffs' expressed an expectation that "after the repairs the units will be in safe certifiable and in good working condition as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 few days after he brought the Freightliner to First Truck, Mr. Brown was contacted and told he had to order a steel cab guard to replace the existing aluminum one. He wanted the truck to be repaired and complied with the request, even though he personally preferred an aluminum cab guard. He ordered a steel cab guard from Vanderhoof and arranged for it to be delivered to First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Brown was subsequently contacted by First Truck and told that new VIN numbers were required for the unit, as one or more of the existing VIN numbers were not discernible. Mr. Brown made the requisite arrangements and new VIN numbers were provided. He understood the logging truck could not be released to him until this was taken care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March 27, 2015, Mr. Brown was told that the logging truck was ready for pick up. He retrieved the Freightliner and two trailers from First Truck. He was provided with a number of documents from First Truck, listing the repairs that had been done. The total cost amounted to just over $23,000.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Brown took the logging truck home. He testified that as he was driving it, he noticed it seemed hard to steer. He contacted First Truck and was told to bring it back. He did so and had discussions with First Truck about the potential for misalignment. Further repairs were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 to an invoice dated April 11, 2015, these repairs were completed by Premium, an alignment specialist, and cost approximately $358.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was not the first time Premium assisted with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Brown testified that it had also done so in February 2015, while the logging truck was initially with First Truck. Mr. Brown asked that the equipment's wheel alignment be looked at. On that occasion, Premium produced a "Job Report" that was provided to Mr. Brown, recommending additional work on the unit. Mr. Brown understood that First Truck and Premium considered this additional work to arise from damage that pre-existed the January 2015 collision. As a result, First Truck would not attend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After the second set of repairs were completed, Mr. Brown again retrieved the logging truck from First Truck and took it home. From his perspective, there were further things to be done before the tractor and trailers would be roadworthy. In particular, he considered it necessary to ensure that all of the recommendations contained in Premium's "Job Report" were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Insurance on the Freightliner, as well as the two trailers, was cancelled by the plaintiffs in May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Brown set about doing his own repairs on the logging truck. Part of this work was done at a niece's property, where Mr. Brown could access a welder. Receipts from December 2015 in the cumulative amount of about $282 were filed at trial, said to substantiate the fact that he was doing work on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Brown testified that he would work on the logging truck in his spare time. His goal was to have the Freightliner and trailers ready to go for log hauling in winter 2015/16.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December 2015, while trying to break some bolts loose on the truck, he broke an outside bone on one of his legs. This laid him up for a number of months. Because of the injury, he was not able to continue with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early to mid-2016, Mr. Brown tried to do as much as he could on the unit, but it was limited. He wanted to resume hauling logs in the fall 2016. However, as he got further into his repairs, he was discovering more and more damage on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early 2017, he contacted First Truck and explained the further things he had noted. Between April 2015, when he had retrieved the logging truck from First Truck after the second set of repairs, and this renewed contact, Mr. Brown had no contact with either ICBC or First Truck about the Freightliner, two trailers and the need for further repairs arising out of the January 2015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Mr. Brown reached out to First Truck in 2017, the Freightliner and trailers were no longer insured. First Truck provided Mr. Brown with a "repair plate" that would allow him to drive the unit back to the repair shop, which he did in February 2017. Mr. Brown took further photos of the logging truck. From his perspective, the photos showed bent axles and damage to a brake pot and push rod. He testified that he also raised concerns with First Truck about damage to the cab.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First Truck did further repairs, once again involving Premium. According to an invoice from Premium, these repairs cost $441.75.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Brown attended First Truck on February 28, 2017 to retrieve the logging truck a third time. He tried to drive the truck, but it was not running properly. He said it was "spitting" and blowing smoke. Mr. Brown does not know what was wrong with it. He had not experienced these problems when he drove the unit to First Truck using the "repair plate". "Everything is controlled by a computer" on the Freightliner and he does not know what was causing the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Brown took more photos of the logging truck within a couple of days of February 28, showing what he describes as a "wide gap" between the cab door and the frame. These photos also show paint chips and a crease and depression running along the rivets at the top of the cab's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Brown testified that although he did not notice this latter damage until well after the accident in January 2015 (he said he was concentrating on other things), he believes the problems with the Freightliner's driver's door are attributable to the accident and should have been apparent when First Trust worked on the truck in January and February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Numerous parts were replaced by First Truck around and about the cab of the Freightliner, but the damage that was visible in February 2017 had not been repaired. From Mr. Brown's perspective, this damage, including the gap around the cab door, must have occurred at the time of the collision. It is his view that the damage renders the truck unusable. Among other things, no driver would be willing to spend hours in the cab with the pressure and sound of the wind coming through the gap between the door and the cab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he could not get the Freightliner running properly on February 28, Mr. Brown decided that the unit was no longer roadworthy. He left it at First Truck, and it is still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Brown communicated with ICBC and First Truck on March 6, 2017, expressing his dissatisfaction with the repair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did not arrange to have the equipment towed from First Truck to his residence or anywhere else. He did not arrange to have the repairs he thought needed to be done to render the unit operable and capable of passing inspection, completed by First Truck or another shop. He understood that First Truck would not be completing any further repairs on the logging truck. He was advised of this fact in writing on April 18,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did not retain an expert to assess the adequacy of any repairs done on the Freightliner and trailers by First Truck; the existence of a causal nexus between matters that Mr. Brown says are still in need of repair and the accident; or the extent of the unit's current alleged lack of roadworthiness or inoperability.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Brown acknowledged in his testimony that he is not qualified to assess damages arising out of a collision, estimate the cost of needed repairs, or formally certify when a vehicle is roadworthy. The plaintiffs would have to pay to have this done by an independent source. Mr. Brown testified that they could not afford it and were not prepared to "throw good money after bad". Post-accident, every time he started doing repairs himself, he would find more damage on the logging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cross-examination, Mr. Brown was asked whether ICBC had paid for all of the repairs done pursuant to First Truck's January 2015 estimate. He acknowledged it had.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Storage at First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March 31, 2017, First Truck sent a letter to the plaintiffs advising that effective April 17, 2017, First Truck would charge the plaintiffs $40 per day for storage of the Freightliner and two trailers.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Brown responded in writing, telling First Truck that from his perspective, the logging truck remained at First Truck for the purpose of repairs. He testified that according to his understanding of ICBC practice and policy, if an insured is not satisfied with repairs done to a vehicle as part of an insurance claim, the vehicle should be taken back to the shop that did the work for an additional assessment and further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Brown reached this opinion based on material he says he viewed on ICBC's website. Excerpts from the website were put before the Court, in which it is indicated that if an insured is not satisfied with repairs pursuant to an insurance claim, the vehicle should be returned to the same shop to fix the repairs. From his perspective, this is what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If storage costs are due, Mr. Brown believes it is ICBC's responsibility to pay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 Revenue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Brown testified that for each day the Freightliner and trailers are not on the road hauling logs, the plaintiffs lose just over $1,900 per day in gross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Using figures he relied upon in support of a "Commercial Claims Downtime" that was filed with ICBC in March 2015, Mr. Brown estimates the cost of running the logging truck at about $565 per day. This does not include the cost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unit only hauled logs in late December 2014/January 2015 for a period of two weeks, completing 10 loads and generating $18,508.46 in gross revenue. It has not hauled logs since then. The plaintiffs intended to haul logs primarily during the winter months, because of Mr. Brown's commitments to his construction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However, as noted, since 2007 the plaintiffs have used the Freightliner for more than hauling logs. It was also used to assist with hauling equipment, gravel and other tasks. They would rent out the trailers on occasion. Mr. Brown testified that overall, the tractor and trailers could generate $6,000 to $7,000 per week in gross revenue, 10 months of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To provide context for the no evidence motion, it is helpful to summarize the parties' positions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argue that after the events of January 2015, they "entrusted" the Freightliner and two trailers to First Truck and ICBC for the purposes of repairs and, consistent with the insurance coverage purchased by them, expected that any and all damage resulting from the collision would be repaired, leaving the Freightliner and trailers in their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Before the collision, the plaintiffs considered the equipment roadworthy and capable of passing provincial inspection requirements. Indeed, all three pieces had passed an inspection on January 8, about three weeks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From the plaintiffs' perspective, First Truck negligently underestimated the damage caused by the events of January 2015 and, as a result, did not identify and complete all of the repairs necessary to address the damage. Moreover, some of the repairs that it did complete, were done inadequately.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say ICBC, as insurer, approved a negligent estimate, without any indication that it exercised its own diligence in assessing the estimate for accuracy. As a result, in covering only the matters identified by First Truck, it failed to provide the insurance coverage that the plaintiffs were contractually entitled to; namely, coverage for any and all repairs that were necessary to address the damage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plaintiffs argue that because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contract, they have been deprived of the Freightliner and two trailers since March 2015. They say the logging truck is still suffering the adverse effects of the accident and is unusable because the full extent of the damage has not been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response to the Counterclaim, the plaintiffs deny liability for the storage costs at First Truck. From their perspective, unless and until all damage associated with the ICBC claims has been adequately repaired, it is ICBC's responsibility to cover the cost of storage. The plaintiffs say the Freightliner and two trailers are only at First Truck's premises because the defendants have failed in their obligations.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Defendant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its response to the Notice of Civil Claim, ICBC admits that at the time of the accident, Ms. Brown had insurance coverage for the Freightliner and two trailers.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However, ICBC denies that it conducted itself negligently, or in breach of its contract, in handling the plaintiffs' claims. It also stipulates that if the plaintiffs have suffered loss or damages, they were contributorily negligent and failed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Defendant First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First Truck also denies liability, saying it did not owe a duty to the plaintiffs in its estimate of damage arising from the accident, and, in any event, it reasonably assessed the said damage and completed the resultant repairs in a "workmanlike"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Like ICBC, First Truck alleges a failure to mitigate by the plaintiffs and, in its Counterclaim, requests that the plaintiffs pay $40 per day in storage fees commencing April 17,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argue that the plaintiffs have failed to tender evidence on essential elements that they must prove to succeed on the issue of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A. Tort of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Essential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the plaintiffs must establish on a balance of probabilities that: a) each defendant owed them a duty of care to conform to a certain standard that would protect them against unreasonable risks; b) a breach of that duty; and c) the breach of duty must have been the proximate cause of the injuries (or losses) sustained by the plaintiffs: </w:t>
      </w:r>
      <w:r>
        <w:rPr>
          <w:rFonts w:ascii="arial" w:eastAsia="arial" w:hAnsi="arial" w:cs="arial"/>
          <w:i/>
          <w:color w:val="000000"/>
          <w:sz w:val="20"/>
          <w:lang w:val="en-US" w:eastAsia="en-US" w:bidi="ar-SA"/>
        </w:rPr>
        <w:t>Agar v. Weber</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2014 BCCA 297</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Breach of Contract, Essential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To prove a breach of contract against either defendant, the plaintiffs must establish on a balance of probabilities: a) the existence of an enforceable contract; b) a term of the contract they say was not performed; and c) the fact of non-performance.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Madadi v. British Columbia</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2018 BCSC 1891</w:t>
        </w:r>
      </w:hyperlink>
      <w:r>
        <w:rPr>
          <w:rFonts w:ascii="arial" w:eastAsia="arial" w:hAnsi="arial" w:cs="arial"/>
          <w:color w:val="000000"/>
          <w:sz w:val="20"/>
          <w:lang w:val="en-US" w:eastAsia="en-US" w:bidi="ar-SA"/>
        </w:rPr>
        <w:t xml:space="preserve"> at para. 94, a more succinct articulation of this cause of action was endorsed; that is, a plaintiff must prove the existence of a contract and its wrongful breach (citing </w:t>
      </w:r>
      <w:r>
        <w:rPr>
          <w:rFonts w:ascii="arial" w:eastAsia="arial" w:hAnsi="arial" w:cs="arial"/>
          <w:i/>
          <w:color w:val="000000"/>
          <w:sz w:val="20"/>
          <w:lang w:val="en-US" w:eastAsia="en-US" w:bidi="ar-SA"/>
        </w:rPr>
        <w:t>Coast Dryland Services Ltd. v. Canada (Ministry of Fisheries and Oceans)</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2007 FC 16</w:t>
        </w:r>
      </w:hyperlink>
      <w:r>
        <w:rPr>
          <w:rFonts w:ascii="arial" w:eastAsia="arial" w:hAnsi="arial" w:cs="arial"/>
          <w:color w:val="000000"/>
          <w:sz w:val="20"/>
          <w:lang w:val="en-US" w:eastAsia="en-US" w:bidi="ar-SA"/>
        </w:rPr>
        <w:t xml:space="preserve"> at paras. 26-27.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Legal Principles on a No Evidence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analytical framework governing a no evidence motion was set out by the Court of Appeal in </w:t>
      </w:r>
      <w:r>
        <w:rPr>
          <w:rFonts w:ascii="arial" w:eastAsia="arial" w:hAnsi="arial" w:cs="arial"/>
          <w:i/>
          <w:color w:val="000000"/>
          <w:sz w:val="20"/>
          <w:lang w:val="en-US" w:eastAsia="en-US" w:bidi="ar-SA"/>
        </w:rPr>
        <w:t>Insurance Corporation of British Columbia v. Mehat</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2018 BCCA 242</w:t>
        </w:r>
      </w:hyperlink>
      <w:r>
        <w:rPr>
          <w:rFonts w:ascii="arial" w:eastAsia="arial" w:hAnsi="arial" w:cs="arial"/>
          <w:color w:val="000000"/>
          <w:sz w:val="20"/>
          <w:lang w:val="en-US" w:eastAsia="en-US" w:bidi="ar-SA"/>
        </w:rPr>
        <w:t xml:space="preserve"> at paras. 48-52: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 on a civil no evidence application the trial judge determines only whether there is any evidence "capable of" supporting the plaintiff's claim, without evaluating the quality of that evidence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The relevant question is whether a reasonable trier of fact "could" find in the plaintiff's favour, not whether the trier of fact "would"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Even if there is some circumstantial evidence, to defeat a no evidence application the evidence must be "reasonably capable" of supporting the inferences that are necessary to prove the plaintiff's case. This may require the court to engage in a limited weighing of the evidence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It has also been held that when considering the evidence on a no evidence application, the judge should give the evidence "the most favourable meaning" in determining whether it is capable of supporting the inferences of fact required for the plaintiff or Crown to prove its case, without determining whether the competing inferences available to the defendant do in fact rebut the plaintiff's case: </w:t>
      </w:r>
      <w:r>
        <w:rPr>
          <w:rFonts w:ascii="arial" w:eastAsia="arial" w:hAnsi="arial" w:cs="arial"/>
          <w:i/>
          <w:color w:val="000000"/>
          <w:sz w:val="20"/>
          <w:lang w:val="en-US" w:eastAsia="en-US" w:bidi="ar-SA"/>
        </w:rPr>
        <w:t>FL Receivables Trust 2002-A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Cobrand Foods Ltd.</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2007 ONCA 425</w:t>
        </w:r>
      </w:hyperlink>
      <w:r>
        <w:rPr>
          <w:rFonts w:ascii="arial" w:eastAsia="arial" w:hAnsi="arial" w:cs="arial"/>
          <w:color w:val="000000"/>
          <w:sz w:val="20"/>
          <w:lang w:val="en-US" w:eastAsia="en-US" w:bidi="ar-SA"/>
        </w:rPr>
        <w:t xml:space="preserve"> at paras. 35-36.</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Parties' Positions on the No Evidence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Applying this framework to the case before me, First Truck and ICBC argue that the plaintiffs have failed to lead evidence on a number of the essential elements they must prove to succeed on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On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First Truck and ICBC say there is no evidence of the standard of care to which the defendants were obliged to conform; no evidence of an actual breach of that standard; and no evidence of proximate cause between the plaintiffs' allegedly sustained losses, and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For the claim grounded in breach of contract, ICBC says although an insurance contract existed between ICBC and Ms. Brown, there is no evidence of the specific terms or meaning of that contract; the extent of Ms. Brown's entitlements under the contract; whether a term of the agreement was actually breached; and, there is no evidence of a causal nexus between the losses said to have been sustained by the plaintiffs, and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are both grounded in an alleged failure to estimate (or identify) the extent of the damage suffered by the logging truck in the January 2015 accident, and repair the whole of that damage, rendering the Freightliner and trailers unusable.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First Truck and ICBC argue that the plaintiffs have not called any expert opinion evidence to show a causal connection between the collision in January 2015 and the damage they say has been left unrepaired. Nor have they called expert opinion evidence to show that this same damage prevents the logging truck from being roadworthy and of use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There is furthermore no expert opinion evidence to show that the repairs that </w:t>
      </w:r>
      <w:r>
        <w:rPr>
          <w:rFonts w:ascii="arial" w:eastAsia="arial" w:hAnsi="arial" w:cs="arial"/>
          <w:i/>
          <w:color w:val="000000"/>
          <w:sz w:val="20"/>
          <w:lang w:val="en-US" w:eastAsia="en-US" w:bidi="ar-SA"/>
        </w:rPr>
        <w:t>were</w:t>
      </w:r>
      <w:r>
        <w:rPr>
          <w:rFonts w:ascii="arial" w:eastAsia="arial" w:hAnsi="arial" w:cs="arial"/>
          <w:color w:val="000000"/>
          <w:sz w:val="20"/>
          <w:lang w:val="en-US" w:eastAsia="en-US" w:bidi="ar-SA"/>
        </w:rPr>
        <w:t xml:space="preserve"> completed by First Truck were done inadequately.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From the defendants' perspective, the absence of expert opinion evidence constitutes a fatal flaw in the plaintiffs' case, and leaves the case not reasonably capable of supporting the inferences that the plaintiffs seek to have drawn to prove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response to the no evidence motion, the plaintiffs argue that there is evidence before the Court from which liability "may" be inferred, and this is all that is required of them to defeat the defendants'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plaintiffs say they have tendered evidence establishing that:</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an insurance contract for each of the Freightliner and two trailers;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three pieces of equipment were accepted for repairs under this contract by First Truck and ICBC;</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accepting the equipment, the defendants acknowledged the January 2015 accident caused damage that was in need of repair;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approving the First Truck estimate and paying for repairs, ICBC acknowledged it was a term of the insurance contract that Ms. Brown was entitled to have any and all damage sustained in the accident repaired, such that the Freightliner and trailers would be put back to their pre-accident state;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logging truck was taken back to First Truck in March 2015 and February 2017 for additional repairs, showing that the whole of the damage had not been identified and repaired;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after these additional repairs, the logging truck remained unusable.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plaintiffs argue that from the whole of their evidence, a trier of fact could infer that First Truck underestimated the damage when it first accepted the logging truck for repairs in January 2015; failed to adequately address and repair that damage; and, as a result, the Freightliner and two trailers have been rendered unusable.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plaintiffs argue that a trier of fact could also infer from their evidence that in accepting First Truck's January 2015 estimate, and paying for repairs solely on that basis, ICBC has not only conducted itself negligently, but failed to deliver the coverage it promised under the insurance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plaintiffs say they have tendered facts showing that the logging truck has not been restored to its pre-accident condition. There is evidence that the unit passed provincial inspection requirements shortly before the collision, and there is evidence that following the repairs completed by First Truck, it is no longer usable. The unit has not been used for work purposes since the collision. From this, the plaintiffs argue it is reasonably open to a trier of fact to infer that the only logical reason for this is a failure on the part of First Truck and ICBC to adequately address the damage arising out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Pointing specifically to the evidence of the "gap" around the driver's side door frame, the plaintiffs argue this is also "some" evidence from which a trier of fact could infer that the damage that continues to plague the logging truck, has its genesis in the collision. Mr. Brown says that as a matter of common sense, if various parts around the door had to be replaced by First Truck because of the collision, it can reasonably be inferred that the damage to the door must have the same origin, even though Mr. Brown himself did not notice this damage until a considerable time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Finally, on the adequacy of the repairs completed by First Truck, Mr. Brown acknowledges that the plaintiffs have tendered no expert opinion evidence about the standard of care expected for these repairs. However, he is familiar with the logging truck, has the experience to recognize the problems that can arise from the manner in which some of the repairs were completed, and his observations about their inadequacy constitutes "some evidence" from which a jury could find a breach.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 Application of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After considering the plaintiffs' evidence in its entirety, I have reached the conclusion that a reasonable trier of fact could not find in the plaintiffs' favour, whether their claim is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appreciate that from the plaintiffs' point of view, the liability of First Truck and ICBC seems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They were using the logging truck to generate revenue; it was involved in an accident; First Truck and ICBC accepted responsibility to repair the unit under the plaintiffs' insurance claim; and, notwithstanding three sets of repairs by experienced professionals, the plaintiffs have not been able to use the logging truck for work purposes since March 2015, depriving them of much-needed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Relying on the insurance policies (which are not denied by ICBC), the plaintiffs believe it was the legal responsibility of First Truck and ICBC to put them back into the position they were prior to the accident by repairing any and all damage sustained in the collision. The fact that the Freightliner and trailers are no longer in use shows that the defendants have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difficulty with the plaintiffs' position is that although it may seem obvious to them that the defendants are responsible for their current situation, as plaintiffs advancing a lawsuit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contract, they have a responsibility to call evidence in support of each of the legal and factual elements they are required to prove to establish their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this case, the plaintiffs allege a negligent estimate of damage arising from the collision; however, they have tendered no evidence of the standard of care reasonably expected of someone who conducts estimates of this nature, or whether First Truck failed to meet this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his testimony, Mr. Brown expressed his view that First Truck underestimated the damage and missed things that should have been obvious, because they seem obvious to him. At the same time, he acknowledged that he does not have expertise in this area and is not qualified to assess and offer an estimate of vehicular damage, or its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As a result, there is no evidence against which the reasonableness of First Truck's January 2015 assessment can be measured and inferences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plaintiffs also allege negligent repairs, but have tendered no evidence to show the standard of care reasonably expected of someone who conducts repairs of the nature done by First Truck, or whether First Truck failed to meet this standard. When Mr. Brown testified, he provided his view of the adequacy of some of the repairs. However, once again, it is his view only. He is not a qualified mechanic with demonstrated expertise in the area of logging truck repairs. In fact, in cross-examination, he acknowledged that First Truck is better positioned than he is to assess the need for and complete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As a result, there is no evidence against which the reasonableness of First Truck's repairs in 2015 and 2017 can be measured and inferences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Seiler v. Mutual Fire Insurance Co. of British Columbia</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2003 BCSC 1423</w:t>
        </w:r>
      </w:hyperlink>
      <w:r>
        <w:rPr>
          <w:rFonts w:ascii="arial" w:eastAsia="arial" w:hAnsi="arial" w:cs="arial"/>
          <w:color w:val="000000"/>
          <w:sz w:val="20"/>
          <w:lang w:val="en-US" w:eastAsia="en-US" w:bidi="ar-SA"/>
        </w:rPr>
        <w:t xml:space="preserve"> at para. 38, it was noted that expert evidence is generally considered necessary to establish standards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general rule was explained in </w:t>
      </w:r>
      <w:r>
        <w:rPr>
          <w:rFonts w:ascii="arial" w:eastAsia="arial" w:hAnsi="arial" w:cs="arial"/>
          <w:i/>
          <w:color w:val="000000"/>
          <w:sz w:val="20"/>
          <w:lang w:val="en-US" w:eastAsia="en-US" w:bidi="ar-SA"/>
        </w:rPr>
        <w:t>Peace River Greenhouses Ltd. v. Taylor (District)</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2016 BCSC 1448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 general rule is that the standard of care is that of the reasonable person in similar circumstances. When the defendant is a professional, however, the general rule is qualified and the defendant will have to meet the standard of care possessed by persons of reasonable skill and experience in that profession: </w:t>
      </w:r>
      <w:r>
        <w:rPr>
          <w:rFonts w:ascii="arial" w:eastAsia="arial" w:hAnsi="arial" w:cs="arial"/>
          <w:i/>
          <w:color w:val="000000"/>
          <w:sz w:val="20"/>
          <w:lang w:val="en-US" w:eastAsia="en-US" w:bidi="ar-SA"/>
        </w:rPr>
        <w:t>Bergen v. Guliker Estate</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2015 BCCA 283</w:t>
        </w:r>
      </w:hyperlink>
      <w:r>
        <w:rPr>
          <w:rFonts w:ascii="arial" w:eastAsia="arial" w:hAnsi="arial" w:cs="arial"/>
          <w:color w:val="000000"/>
          <w:sz w:val="20"/>
          <w:lang w:val="en-US" w:eastAsia="en-US" w:bidi="ar-SA"/>
        </w:rPr>
        <w:t xml:space="preserve"> at para. 106.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In some cases, expert evidence may be necessary to allow the court to determine the appropriate standard of care for a particular profession. The necessity of expert evidence "turns on whether the alleged act or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such that the trier of fact could identify the standard practice, determine the appropriate standard of care and decide whether that standard was met on the basis of its own knowledge and experience":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 xml:space="preserve"> at para. 119. Where the conduct in issue "is of a technical or scientific nature or otherwise outside the knowledge and experience of the ordinary person, then expert evidence of the standard of care, its content and breach, will likely be necessary":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 xml:space="preserve"> at para. 119.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However, the court will not require expert evidence in a case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impugned actions of the defendant are so egregious that it is obvious that his or her conduct has fallen short of the standard of care, even without knowing precisely the parameters of that standard": </w:t>
      </w:r>
      <w:r>
        <w:rPr>
          <w:rFonts w:ascii="arial" w:eastAsia="arial" w:hAnsi="arial" w:cs="arial"/>
          <w:i/>
          <w:color w:val="000000"/>
          <w:sz w:val="20"/>
          <w:lang w:val="en-US" w:eastAsia="en-US" w:bidi="ar-SA"/>
        </w:rPr>
        <w:t>Krawchuk v. Scherbak</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2011 ONCA 352</w:t>
        </w:r>
      </w:hyperlink>
      <w:r>
        <w:rPr>
          <w:rFonts w:ascii="arial" w:eastAsia="arial" w:hAnsi="arial" w:cs="arial"/>
          <w:color w:val="000000"/>
          <w:sz w:val="20"/>
          <w:lang w:val="en-US" w:eastAsia="en-US" w:bidi="ar-SA"/>
        </w:rPr>
        <w:t xml:space="preserve"> (Ont. C.A.) at para. 135.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the circumstances of this case, it is my view that proof of the applicable standards of care, and a breach of those standards, are matters for which a trier of fact would require the assistance of expert opinion evidence. The nature of commercial vehicle damage; its extent; what caused it; what is required to fix it; and, most importantly, </w:t>
      </w:r>
      <w:r>
        <w:rPr>
          <w:rFonts w:ascii="arial" w:eastAsia="arial" w:hAnsi="arial" w:cs="arial"/>
          <w:i/>
          <w:color w:val="000000"/>
          <w:sz w:val="20"/>
          <w:lang w:val="en-US" w:eastAsia="en-US" w:bidi="ar-SA"/>
        </w:rPr>
        <w:t>the standard of care that someone who conducts repairs can reasonably be expected to conform to</w:t>
      </w:r>
      <w:r>
        <w:rPr>
          <w:rFonts w:ascii="arial" w:eastAsia="arial" w:hAnsi="arial" w:cs="arial"/>
          <w:color w:val="000000"/>
          <w:sz w:val="20"/>
          <w:lang w:val="en-US" w:eastAsia="en-US" w:bidi="ar-SA"/>
        </w:rPr>
        <w:t>, are technical matters typically beyond the purview of the ordinary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plaintiffs did not tender evidence of conduct that is so "egregious", that the general rule on the necessity of expert evidence would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plaintiffs argue that their evidence of continued problems with the logging truck provides a factual basis from which a trier of fact could infer that First Truck and ICBC responded to the plaintiffs' claims based on an inadequate estimate, and failed to implement and approve the repairs necessary to remedy the collision's adverse effects, whatever standard may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flaw with this argument, in my view, is that the plaintiffs have tendered no evidence from which a causal connection between the ongoing problems, and the collision in January 2015, could reasonably be inferred.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Although they were encouraged pre-trial to obtain expert evidence in support of their claims, the plaintiffs chose not to have an expert or independent professional look at the logging truck and opine on whether the problems that Mr. Brown says prevent the truck from being roadworthy and able to perform as it did pre-collision, are because of the accident, should have been discernible from the start and required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appreciate that retaining an expert would have cost money and the plaintiffs' were concerned about "throwing good money after bad", but the risk they ran in making this choice when advancing a lawsuit is that they would not be in a position to tender evidence on the elements for which they bear an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the absence of any objective evidence showing a causal connection between the ongoing problems and damage sustained in the collision, a finding that these problems were missed by First Truck and ICBC, and should have been repaired within the four corners of the insurance contract, would be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This is particularly so in light of other aspects of the plaintiffs' evidence, including: the age of the equipment; the extent of its prior usage; and the time between the second and third set of repairs (more than a year and a half). There is evidence that during this time, the Freightliner and trailers sat idle, but for various repairs conducted by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There is another significant difficulty with the plaintiffs' evidence. They allege that as a result of the lack of roadworthiness of the logging truck, and its inoperability, they have been deprived of revenue since March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However, they have tendered no evidence from which this finding of fact could be made. Mr. Brown testified that when he tried to take the Freightliner and trailers home from First Truck in February 2017, the truck was "spitting" and smoking and stopped running. It was at this point that he walked away, having reached the conclusion that the unit was not operable and incapable of passing inspection for commercial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However, the plaintiffs have tendered no evidence of what was wrong with the Freightliner, mechanically, whether it was a temporary or permanent state, or whether the engine or gap around the driver's door, which they say is also a material issue, were capable of repair. There is no evidence that the logging truck was, in fact, not roadworthy or incapable of being made roadworthy. Mr. Brown drove the logging truck to First Truck in February 2017 and according to his evidence, he had no problems doing so. He has asserted a lack of roadworthiness in his testimony, but it an assertion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test that must be applied on the defendants' no evidence motion is whether the plaintiffs have failed to adduce evidence on which a properly instructed jury, acting reasonably, could find in their favour: </w:t>
      </w:r>
      <w:r>
        <w:rPr>
          <w:rFonts w:ascii="arial" w:eastAsia="arial" w:hAnsi="arial" w:cs="arial"/>
          <w:i/>
          <w:color w:val="000000"/>
          <w:sz w:val="20"/>
          <w:lang w:val="en-US" w:eastAsia="en-US" w:bidi="ar-SA"/>
        </w:rPr>
        <w:t>Mehat</w:t>
      </w:r>
      <w:r>
        <w:rPr>
          <w:rFonts w:ascii="arial" w:eastAsia="arial" w:hAnsi="arial" w:cs="arial"/>
          <w:color w:val="000000"/>
          <w:sz w:val="20"/>
          <w:lang w:val="en-US" w:eastAsia="en-US" w:bidi="ar-SA"/>
        </w:rPr>
        <w:t xml:space="preserve"> at para. 44. I have concluded, after weighing the evidence only to the extent necessary in light of the circumstantial aspects of the case, that there is no evidence capable of supporting essential elements of the plaintiffs' claim, for which they bear the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Even if the whole of the plaintiffs' evidence was left uncontradicted, there is no evidence from which a trier of fact could reasonably determine the standard of care applicable to the defendants in this case, whether their conduct failed to conform with that standard, and whether the losses said to have been suffered by the plaintiffs stem from vehicular damage that was caused by the collision, and therefore subject to assessment and repair under the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one of his submissions to me, Mr. Brown said there was additional evidence he hoped to tender in support of the plaintiffs' claims through cross-examination of the defendants' witnesses. From his perspective, this additional evidence would have strengthened the plaintiffs' position and ensured there was evidence available on all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putting their case forward, it was not reasonable for the plaintiffs' to rely on the potential for fruitful cross-examination as a means by which to prove their claims. Entering the litigation, they bore the onus of proof and had a responsibility to gather the evidence they needed to advance their claims. They did not obtain any expert opinion evidence. I also understand that they did not avail themselves of examinations for discovery, which would have allowed them to examine a representative from each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Instead, they relied on their own view of liability and called only Mr. Brown as a witness. The end result is that there are significant gaps in the case they have put forward and the evidence they tendered is not reasonably capable of supporting the inferences they seek to have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For the reasons provided, I am satisfied that the no evidence motion must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Notice of Civil Claim as against First Truck and ICBC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My preliminary view is that in light of this result, the defendants are entitled to their costs as assessed in accordance with Scale B. However, if the parties have submissions they wish to make on this point, they are at liberty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DeWITT-VAN OOSTEN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211" style="position:absolute;z-index:25179955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65" w:name="Forward_fnref_fnr-1_1"/>
      <w:hyperlink w:anchor="Backward_fnref_fnr-1" w:history="1">
        <w:r>
          <w:rPr>
            <w:rFonts w:ascii="arial" w:eastAsia="arial" w:hAnsi="arial" w:cs="arial"/>
            <w:b/>
            <w:color w:val="BE161D"/>
            <w:sz w:val="18"/>
            <w:shd w:val="clear" w:color="auto" w:fill="FFFFFF"/>
            <w:lang w:val="en-US" w:eastAsia="en-US" w:bidi="ar-SA"/>
          </w:rPr>
          <w:t>1</w:t>
        </w:r>
      </w:hyperlink>
      <w:bookmarkEnd w:id="26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Although two separate accidents occurred, for the purposes of these </w:t>
      </w:r>
      <w:r>
        <w:rPr>
          <w:rFonts w:ascii="arial" w:eastAsia="arial" w:hAnsi="arial" w:cs="arial"/>
          <w:i/>
          <w:color w:val="6D6E71"/>
          <w:sz w:val="18"/>
          <w:lang w:val="en-US" w:eastAsia="en-US" w:bidi="ar-SA"/>
        </w:rPr>
        <w:t>Reasons</w:t>
      </w:r>
      <w:r>
        <w:rPr>
          <w:rFonts w:ascii="arial" w:eastAsia="arial" w:hAnsi="arial" w:cs="arial"/>
          <w:color w:val="6D6E71"/>
          <w:sz w:val="18"/>
          <w:lang w:val="en-US" w:eastAsia="en-US" w:bidi="ar-SA"/>
        </w:rPr>
        <w:t>, they will be referred to as one.</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2"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2"/>
          <w:headerReference w:type="default" r:id="rId883"/>
          <w:footerReference w:type="even" r:id="rId884"/>
          <w:footerReference w:type="default" r:id="rId885"/>
          <w:headerReference w:type="first" r:id="rId886"/>
          <w:footerReference w:type="first" r:id="rId8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8" w:history="1">
        <w:r>
          <w:rPr>
            <w:rFonts w:ascii="arial" w:eastAsia="arial" w:hAnsi="arial" w:cs="arial"/>
            <w:b/>
            <w:bCs/>
            <w:i/>
            <w:color w:val="0077CC"/>
            <w:kern w:val="32"/>
            <w:sz w:val="28"/>
            <w:szCs w:val="32"/>
            <w:u w:val="single"/>
            <w:shd w:val="clear" w:color="auto" w:fill="FFFFFF"/>
            <w:lang w:val="en-US" w:eastAsia="en-US" w:bidi="ar-SA"/>
          </w:rPr>
          <w:t>Dennis v. Gairdner, [2002] B.C.J. No. 2017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9 - 12, 15, 29, 30 and 31,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22,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M002303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2017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1289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 B.C.L.R. (4th) 275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 M.V.R. (4th) 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1011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1289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Gilbert James Dennis, plaintiff, and Albert Steven Gairdner, Sherry Steinke, Peace Country Maintenance Ltd., Northland Road Services Ltd., Her Majesty the Queen In Right of Canada, and Rose Mary Capot-Blanc, defendants, and Insurance Corporation of British Columbia, Albert Steven Gairdner, Sherry Steinke and Rose Mary Capot-Blanc,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3"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6" w:name="Keywords_37"/>
      <w:bookmarkEnd w:id="266"/>
      <w:r>
        <w:rPr>
          <w:rFonts w:ascii="arial" w:eastAsia="arial" w:hAnsi="arial" w:cs="arial"/>
          <w:b/>
          <w:color w:val="000000"/>
          <w:sz w:val="20"/>
          <w:lang w:val="en-US" w:eastAsia="en-US" w:bidi="ar-SA"/>
        </w:rPr>
        <w:t>Damages — Physical injuries — Body injuries — Back — Paralysis — Plaintiff awarded damages for loss of past and future income and cost of future care following motor vehicle accident which rendered him quadriplegic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7" w:name="Case Summary_35"/>
            <w:bookmarkEnd w:id="2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following motor vehicle accident -- Plaintiff was passenger in pick-up truck driven by defendant D -- He was rendered a quadriplegic when vehicle skidded and collided with vehicle operated by defendant C -- Blood alcohol readings taken from defendant D indicated his blood alcohol level at time of accident was considerably higher than the legal limit -- Plaintiff would not recover movement in his arms and legs and had lost control of most bodily functions -- Prior to accident plaintiff had worked as seasonal employee -- Year prior to accident plaintiff earned $44,000 -- Plaintiff brought action against defendants and sought damages -- HELD: Action allowed in part -- Defendant G was negligent in driving vehicle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plaintiff's injuries -- Defendant S was vicariously liable for plaintiff's injuries as owner of pick-up truck -- However, defendant C was not liable and action against her was dismissed -- Defendant C slowed her vehicle down when she saw pick-up truck approaching -- She was not required to drive with highest skill possible in circumstances -- It was sufficient she noted exigencies and slowed down -- Collision was completely unforeseeable by defendant C -- Evidence did not support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part of plaintiff -- He consumed alcohol with defendant D prior to driving with him, but there was no clear indicia of impairment that plaintiff should have noted -- General damages were assessed at $248,000 -- It was reasonable to conclude he would have continued to work as he had before -- Plaintiff awarded $255,000 for loss of past income -- Assessment of damages for loss of future income was based on what plaintiff would have earned had he not sustained injuries in question -- Loss of future income was assessed at $591,000 -- Cost of future care was assessed at $3,000,000.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8" w:name="Counsel_38"/>
      <w:bookmarkEnd w:id="2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4"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V.J. LeBlanc and M. Wolters, for the plaintiff. P.J. Rogers and E. Hughes, for the defendant, Rose Mary Capot-Blanc.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9" w:name="Judgment_37"/>
      <w:bookmarkEnd w:id="269"/>
      <w:r>
        <w:pict>
          <v:line id="_x0000_s1215" style="position:absolute;z-index:2518005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0" w:name="CHAMBERLIST J."/>
            <w:bookmarkEnd w:id="270"/>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a collision between a passenger car and a pickup truck that occurred on the 31st day of January 1996 on the Alaska Highway, approximately 4 or 5 k. south of the town of Fort Nelson, B.C. At the material time the plaintiff was a passenger in the pickup truck owned by Sherry Steinke and being operated by the defendant Albert "Steven" Gairdner. The pickup truck was proceeding in a southerly direction, up a hill, when the passenger car owned and operated by the defendant Rose Mary Capot-Blanc collided with it. The force of the impact was on the passenger side of the pickup truck, primarily against the passenger door where the plaintiff was seated, causing a substantial intrusion into the cab of the pickup truck. The plaintiff was severely injured and was rendered a quadriplegic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Shortly after the action was commenced the plaintiff discontinued his proceeding against the defendant Northland Road Services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Prior to commencement of the trial the plaintiff settled with the defendants Peace Country Maintenance Ltd. and Her Majesty the Queen in Right of Canada. The Third Party, Insurance Corporation of British Columbia, paid into court in another action, the policy limits of the insurance policy maintained by the defendant Sherry Steinke. Neither of the defendants, Albert Steven Gairdner nor Sherry Steinke, defended the plaintiff's action although they did give evidence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Gairdner, Mr. Dennis and Ms. Capot-Blanc all testified as to the circumstances of the accident. In addition, expert evidence was received from Harvey West, a professional engineer, who gave evidence with respect to a reconstruction analysis report dated April 19th, 2001. Patrick Whidden, the Alaska Highway Manager of Operations and Maintenance for the Federal Department of Public Works, since 1991, also gave evidence relative to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at approximately 3:30 p.m. on a stretch of the Alaska Highway known as the Muskwa Hill, south of Fort Nelson and the Muskwa River Bridge. Mr. Dennis was one of three passengers in a 1989 Dodge pickup owned by the defendant Steinke and driven by the defendant Gairdner. The other passengers, in the front seat of the pickup, were Pauline Attachie and Owen Miller. Mr. Dennis was sitting next to the passenger door and was not wearing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morning of the accident, the plaintiff was with Ms. Attachie at his mother's house. At some point, they decided to go to the nearby house of Bonnie Gairdner, Albert Steven Gairdner's mother. Throughout the course of the morning Mr. Gairdner and a number of other people were present at the Gairdner residence. Mr. Dennis consumed alcohol that morning and early afternoon. Although Mr. Gairdner is said to have consumed alcohol, Mr. Dennis did not think he was impaired. Mr. Dennis estimated Mr. Gairdner to have consumed 2 - 3 beers while they were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Mr. Gairdner and his three passengers got into the pickup truck, they left Fort Nelson, heading south to Profit River, some 50 to 60 miles south of Fort Nelson. The pickup truck crossed the Muskwa Bridge and drove along a straight stretch to the beginning of a curve going up the Muskwa Hill. As Gairdner rounded the curve the rear end of his pickup truck lost traction and briefly swung clockwise before the pickup straightened out, and a short time later the rear end of the pickup truck again lost traction and began to rotate counter-clockwise. The pickup then slid into the northbound lane where it was hit broadside on the passenger side of the pickup by the northbound passenger car driven by the defendant Capot-Blanc.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Either the plaintiff or Ms. Attachie, or both of them, told the defendant Gairdner to slow down before the pickup reached the curve. The accident reconstruction report prepared by Harvey West, professional engineer, and the sketch prepared by Cpl. Brown of the R.C.M.P. who attended the accident scene, both confirm that the collision occurred in the northbound lane of travel. All of the evidence heard at trial, other than the evidence of the defendant Gairdner, is confirmatory of the collision having taken place in the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Gairdner testified that as he went into the corner coming off the bridge and starting to go up the hill the back end of the pickup slid sideways towards the other side of the road and that the truck hit frost-heaves in the road and fishtailed a bit but he was able to get it under control. He did not disagree with the estimate by the expert witness, Harvey West, that 7.7 to 11.9 seconds elapsed between the time he initially lost control and when the pickup came into collision with the Capot-Blanc passenger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Gairdner testified that after the pickup truck initially fishtailed he briefly regained control, but then hit an icy patch and possibly the snow bank at the side of the road and then went into a skid again. He maintained, under cross-examination, that the collision happened in the southbound passing lane not in the northbound lane and he further testified that he did not see the Capot-Blanc passenger car approaching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evidence is overwhelming that the collision took place in the northbound lane of the highway. Given that finding, the Gairdner pickup was on the wrong side of the road at the time of the accident and that is prima facie evidence that Gairdner was negligent. He did not offer any explanation as to how the accident might reasonably have happened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and thus there is nothing to rebut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(Hackman v. Vecchio </w:t>
      </w:r>
      <w:hyperlink r:id="rId889" w:history="1">
        <w:r>
          <w:rPr>
            <w:rFonts w:ascii="arial" w:eastAsia="arial" w:hAnsi="arial" w:cs="arial"/>
            <w:i/>
            <w:color w:val="0077CC"/>
            <w:sz w:val="20"/>
            <w:u w:val="single"/>
            <w:shd w:val="clear" w:color="auto" w:fill="FFFFFF"/>
            <w:lang w:val="en-US" w:eastAsia="en-US" w:bidi="ar-SA"/>
          </w:rPr>
          <w:t>(1969), 4 D.L.R. (3d) 444</w:t>
        </w:r>
      </w:hyperlink>
      <w:r>
        <w:rPr>
          <w:rFonts w:ascii="arial" w:eastAsia="arial" w:hAnsi="arial" w:cs="arial"/>
          <w:color w:val="000000"/>
          <w:sz w:val="20"/>
          <w:lang w:val="en-US" w:eastAsia="en-US" w:bidi="ar-SA"/>
        </w:rPr>
        <w:t xml:space="preserve"> (B.C.C.A.), Redlack v. Vekved, </w:t>
      </w:r>
      <w:hyperlink r:id="rId890" w:history="1">
        <w:r>
          <w:rPr>
            <w:rFonts w:ascii="arial" w:eastAsia="arial" w:hAnsi="arial" w:cs="arial"/>
            <w:i/>
            <w:color w:val="0077CC"/>
            <w:sz w:val="20"/>
            <w:u w:val="single"/>
            <w:shd w:val="clear" w:color="auto" w:fill="FFFFFF"/>
            <w:lang w:val="en-US" w:eastAsia="en-US" w:bidi="ar-SA"/>
          </w:rPr>
          <w:t>[1996] B.C.J. No. 3040</w:t>
        </w:r>
      </w:hyperlink>
      <w:r>
        <w:rPr>
          <w:rFonts w:ascii="arial" w:eastAsia="arial" w:hAnsi="arial" w:cs="arial"/>
          <w:color w:val="000000"/>
          <w:sz w:val="20"/>
          <w:lang w:val="en-US" w:eastAsia="en-US" w:bidi="ar-SA"/>
        </w:rPr>
        <w:t>, Vancouver Registry No. CA019661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addition, the expert evidence of Harvey West was to the effect that a motorist going 80 k.p.h. should have been able to get through the curve without losing control of his or her vehicle, even if the road surface was very slippery. Finally, a tire analysis report dated June 7th, 2001, relating to the condition of the rear tires on the pickup truck, offers additional grounds for accepting the submission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opinion of Mr. Brox is that the left rear tire, exhibiting a localized bulge, would have resulted in that rear wheel being raised and lowered 4 mm. in each revolution and that the out-of-round condition would induce considerable vibration which in turn would reduce the cornering force of the tire adversely affecting the vehicle's handling. This vibration from the left rear tire could, according to Brox, have been a contributing and likely a significant factor in the loss of control of the pickup.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all of the evidence, Gairdner was negligent in his driving of the vehicle and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plaintiff's injuries and Gairdner is therefore liable for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 Steinke, as registered owner of the pickup truck, is vicariously liable for Gairdner's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s. 86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LIABILITY OF THE DEFENDANT ROSE CAPOT-BLANC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Aside from quantum aspects regarding the injuries sustained by the plaintiff, this trial was essentially centred on the liability, if any, of Rose Capot-Blanc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evidence was that as the pickup truck started to go into the initial skid, a few seconds after Gairdner was told to slow down, the truck went into the curve, the rear end of the pickup went clockwise and then came back around moving counter-clockwise and sliding into the oncoming traffic. Contrary to Gairdner's evidence, the plaintiff testified that he remembered some oncoming traffic further up the Muskwa Hill as they were proceeding into the corner but he could not say exactly how many vehicles were coming down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Rose Capot-Blanc is a 51 year old school bus driver. At the time of trial she had been a bus driver for some nine years and at the time of the accident would have been a school bus driver for some three years. She is the holder of a Class 2-3 driver's licence which allows her to drive a school bus. She has no restrictions on her licence and uses reading glasses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resides at Mile 293 of the Alaska Highway, off of Sikanni Road, which enters the Alaska Highway at the top of the Muskwa Hill. She has lived in Fort Nelson all her life and testified to knowing the northern roads and highways fairly well. She was driving a 1983 or 1984 Thunderbird passenger car at the time and described the car as being in good condition with no mechanical problems. She described the tires as being in good shape. She candidly admitted not having a perfect recollection of everything that led up to the collision on January 31st, 1996. She also conceded that her memory was not very good and confirmed having testified on two previous occasions with respect to the accident; being at two examinations for discovery and the preliminary inquiry held with respect to criminal charges laid against Mr. Gairdner arising out of the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While she testified that she did not have a good memory, there were certain things that she remembered well. On the date of the accident, she was driving into Fort Nelson from her home. She drove down Sikanni Road for about one mile. She described there being snow on the road and the surface being like a wash board, but that she had no difficulty controlling her car. She described the intersection of Sikanni Road and the Alaska Highway as "right at the top" of the Muskwa Hill. On exiting Sikanni Road onto the Alaska Highway she turned right and headed down the Muskwa Hill towards the Muskwa River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testified that as she descended the hill she was driving at between 30 to 40 k.p.h. although she was not sure how fast she going, but she says that she was going slowly. She described shifting her automatic transmission manually to the second gear position and softly stepping on the brakes and then slowing down and keeping her foot on the brakes. She could not recall if she constantly applied her brakes on the way down the hill. She testified that she first saw the Gairdner pickup when she was "at the top of the Muskwa Hill" which she later explained was not the actual crest of the hill but the spot where the moderate grade down from the crest changes to that of a steeper 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testified that when she first saw the pickup it was driving normally and there was nothing unusual about it to attract her attention. She described that when the truck came to the curve, it started swerving or fish-tailing at an "ice spot" in the curve, at a place where her own vehicle had skidded in the month before the accident. She testified to not knowing how long the pickup swerved for but that it kept going past the ice spot when the driver regained control again. She testified that when she first saw the Gairdner vehicle swerve she did not know what was going to happen and that she slowed down and applied her brakes, although she had also considered accelerating to go faster. She did not know how far away the pickup was from her car when it first started to swerve, however, she was not worried about it hitting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described how, notwithstanding that she thought the driver had control of the truck it suddenly "out-of-the-blue" shot straight across and hit her car. She testified that she did not know whether she had sufficient time to apply her brakes or not and was unable to recall how much time elapsed between the time she identified the driver of the pickup regaining control and the pickup coming across the road into her lane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Capot-Blanc also testified that she tried to drive as far as she could toward the snow bank on her side of the road, but she was unable to recall if, in fact, she did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Relative to the condition of the highway at the time near the Muskwa Bridge, she testified that she knew before the accident that the highway was icy at the curve where the accident occurred and that there had been serious accidents there previously. She described how she herself had fish-tailed at that spot while heading south twice in the month before the accident, but denied having slid across the road on one of those occasions, although evidence given by her at the preliminary inquiry relating to criminal charges against Mr. Gairdner were to the opposite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appears that at the preliminary hearing Ms. Capot-Blanc had testified that at the bottom of the Muskwa Hill there was a "big sheet of ice coming up the hill". It was also pointed out to her that on discovery, and at the preliminary inquiry, she had testified that the Gairdner pickup was still in the icy patch when it went out of control for the second time. My note of her testimony was that she "guessed" that those answers given previously were true but at this trial Ms. Capot-Blanc testified that she could not remember whether it was slippery throughout the entire curve but then stated that the whole highway looked icy from Sikanni Road to the bottom of the Muskwa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cross-examination she was unable to explain the inconsistency with respect to whether the whole of the highway was icy or whether only the area of the accident was icy. Relative to speed, Ms. Capot-Blanc testified that normally when she accessed the Alaska Highway from Sikanni Road, her speed would depend on the traffic and weather conditions. She also agreed with previous affidavit material filed by her in these proceedings that she would usually get up to about 80 k.p.h. and that her evidence of speed at the criminal proceedings was that before she started slowing down she was travelling at approximately 70 to 80 k.p.h. Ms. Capot-Blanc then said that she could not remember how fast she was going down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 first view of the Gairdner truck after it had crossed the Muskwa Bridge was just as the pickup was coming off the bridge as she was going down from the top of the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Relative to her evidence in chief, that when she first saw the Gairdner pickup swerve she applied her brakes slowly, she agreed that she did not know how long it would have taken her to stop if she had braked hard and agreed that there was nothing to stop her from doing so. She also admitted that if she had braked hard, she would have stopped half way up the hill but that she had no reason to apply her brakes hard at that point. She also agreed that she did not know whether she moved over to the right when she saw the truck as she had indicated in direct examination, but also agreed that there was nothing preventing her from doing so. There were no vehicles in front or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Capot-Blanc was cross-examined extensively relative to previous written statements provided by her and previous testimony given under oath at the preliminary inquiry and criminal proceedings involving Albert Steven Gairdner and her examinations for discovery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was also examined with respect to affidavit material filed by her on a Rule 18A application to have these proceedings against her dismissed. She also testified that shortly after the accident she had been approached by Mr. Gairdner "to say nice things about him". At other times she said that he had approached her to say that he had not been drinking at the time. She conceded under intense and searching cross-examination that she could not point to any of the inconsistencies in her prior evidence as being a result of Mr. Gairdner having approached her. Similarly, she was at a loss to explain certain aspects of her testimony. I found Ms. Capot-Blanc to be striving to tell the truth at this trial, but recognizing at the same time, that she had made previous inconsistent statements. At one time, she had indicated that she had testified that the accident took place at 11:00 in the morning. She could not explain why she said this except to point to some previous situation involving her when she lived at an Indian residential school. She indicated that as a result of recognizing this untruth stated while under oath she went to confession. Ms. Capot-Blanc candidly admitted that she did not have a good recollection of her speed from the time she left the intersection of Sikanni Road and was proceeding north to Fort Nelson and thereafter down the Muskwa River Hill where the accident in question occurred. It seems clear from her evidence that she was not observing her speedometer as she drove to Fort Nelson that day. She was driving to Fort Nelson for the purpose of having an interview for a new job. While she indicated her speed was some 70 to 80 k.p.h. in a 80 k.p.h. zone I have concluded that she does not provide that information based on her observing her speed limit. She was driving in accordance with the road conditions and traffic conditions at the time. There is nothing to indicate, however, that she was exceeding the speed limit. She testified that she did, however, apply her brakes softly and kept her foot over the brake after she had observed the first fishtailing of the Gairdner vehicle. She kept her foot above her brake, and I accept her evidence that she slowed to some 30 to 40 k.p.h. and was proceeding cautiously in light of what she had seen relative to the Gairdner vehicle, and in light of her own knowledge of the danger that curve represented from her own personal experiences with it. Similarly, I accept her estimate as to the speed that she slowed down to. She is a school bus driver with many years driving experience and more importantly many years driving experience in the Fort Nelson area where she was born and grew up. Her evidence of speed at or about the time of the accident is corroborated by the evidence of Harvey West, who utilized the crush damage sustained by both vehicles primarily to reach his conclusions of speed and location of the vehicles at impact. As I understand the evidence of Harvey West, the speed of the Capot-Blanc vehicle would not be much greater than 40 k.p.h. because of the crush damage sustained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am satisfied that after having slowed her car to a speed of 30 to 40 k.p.h. after having viewed the first loss of control of the Gairdner pickup, she kept a wary eye on the pickup as it rounded the corner. She noted the Gairdner pickup to come under control again and she continued on with her descent down Muskwa Hill. At this point in time there was no way for Ms. Capot-Blanc to know that the Gairdner truck would again lose control at any particular section of the highway let alone immediately in front of her. In the words of defence counsel "she could not know whether one particular spot on the highway was a safer place for her to be than any other". At that time, I find that Ms. Capot-Blanc was already traveling at a prudent speed given the evidence as to road conditions, her own experiences with that stretch of the highway and what she had observed of the Gairdner vehicle. I find that it would have been a very unusual maneuver for her to bring her car to a stop on a highway on the off chance that an oncoming motorist would in fact spin across the road at her. It should not be necessary or prudent for someone to stop every time he or she witnesses a vehicle to go out of control and then regain control on northern icy or compact snow covered roads. I am of the view that there was no reason for Ms. Capot-Blanc to slow further, and I have concluded that she had no duty to come to a stop on the highway simply because someone well ahead has a brief slip on the road and then appears to have regained control. In coming to this decision I have carefully reviewed Gill Estate v. Greyhound Lines of Canada Ltd. both at the trial level and the Court of Appeal level reported at </w:t>
      </w:r>
      <w:hyperlink r:id="rId891" w:history="1">
        <w:r>
          <w:rPr>
            <w:rFonts w:ascii="arial" w:eastAsia="arial" w:hAnsi="arial" w:cs="arial"/>
            <w:i/>
            <w:color w:val="0077CC"/>
            <w:sz w:val="20"/>
            <w:u w:val="single"/>
            <w:shd w:val="clear" w:color="auto" w:fill="FFFFFF"/>
            <w:lang w:val="en-US" w:eastAsia="en-US" w:bidi="ar-SA"/>
          </w:rPr>
          <w:t>(1987), 21 B.C.L.R. (2d) 324</w:t>
        </w:r>
      </w:hyperlink>
      <w:r>
        <w:rPr>
          <w:rFonts w:ascii="arial" w:eastAsia="arial" w:hAnsi="arial" w:cs="arial"/>
          <w:color w:val="000000"/>
          <w:sz w:val="20"/>
          <w:lang w:val="en-US" w:eastAsia="en-US" w:bidi="ar-SA"/>
        </w:rPr>
        <w:t xml:space="preserve"> and </w:t>
      </w:r>
      <w:hyperlink r:id="rId892" w:history="1">
        <w:r>
          <w:rPr>
            <w:rFonts w:ascii="arial" w:eastAsia="arial" w:hAnsi="arial" w:cs="arial"/>
            <w:i/>
            <w:color w:val="0077CC"/>
            <w:sz w:val="20"/>
            <w:u w:val="single"/>
            <w:shd w:val="clear" w:color="auto" w:fill="FFFFFF"/>
            <w:lang w:val="en-US" w:eastAsia="en-US" w:bidi="ar-SA"/>
          </w:rPr>
          <w:t>(1989), 40 B.C.L.R. (2d) 73</w:t>
        </w:r>
      </w:hyperlink>
      <w:r>
        <w:rPr>
          <w:rFonts w:ascii="arial" w:eastAsia="arial" w:hAnsi="arial" w:cs="arial"/>
          <w:color w:val="000000"/>
          <w:sz w:val="20"/>
          <w:lang w:val="en-US" w:eastAsia="en-US" w:bidi="ar-SA"/>
        </w:rPr>
        <w:t xml:space="preserve"> (B.C.C.A.), respectively. That case stands for the proposition that there is no obligation on a driver to keep himself or herself specially prepared for action in an unforeseen emergency but where the possibility of danger emerging as reasonably apparent, special precautions must be taken. In that case the occupants of an automobile were killed when their car collided with a Greyhound bus. The road surface was extremely icy. The bus driver saw the plaintiffs' vehicle fishtail as it approached. The automobile then stabilized and the driver of the Greyhound bus did not slow his speed of 35 to 40 k.p.h. When the car fishtailed again it came part way into the Greyhound bus' plane of travel. When the collision occurred the bus was 30 centimeters from the centre line and about 1.8 meters from the edge of the pavement. In that case the trial judge found that although drivers are entitled to proceed on the assumption that other drivers will obey the rules of the road they will nevertheless be negligent if they fail to take special precautions when the possibility of danger is reasonably apparent. The court on the facts of that case found the possibility of the plaintiffs' vehicle fishtailing again should have been reasonably apparent to the Greyhound bus driver and he ought to have reduced his speed and moved the bus to the right to give as wide a path as possible to the approaching vehicle. In coming to his decision, Shaw, J. at p. 331 of the decision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Haase v. Pedro, </w:t>
      </w:r>
      <w:hyperlink r:id="rId893" w:history="1">
        <w:r>
          <w:rPr>
            <w:rFonts w:ascii="arial" w:eastAsia="arial" w:hAnsi="arial" w:cs="arial"/>
            <w:i/>
            <w:color w:val="0077CC"/>
            <w:sz w:val="20"/>
            <w:u w:val="single"/>
            <w:shd w:val="clear" w:color="auto" w:fill="FFFFFF"/>
            <w:lang w:val="en-US" w:eastAsia="en-US" w:bidi="ar-SA"/>
          </w:rPr>
          <w:t>21 B.C.L.R. (2d) 273</w:t>
        </w:r>
      </w:hyperlink>
      <w:r>
        <w:rPr>
          <w:rFonts w:ascii="arial" w:eastAsia="arial" w:hAnsi="arial" w:cs="arial"/>
          <w:color w:val="000000"/>
          <w:sz w:val="20"/>
          <w:lang w:val="en-US" w:eastAsia="en-US" w:bidi="ar-SA"/>
        </w:rPr>
        <w:t>, B.C.C.A., Vancouver, 11th February 1970, a car skidded across a highway and collided with a vehicle coming from the opposite direction. Tysoe, J.A., for the majority, succinctly stated the duty applicable to a driver proceeding on his proper side of the road. He said [ante, p. 278]: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understand the law, there is </w:t>
      </w:r>
      <w:r>
        <w:rPr>
          <w:rFonts w:ascii="arial" w:eastAsia="arial" w:hAnsi="arial" w:cs="arial"/>
          <w:color w:val="000000"/>
          <w:sz w:val="20"/>
          <w:u w:val="single"/>
          <w:lang w:val="en-US" w:eastAsia="en-US" w:bidi="ar-SA"/>
        </w:rPr>
        <w:t>no obligation on a driver to keep himself specially prepared for action in an unforeseen emergency and it is only where the possibility of danger emerging is reasonably apparent that special precautions must be taken</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upheld the judgment of the British Columbia Court of Appeal for the reasons given by Tysoe J.A., </w:t>
      </w:r>
      <w:hyperlink r:id="rId894" w:history="1">
        <w:r>
          <w:rPr>
            <w:rFonts w:ascii="arial" w:eastAsia="arial" w:hAnsi="arial" w:cs="arial"/>
            <w:i/>
            <w:color w:val="0077CC"/>
            <w:sz w:val="20"/>
            <w:u w:val="single"/>
            <w:shd w:val="clear" w:color="auto" w:fill="FFFFFF"/>
            <w:lang w:val="en-US" w:eastAsia="en-US" w:bidi="ar-SA"/>
          </w:rPr>
          <w:t>[1971] S.C.R. 669</w:t>
        </w:r>
      </w:hyperlink>
      <w:r>
        <w:rPr>
          <w:rFonts w:ascii="arial" w:eastAsia="arial" w:hAnsi="arial" w:cs="arial"/>
          <w:color w:val="000000"/>
          <w:sz w:val="20"/>
          <w:lang w:val="en-US" w:eastAsia="en-US" w:bidi="ar-SA"/>
        </w:rPr>
        <w:t xml:space="preserve">. The above-quoted statement of law was cited and applied in Rajacich v. Potter, </w:t>
      </w:r>
      <w:hyperlink r:id="rId895" w:history="1">
        <w:r>
          <w:rPr>
            <w:rFonts w:ascii="arial" w:eastAsia="arial" w:hAnsi="arial" w:cs="arial"/>
            <w:i/>
            <w:color w:val="0077CC"/>
            <w:sz w:val="20"/>
            <w:u w:val="single"/>
            <w:shd w:val="clear" w:color="auto" w:fill="FFFFFF"/>
            <w:lang w:val="en-US" w:eastAsia="en-US" w:bidi="ar-SA"/>
          </w:rPr>
          <w:t>[1976] B.C.J. No. 917</w:t>
        </w:r>
      </w:hyperlink>
      <w:r>
        <w:rPr>
          <w:rFonts w:ascii="arial" w:eastAsia="arial" w:hAnsi="arial" w:cs="arial"/>
          <w:color w:val="000000"/>
          <w:sz w:val="20"/>
          <w:lang w:val="en-US" w:eastAsia="en-US" w:bidi="ar-SA"/>
        </w:rPr>
        <w:t>, B.C.C.A., Vancouver No. CA820853, 12th May 1976 , McFarlane J.A., for the court, at p. 6 [ante, p. 318].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Applying these principles to the case before me, </w:t>
      </w:r>
      <w:r>
        <w:rPr>
          <w:rFonts w:ascii="arial" w:eastAsia="arial" w:hAnsi="arial" w:cs="arial"/>
          <w:color w:val="000000"/>
          <w:sz w:val="20"/>
          <w:u w:val="single"/>
          <w:lang w:val="en-US" w:eastAsia="en-US" w:bidi="ar-SA"/>
        </w:rPr>
        <w:t>I note initially</w:t>
      </w:r>
      <w:r>
        <w:rPr>
          <w:rFonts w:ascii="arial" w:eastAsia="arial" w:hAnsi="arial" w:cs="arial"/>
          <w:color w:val="000000"/>
          <w:sz w:val="20"/>
          <w:lang w:val="en-US" w:eastAsia="en-US" w:bidi="ar-SA"/>
        </w:rPr>
        <w:t xml:space="preserve"> that Mr. Bach proceeded </w:t>
      </w:r>
      <w:r>
        <w:rPr>
          <w:rFonts w:ascii="arial" w:eastAsia="arial" w:hAnsi="arial" w:cs="arial"/>
          <w:color w:val="000000"/>
          <w:sz w:val="20"/>
          <w:u w:val="single"/>
          <w:lang w:val="en-US" w:eastAsia="en-US" w:bidi="ar-SA"/>
        </w:rPr>
        <w:t>on the assumption that the Gill vehicle was under control and would remain so. The real question is whether the possibility of danger emerging was reasonably apparent to Mr. Bach and, if so, what precautions should he have taken in those circumstances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should have been reasonably apparent to Mr. Bach that there was a real possibility of the Gill vehicle fish-tailing as it came up the hill. The wet, icy road conditions were ripe for this to occur. No sanding had yet taken place and Mr. Bach had already seen Mr. Gill encounter fish-tailing problems at the bottom of the hill.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should the defendant Bach have done in these circumstances? In my view, he ought to have slowed down to a much lower speed. That speed, in my opinion, should have been no more than one third of the posted speed of 90 kilometres per hour, that is, 30 kilometres per hour, or approximately 18 miles per hour. I find on the evidence that there was sufficient time and distance for the bus to have been slowed down gradually and in a safe manner well before the Gill car reached the vicinity of the bus. By continuing at the speed he was traveling, Mr. Bach left himself with virtually no flexibility to avoid any emergency such as occurred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Mr. Bach also ought to have given the Gill vehicle as wide a berth as he reasonably could in keeping with the safety of the bus. He could have gently eased the bus at least a metre to the right and still have been well away from the gravel edge of the paved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Bach did not take either of these precautions. I therefore find that he was negligent in failing to reduce his speed and in failing to move the bus to the right to give as wide a path as possible to the approaching Gill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case at bar it is to be noted that Shaw, J., at trial level, thought the Greyhound bus driver ought to have slowed down to about 30 k.p.h. to give himself the opportunity to react and that by not slowing down the bus driver left himself with no flexibility to avoid any emergency such as occurred in the Gill case. It should be noted that in the Gill case the impact was primarily a side swipe of the Greyhound bus. The facts of the case at bar are, I find, materially different. The defendant, Capot-Blanc, did slow down upon seeing the first fish-tailing of the Gairdner pickup. She kept her foot over the brake ready to take evasive action. While she testified to having wanting to move her vehicle to the far right of the road surface she could not recall if she did that manoveur prior to impact. I find that unlike the Gill case she had taken precautions which would allow her flexibility of further evasive action based on what she had observed of the movements of the Gairdner pickup.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Another difference that is significant between the facts of this case and the Gill case are that in that case there was merely a side swiping impact of the Gill automobile with the Greyhound bus. It is obvious that the reasoning of the trial judge in the Gill Estate case was that if the Greyhound bus had slowed down it would have been easier to move the bus over to the side of the road leaving as much room for the Gill automobile as possible given that the impact in question there was a side swipe.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same considerations do not apply here where what happened was that the pickup truck swerved quickly and unexpectedly right into the path of the Capot-Blanc vehicle and into the lane the Capot-Blanc vehicle was utilizing. The type of impact of a T-bone collision is quite different from a side swipe and one cannot say the accident would not have occurred if the Capot-Blanc vehicle had moved to as far to the right as it could have or even perhaps had been manouvered towards the snowbank. What the plaintiff relies on is the evidence of Harvey West and the measurements and line of sight observations of Patrick Whidden; namely that there was sufficient time for the defendant, Capot-Blanc, to stop if she had started to stop after first observing the first fish-tailing of the Gairdner pickup truck. There is no doubt that she had sufficient time to stop but, of course, the issue is whether or not it was required of her to take that type of evasive action when there is nothing to indicate the vehicle would again lose control after the driver regained control of the pickup truck after the first loss of control. In this case, as I have indicated, there is no requirement at law for her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Tucker (Public Trustee of) v. Asleson </w:t>
      </w:r>
      <w:hyperlink r:id="rId896" w:history="1">
        <w:r>
          <w:rPr>
            <w:rFonts w:ascii="arial" w:eastAsia="arial" w:hAnsi="arial" w:cs="arial"/>
            <w:i/>
            <w:color w:val="0077CC"/>
            <w:sz w:val="20"/>
            <w:u w:val="single"/>
            <w:shd w:val="clear" w:color="auto" w:fill="FFFFFF"/>
            <w:lang w:val="en-US" w:eastAsia="en-US" w:bidi="ar-SA"/>
          </w:rPr>
          <w:t>78 B.C.L.R. (2d) 173</w:t>
        </w:r>
      </w:hyperlink>
      <w:r>
        <w:rPr>
          <w:rFonts w:ascii="arial" w:eastAsia="arial" w:hAnsi="arial" w:cs="arial"/>
          <w:color w:val="000000"/>
          <w:sz w:val="20"/>
          <w:lang w:val="en-US" w:eastAsia="en-US" w:bidi="ar-SA"/>
        </w:rPr>
        <w:t xml:space="preserve"> (B.C.C.A.), the Court of Appeal had occasion to deal with the duty of care of a motorist in a similar fact pattern. In that case the accident occurred when the pickup truck in which the infant plaintiff was a passenger encountered an icy section of the highway. The driver lost control of the vehicle and it skidded into the path of a tractor trailer. The trial judge found the tractor trailer driver liable. At p. 203, Southin, J.A. speaking for the majority said this, after quoting from various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authorities, in my opinion, demonstrate that the Supreme Court of Canada has placed great emphasis on the importance of a driver confining his vehicle to his own side of the highway and has not been quick to find fault on the part of a driver who, confronted with a vehicle which is not obeying the statutory requirement, </w:t>
      </w:r>
      <w:r>
        <w:rPr>
          <w:rFonts w:ascii="arial" w:eastAsia="arial" w:hAnsi="arial" w:cs="arial"/>
          <w:color w:val="000000"/>
          <w:sz w:val="20"/>
          <w:u w:val="single"/>
          <w:lang w:val="en-US" w:eastAsia="en-US" w:bidi="ar-SA"/>
        </w:rPr>
        <w:t>does not drive with the very highest skill possible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case at bar, Ms. Capot-Blanc testified to having considered whether or not to apply gas to get past the area in question or to slow down. In other words, she had a choice and chose one manouveuer over the other. In my view, it is not for this court to say that she was negligent because she took one evasive action over another possible action. In other words, Ms. Capot-Blanc, although well aware of the danger posed by the icy patch at the bottom of the hill, took an evasive action that would allow her, in the normal course of events, the flexibility of further evasive action unlike the findings of Shaw, J. in the Gill Estate case. Unfortunately, because of the projectile type manouveuer of the Gairdner pickup truck, she had no time to react to its presence on her portion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reject the plaintiff's position that Ms. Capot-Blanc drove her vehicle into "the ambit of danger" without having taken precautions which would leave her with alternatives in the event of future loss of control. I find, contrary to what has been argued by the plaintiff that Ms. Capot-Blanc did indeed slow her vehicle down to the 30 to 40 kilometres indicated not only by her but also by the plaintiff's expert, Mr.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words of Southin, J.A., this court does not require that Ms. Capot-Blanc drive with the very highest skill possible in the circumstances. It is sufficient that she noted the exigencies and took the evasive action of slowing down so that to adopt the words of Shaw, J. in Gill, supra, she had left herself with flexibility to react. Regretfully, what happened was completely unforeseeable. There was no time to react and, in my view, Ms. Capot-Blanc cannot be faulted for that. Nor, can it be said that if she had stopped or slowed to such a point where she did not enter the curve where the accident occurred, that for some reason she breached the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Basically that argument lacks any merit. Speed in itself is not necessarily indicative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motorist might travel at 100 k.p.h. in a 50 k.p.h. zone and while it would not be wise to do so neither would it be negligent until a foreseeable hazard appeared and upon that appearance the motorist's speed was too great to react to the hazard. If the hazard appears at a place and time when even at a prudent speed the motorist would have no opportunity to avoid a mishap, then it cannot be said that the motorist's speed was a causative factor in the ensuing collision. This proposition was recently applied by A.F. Wilson, J. in Currie (Guardian ad litem of) v. Fitt, </w:t>
      </w:r>
      <w:hyperlink r:id="rId897" w:history="1">
        <w:r>
          <w:rPr>
            <w:rFonts w:ascii="arial" w:eastAsia="arial" w:hAnsi="arial" w:cs="arial"/>
            <w:i/>
            <w:color w:val="0077CC"/>
            <w:sz w:val="20"/>
            <w:u w:val="single"/>
            <w:shd w:val="clear" w:color="auto" w:fill="FFFFFF"/>
            <w:lang w:val="en-US" w:eastAsia="en-US" w:bidi="ar-SA"/>
          </w:rPr>
          <w:t>[1996] B.C.J. No. 2882</w:t>
        </w:r>
      </w:hyperlink>
      <w:r>
        <w:rPr>
          <w:rFonts w:ascii="arial" w:eastAsia="arial" w:hAnsi="arial" w:cs="arial"/>
          <w:color w:val="000000"/>
          <w:sz w:val="20"/>
          <w:lang w:val="en-US" w:eastAsia="en-US" w:bidi="ar-SA"/>
        </w:rPr>
        <w:t>. In that case the motorist was travelling at 50 k.p.h. when a prudent speed would have been 30 k.p.h. The infant plaintiff appeared from the motorist's right and ran into his path. The court found that even if the motorist had been going at a prudent speed he would not have been able to avoid striking the child. As a result the motorist was found to be not negligent. In the case at bar I find that Ms. Capot-Blanc was already going at a reasonable speed. There is no evidence to suggest that, had she slowed further to say 15 k.p.h., she would have been able to avoid impact with the Gairdner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there are certainly inconsistencies in the evidence of Ms. Capot-Blanc, there is no inconsistency in her evidence that she in fact slowed to 30 to 40 k.p.h. and that she had no opportunity to react to the movement of the Gairdner pickup truck into her lane of travel. I am cognizant of the fact that this accident occurred some five years prior to Ms. Capot-Blanc testifying at the trial of this matter and that she does not have a clear recollection of all the events leading up to the accident and has given contradictory evidence with respect to some of the peripheral details. But, nevertheless, she has remained consistent throughout with respect to the evasive action taken and the fact that she had no opportunity to avoid the impact. This, in my view, is important. As I indicated, Ms. Capot-Blanc was exposed to a most searching and thorough cross-examination by Mr. LeBlanc. She, however, remained unshaken on the two elements I have already keyed upon but she was also consistent and remained unshaken on two more elements, and those were that she maintained her focus of attention on the truck readying herself for any further evasive action to be taken, but that the Gairdner pickup truck shot across the road toward her at too high of speed and too narrow distance to allow her the flexibility of further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my view, after careful consideration of all the arguments of the plaintiff, it has failed to establish, on the balance of probabilities, that there was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Capot-Blanc that resulted in this accident. As a result, I would dismiss the action against Ms. Capot-Blanc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GILBERT JAMES DENNIS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Shaw v. Storey </w:t>
      </w:r>
      <w:hyperlink r:id="rId898" w:history="1">
        <w:r>
          <w:rPr>
            <w:rFonts w:ascii="arial" w:eastAsia="arial" w:hAnsi="arial" w:cs="arial"/>
            <w:i/>
            <w:color w:val="0077CC"/>
            <w:sz w:val="20"/>
            <w:u w:val="single"/>
            <w:shd w:val="clear" w:color="auto" w:fill="FFFFFF"/>
            <w:lang w:val="en-US" w:eastAsia="en-US" w:bidi="ar-SA"/>
          </w:rPr>
          <w:t>(1991), 53 B.C.L.R. (2d) 257</w:t>
        </w:r>
      </w:hyperlink>
      <w:r>
        <w:rPr>
          <w:rFonts w:ascii="arial" w:eastAsia="arial" w:hAnsi="arial" w:cs="arial"/>
          <w:color w:val="000000"/>
          <w:sz w:val="20"/>
          <w:lang w:val="en-US" w:eastAsia="en-US" w:bidi="ar-SA"/>
        </w:rPr>
        <w:t xml:space="preserve"> (B.C.C.A.) at p. 265 the Court of Appeal succinctly stated where the evidentiary burden lies with a defendant alleging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must be proved by a defendant setting up a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apart from any duty of care that may be owed by the plaintiff to the defendant, is that the plaintiff "did not in his own interest take reasonable care of himself and contributed, by this want of care, to his own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that case the Court of Appeal, at the request of the appellant, sat five judges to consider a decision given by the Court of Appeal in Ondrik v. Goodwin Estate </w:t>
      </w:r>
      <w:hyperlink r:id="rId899" w:history="1">
        <w:r>
          <w:rPr>
            <w:rFonts w:ascii="arial" w:eastAsia="arial" w:hAnsi="arial" w:cs="arial"/>
            <w:i/>
            <w:color w:val="0077CC"/>
            <w:sz w:val="20"/>
            <w:u w:val="single"/>
            <w:shd w:val="clear" w:color="auto" w:fill="FFFFFF"/>
            <w:lang w:val="en-US" w:eastAsia="en-US" w:bidi="ar-SA"/>
          </w:rPr>
          <w:t>(1986), 21 C.C.L.I. 47</w:t>
        </w:r>
      </w:hyperlink>
      <w:r>
        <w:rPr>
          <w:rFonts w:ascii="arial" w:eastAsia="arial" w:hAnsi="arial" w:cs="arial"/>
          <w:color w:val="000000"/>
          <w:sz w:val="20"/>
          <w:lang w:val="en-US" w:eastAsia="en-US" w:bidi="ar-SA"/>
        </w:rPr>
        <w:t xml:space="preserve">. The defendant submits that in the case at bar the plaintiff is arguing that to find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there must be observable signs of impairment on the part of the driver, Gairdner, that would or should have led Mr. Dennis to conclude that this driver was impaired, thus creating a risk in riding with him as a passenger. The defence submits that in overriding Ondrik, the Court of Appeal in Shaw restated the law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it applies to riding with an impaired driver. On careful review, I am of the opinion that the Court of Appeal did not rewrite or restate the law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it applies to riding with an impaired driver. In Shaw, supra, the plaintiff there argued that a passenger's knowledge that the driver had been drinking, without any other evidence, is insufficient to support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evidence must go so far as to show that the driver exhibited visible signs of impairment that should have led the passenger to conclude that the driver was impaired. In rejecting this submission the Court of Appeal held that in that case "from the totality of the evidence" it was open to the trial judge to conclude that the plaintiff had not taken reasonable care for his own safety. At p. 266 the Court made this abundantly clear when it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leaving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is one matter I should refer to. It was submitted to us by counsel for the plaintiff that to overrule Ondrik would mean that evidence of some drinking, standing alone and without any other evidence, could lead to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case such as this. I disagree. </w:t>
      </w:r>
      <w:r>
        <w:rPr>
          <w:rFonts w:ascii="arial" w:eastAsia="arial" w:hAnsi="arial" w:cs="arial"/>
          <w:color w:val="000000"/>
          <w:sz w:val="20"/>
          <w:u w:val="single"/>
          <w:lang w:val="en-US" w:eastAsia="en-US" w:bidi="ar-SA"/>
        </w:rPr>
        <w:t xml:space="preserve">Here there is ample evidence over and above the evidence that each knew the other had been drinking, to support a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Thus, it would seem to me that the Court of Appeal, in Shaw, did not conclude that it was sufficient merely to show that the passenger knew that the driver had been drinking. In that case and on the facts presented by that case such a conclusion would have been unnecessary since, as the Court pointed out, "there was ample evidence" apart from the fact of drinking upon which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 similar conclusion was reached by Perry, J. in Norgaard v. Boudreau, </w:t>
      </w:r>
      <w:hyperlink r:id="rId900" w:history="1">
        <w:r>
          <w:rPr>
            <w:rFonts w:ascii="arial" w:eastAsia="arial" w:hAnsi="arial" w:cs="arial"/>
            <w:i/>
            <w:color w:val="0077CC"/>
            <w:sz w:val="20"/>
            <w:u w:val="single"/>
            <w:shd w:val="clear" w:color="auto" w:fill="FFFFFF"/>
            <w:lang w:val="en-US" w:eastAsia="en-US" w:bidi="ar-SA"/>
          </w:rPr>
          <w:t>[1992] B.C.J. No. 2043</w:t>
        </w:r>
      </w:hyperlink>
      <w:r>
        <w:rPr>
          <w:rFonts w:ascii="arial" w:eastAsia="arial" w:hAnsi="arial" w:cs="arial"/>
          <w:color w:val="000000"/>
          <w:sz w:val="20"/>
          <w:lang w:val="en-US" w:eastAsia="en-US" w:bidi="ar-SA"/>
        </w:rPr>
        <w:t xml:space="preserve"> (September 28, 1992), Prince George Registry No. 14930, where at p. 27 of the Quicklaw report, Perry, J.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read Shaw v. Storey the Court of Appeal did not disagree with the submission of counsel for the plaintiff (appellant) that evidence of some drinking, standing alone, without any other evidence, should not lead to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finding of the Court of Appeal on which the decision rested in that case was that there was ample evidence over and above the evidence that the driver and the passenger each knew that the other had been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facts in Shaw were that the plaintiff passenger knew that the motorcycle driver he was driving with had been drinking and knew that he himself had been drinking and that his faculties and judgment were impaired. Nevertheless, the plaintiff rode in an unsafe position on the motorcycle and he did not wear a helmet. On those facts the Court of Appeal upheld the trial decision that the plaintiff was 50% responsible for his injuries. In that case there was a credibility finding by the judge as to the knowledge of the amount of drinking the driver had participated in to the passenger's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Thus, additional relevant facts are required to be covered in considering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evening prior to the accident, both Gairdner and the plaintiff had been drinking. I gather from the evidence that Fort Nelson does not have many drinking facilities and Mr. Gairdner was on a drinking binge that evening. He was not working due to having been injured at work the previous day and was on pain killers. He described himself having consumed what I would call a tremendous amount of alcohol the night before. He guessed that his consumption up until 2:30 in the morning the previous night probably included 5 to 6 vodka screwdrivers, maybe 10 rye and coke, and perhaps a case of beer. He described drinking until he was drunk. He described the various venues where he consumed alcoholic beverage. He was asked whether or not he had occasion to spend any time with the plaintiff that evening. He testified that he did; when Mr. Dennis noticed him at one of the establishments and that they had a couple of drinks together, and then Mr. Gairdner left. He was asked whether he had spent anymore time with Mr. Dennis after that point in time and testified that he did not sit and drink with him that night past the time of them having those drinks together. Mr. Dennis testified that he had bought Mr. Gairdner one beer and that was the extent of their contact that evening. Both parties retired to their respective mothers' homes which happened to be in close proximity to one another in Fort Nelson. Mr. Dennis woke up the following day and proceeded to have 2 or 3 beers at his mother's home. Later that day he went over to the home of Bonnie Gairdner, Stevie Gairdner's mother. He testified that he had 2 to 3 more beers at the Gairdner residence and that he saw Steve Gairdner drink a beer. Steve Gairdner testified that he did not have a whole beer but rather he was given a beer, took a sip or two from it and decided it did not taste good and did not consume any more alcohol that afternoon. The only other witness called to testify to the drinking pattern of Gairdner and Dennis at the material times was Ms. Steinke, who testified that on January 31st, 1996, she was at Bonnie Gairdner's home. She said that she saw Gairdner drink perhaps 2 or 3 mouthfuls out of a bottle of beer and that is all that she saw. She was not present throughout the time that Mr. Gairdner and Mr. Dennis were at Bonnie Gairdner's home, and in fact she was there for only a few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That is the direct evidence with respect to alcohol consumption by Gairdner and Dennis. In addition to this evidence, I heard evidence relative to the blood alcohol readings obtained from Mr. Gairdner by the R.C.M.P. at the Fort Nelson hospital on January 31st, 1996. Mr. Gairdner was found to have a blood alcohol concentration (bac) of .199 at 5:09 p.m. on January 31st, 1996. From the evidence of three expert witnesses, being Ms. Kirkwood, Mr. Wong and Ms. Jakus, the extrapolated concentration at 3:00 p.m. on January 31st, 1996, being the approximate time of the accident, would have been between .192 and .243 and the approximate time that Gairdner started driving the pickup truck from his mother's residence in Fort Nelson. Further expert evidence heard by me indicated that a person's blood alcohol concentration will decrease by between .010 and .020 per hour provided no further drinking occurs. That would imply that at the time of the accident Steven Gairdner would have had a blood alcohol concentration of at least .211. It was the opinion of all experts tendered at the trial, relative to blood alcohol concentration and impairment, that a person with a blood alcohol concentration of .20 would be impaired with respect to the operation of a motor vehicle. The plaintiff concedes that there cannot be any dispute to the fact that Gairdner was in fact impaired at the time of the accident but submits that the analysis does not stop there. The plaintiff submits that on the whole of the evidence the following conclusions ought to be made with respect to the driving of Gairdner at the time -</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Gairdner's driving was normal up to the Muskwa Bridge and he had no problems controlling the pickup up to that time.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curve at the bottom of the Muskwa Hill was slippery in winter. Both the plaintiff and Ms. Capot-Blanc knew of vehicles that had skidded there, including that of Ms. Capot-Blanc herself within the past month.</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Gairdner navigated the bridge either the plaintiff or Ms. Attachie or the two of them told Gairdner to slow down and the plaintiff thought Gairdner was going too fast for the corner coming up.</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pickup initially began to skid in a clockwise direction, but then came back down around in a counter-clockwise direction and appeared to be under control again before it went across the road and hit Ms. Capot-Blanc's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Against this factual background the plaintiff submits that the defendant has not satisfied the onus on her of establishing that Gairdner's impairment was a contributing cause of the accident. The defendant submits that the expert witnesses called by both sides with respect to the interpretation of the blood sample results all gave expert evidence about the negative effects of alcohol, in general, on presumption judgment reaction time, etc. The plaintiff, however, says that the evidence placed before the court here does not go so far as to show that the accident would not have occurred or that its consequences would have been less severe even if Gairdner's faculties had not been impaired by alcohol. Simply put, the plaintiff says that there is no evidence that the alcohol that Gairdner had consumed caused him to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of Ms. Capot-Blanc of what she observed of the pickup truck, namely that the pickup truck was being driven in a way that would not be seen to be unusual as it entered the curb, is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particular I have considered the submissions of the plaintiff with respect to three particular pieces of evidence:</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plaintiff and Ms. Capot-Blanc knew of other previous accidents at that spot.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previous accidents, there was no suggestion that those accidents resulted from alcohol consumption.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Capot-Blanc herself had skidded there twice before in the preceding month before the accident and there was no evidence of her ability to drive being impaired by alcohol or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knowledge of Gairdner's degree of impairment and his knowledge of Gairdner's consumption of alcohol is critical. There is no evidence to suggest that to Dennis' knowledge the drinking pattern of Gairdner was similar to his. While Dennis testified that he had partied with Gairdner on occasion he also stated that he had not had much contact with him after his early 20's. Although Dennis had seen Gairdner impaired on occasion there is no evidence that he knew Gairdner was a heavy drinker or a binge drinker. While Gairdner was drinking at various venues in Fort Nelson until 2:30 a.m. on the day the accident occurred, there is nothing to indicate that Dennis observed how heavily Gairdner was drinking. They came into contact at the Trapline Pub and either had one, two or three drinks together and then went their separate ways. I was not provided with any evidence as to when they got together although Gairdner testified that he was drinking from 9:00 p.m. until 2:30 a.m. I am also cognizant of Dennis stating, under cross-examination, that Gairdner was pretty well drinking with him beer to beer and that he (Dennis) perhaps had 2 or 3 beers at Bonnie Gairdner's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Based on the expert evidence provided at this trial the amount of alcohol Gairdner admitted having consumed the evening before was sufficient to produce a blood alcohol concentration of .199 at 5:09 p.m. when the blood sample was taken from him at the Fort Nelson hospital. This finding was without him having consumed any beer before 3:00 p.m. on January 31st, other than the one or two mouthfuls Mr. Gairdner testified or the amount of beer Mr. Dennis testified Mr. Gairdner consumed while at Bonnie Gairdner's home. Both Mr. Dennis and Mr. Gairdner testified to Gairdner eating a substantial meal while at his mother's house. The plaintiff testified that Gairdner seemed fine to him, i.e. not getting drunk while he was at the Gairdner house and he also testified that Gairdner seemed fine at the time they left to drive to Prophet River. There was nothing about Gairdner's speech or manner of walking that struck Dennis as unusual and, likewise, Ms. Steinke also could not tell if Mr. Gairdner was impaired when he left the Bonnie Gairdner residence in her truck. While the plaintiff himself testified that he was feeling the effects of the alcohol that he had consumed that day, he was not staggering or slurring. It was also the experts' consensual opinion that a person with a high tolerance to alcohol would exhibit fewer and less pronounced symptoms of impairment at a given breathlyzer at a given blood alcohol concentration reading than the majority of the population. All of the experts agreed on this point. Gairdner was an experienced and heavy drinker who developed a high tolerance to alcohol. All three blood alcohol concentration experts testified to this conclusion on the basis of Gairdner's measured and inferred blood alcohol concentration levels and from his observed behaviour from Cst. Davidson at the Fort Nelson hospital. It is a consensus of the expert evidence that I heard that some visible effects of alcohol are greater on the rising limb of the blood alcohol curve, otherwise known as the absorption phase, as compared to the falling limb of the blood alcohol curve, otherwise known as the elimination phase. As it was also testified to, the amount of impairment or intoxication shown during a drinking episode is affected partly by the level of the blood alcohol concentration but also significantly by the amount of time that alcohol has been in a person's system. Ms. Kirkwood agreed in cross-examination that a person on the downward phase of their impairment would be showing fewer indicia of impairment. Both Ms. Kirkwood and Ms. Jakus agreed that any effects of the alcohol Gairdner had consumed on his motor functions, balance, walking or speaking would likely not have been visible to a sober casual observer. Cpl. Brown, of the Royal Canadian Mounted Police, gave evidence with respect to her observations of Mr. Gairdner at approximately 3:30 at the scene of the accident. She was the officer on the scene. She charged Mr. Gairdner with impaired driving causing bodily harm. She testified to indicia of impaired driving that she relied on. She testified to Mr. Gairdner having a smell of alcohol on his breath and slurring his words. She also made a note of him leaning on the box of the pickup truck. She remarked on inappropriate behaviour exhibited by Gairdner. Cpl. Brown was cross-examined extensively. It turns out that a lot of her evidence was reconstructed evidence and was inconsistent with evidence that she had given at the preliminary inquiry and criminal trial involving Mr. Gairdner. When I say reconstructed I am certainly not suggesting that Cpl. Brown ever intended to deceive the court or to advertently lie to the court, but on a review of her cross-examination I am of the view that her evidence of visible signs of impairment on the part of Mr. Gairdner should be tempered with the reality of the situation that existed when she attended, and with that reality brings the possibility of shock on the part of Mr. Gairdner and the impact that shock would have, or could have, on him. Mr. Gairdner had just been involved in a serious accident where injuries had been sustained to a passenger in his vehicle. He himself suffered some shoulder damage and had just the day before experienced a problem with his back that required him to attend at the Fort Nelson hospital. He was subsequently admitted to the Fort Nelson hospital on February 1st, 1996 and remained there for some six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do, however, accept that there was a smell of alcohol on his breath. Given the consumption of alcohol that he testified to having consumed the evening before I can understand that indicia that was observed. However, I am not satisfied, on a balance of probabilities, that it can be said that the slurring of words she observed would have been an indicia that would have necessarily been in place when Mr. Dennis decided to get in the vehicle driven by Mr. Gairdner. Similarly, the observations of him leaning against the pickup truck are not necessarily, in the circumstances, only consistent with impairment. Given his six day stay at the Fort Nelson hospital, it is just as consistent with pain either arising from the accident or pain arising from the back injury he sustained the previous day. It is notable that no observations were made by Cpl. Brown of Mr. Gairdner's eyes or complexion. This is not a criminal trial involving Mr. Gairdner. The perspective of the court, when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being considered, is much different than the perspective of a peace officer attending at an accident scene involving serious injuries. I am of the view that the odour of alcohol detected by Cpl. Brown is simply consistent with Mr. Gairdner's self-admitted consumption of alcohol the previous night. It does not bear any correlation to Gairdner's degree of impairment and the decisions of the plaintiff that day. As I have already indicated there were no observations of other symptoms of impairment such as problems with balance, flushed face, bloodshot or watery eyes, dilated pupils or sleepiness. Cpl. Brown's notes taken at the scene and shortly thereafter contain no such observations, and she admitted that had she made these observations, they would have been included in her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case at bar, there was nothing to alert Dennis that Gairdner would still or might still have had a substantial concentration of alcohol in his system from the night before. He did not know the alcohol consumption of Gairdner the night before. There is simply no evidence to establish that at the time Gairdner began driving from his mother's home that he was exhibiting symptoms of impairment that the plaintiff should have observed. The defence did not call either of the two other persons present at the Gairdner house to testify as to Gairdner's alcohol consumption or the symptoms that he may have been exhibiting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onus is, of course, on the defendant to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defence must establish the plaintiff's appreciation of Gairdner's ability to drive at the relative times, being when he got into the vehicle and immediately prior to the accident, if he had the opportunity to remove himself from the vehicle. There is no evidence that Dennis was monitoring Gairdner's alcohol consumption or ought to have known, based on his own consumption, what Gairdner's consumption of alcohol might have been. This is not a case where the parties had been drinking together over an extended period of time prior to the accident. I have concluded, in the absence of evidence that he was in fact monitoring Gairdner's alcohol consumption, that there was anything unusual about Gairdner or his conduct that he saw or ought to have seen; or that he thought, or ought to have thought, he was taking a chance in driving with Gairdner. As such, there is no basis for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Reekie v. Messervey </w:t>
      </w:r>
      <w:hyperlink r:id="rId901" w:history="1">
        <w:r>
          <w:rPr>
            <w:rFonts w:ascii="arial" w:eastAsia="arial" w:hAnsi="arial" w:cs="arial"/>
            <w:i/>
            <w:color w:val="0077CC"/>
            <w:sz w:val="20"/>
            <w:u w:val="single"/>
            <w:shd w:val="clear" w:color="auto" w:fill="FFFFFF"/>
            <w:lang w:val="en-US" w:eastAsia="en-US" w:bidi="ar-SA"/>
          </w:rPr>
          <w:t>(1986), 4 B.C.L.R. (2d) 194</w:t>
        </w:r>
      </w:hyperlink>
      <w:r>
        <w:rPr>
          <w:rFonts w:ascii="arial" w:eastAsia="arial" w:hAnsi="arial" w:cs="arial"/>
          <w:color w:val="000000"/>
          <w:sz w:val="20"/>
          <w:lang w:val="en-US" w:eastAsia="en-US" w:bidi="ar-SA"/>
        </w:rPr>
        <w:t xml:space="preserve">, the court stated in relation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p. 200: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We are here concerned with her appreciation of Messervey's ability to drive. She had seen him drinking but there is no evidence she was monitoring his alcoholic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 similar conclusion was reached in Gagnon v. Phillips, </w:t>
      </w:r>
      <w:hyperlink r:id="rId902" w:history="1">
        <w:r>
          <w:rPr>
            <w:rFonts w:ascii="arial" w:eastAsia="arial" w:hAnsi="arial" w:cs="arial"/>
            <w:i/>
            <w:color w:val="0077CC"/>
            <w:sz w:val="20"/>
            <w:u w:val="single"/>
            <w:shd w:val="clear" w:color="auto" w:fill="FFFFFF"/>
            <w:lang w:val="en-US" w:eastAsia="en-US" w:bidi="ar-SA"/>
          </w:rPr>
          <w:t>[1993] B.C.J. No. 1283</w:t>
        </w:r>
      </w:hyperlink>
      <w:r>
        <w:rPr>
          <w:rFonts w:ascii="arial" w:eastAsia="arial" w:hAnsi="arial" w:cs="arial"/>
          <w:color w:val="000000"/>
          <w:sz w:val="20"/>
          <w:lang w:val="en-US" w:eastAsia="en-US" w:bidi="ar-SA"/>
        </w:rPr>
        <w:t xml:space="preserve">. In that case the defendant argued that the driver of the motorcycle on which the plaintiff was a passenger was impaired at the time of the collision and that the plaintiff was contributorily negligent in choosing to ride on a motorcycle driven by a person whose ability to drive she ought to have known was impaired by alcohol. Curtis, J. found that the driver probably appeared capable of controlling the motorcycle properly. He found that the evidence fell short of proving that the passenger knew or ought to have known that it was unsafe to ride with the driver because of the amount of alcohol he had consumed and that as a result the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not been established on a balance of probabilities. Likewise, in the case at bar, there simply is no evidence contradicting the plaintiff's testimony as to what he saw of Gairdner's alcohol consumption and the absence of symptoms of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Cst. Davidson also gave evidence with respect to the observable symptoms of impairment disclosed by Gairdner. Cst. Davidson, a 5 1/2 year member of the R.C.M.P. at the time in question, was sent to the hospital in Fort Nelson by Cpl. Brown to take Mr. Gairdner into custody for charges of impaired driving causing bodily harm. He attended at the hospital at 8:00 p.m., or some 4 1/2 hours after the accident. At that time Mr. Gairdner appeared sober to him. In reaching that conclusion he considered what he said were standard signs which would be stuttered speech or slurred speech, uncertain balance, slow walking or unresponsiveness to request of questions. At that time, according to the expert evidence, based on an elimination rate of .10 to 2.0, Mr. Gairdner would have a blood alcohol concentration reading of 156 mg%. There is no doubt that Mr. Gairdner had developed a tolerance for alcohol and was able to mask the outward appearance that would otherwise be visible on less experienced drinkers.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should also comment on the failure of Mr. Dennis to wear a seatbelt. While the issue of the seatbelt has been plead by the defendant, the defendant did not rely on the lack of use of a seatbelt by the plaintiff. The defendant merely stated that this was just another example of the plaintiff's lack of concern for his own well-being. It is obvious that from the impact of Capot-Blanc's car on the passenger's side of the pickup that the injuries sustained by Mr. Dennis would have been serious. There has been no evidence adduced to demonstrate that the plaintiff would not have suffered his injuries or that they would have been less severe had he been wearing the seatbelt. Again the defendant bears the onus of establishing on a balance of probabilities that the lack of seatbelt being worn would have affected the injuries sustained. This they have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conclusion, on a review of the totality of the evidence that has been placed before me, I have concluded that the evidence simply does not support a finding that Mr. Gairdner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fundamental governing principle relative to damages generally is restitutio in integrum. In other words, the injured person is to be restored to the position he would have been in had the accident not occurred insofar as this restoration can be done with money. The most succinct statement of the general principles which are to guide me in the assessment of Mr. Dennis' damages is found in Milina v. Bartsch </w:t>
      </w:r>
      <w:hyperlink r:id="rId5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affirmed </w:t>
      </w:r>
      <w:hyperlink r:id="rId903"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(B.C.C.A.) where at pp. 78 and 79 McLachlin, J. (as she then was) stated the principles as follows: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fundamental governing precept is restitutio in integrum. The injured person is to be restored to the position he would have been in had the accident not occurred, insofar as this can be done with money. This is the philosophical justification for damages for loss of earning capacity, cost of future care and special damages.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those losses which cannot be made good by money, damages are to be awarded on a functional basis to the end of providing substitute pleasures for those which have been lost. This is the philosophical justification for awarding damages for non-pecuniary loss.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emphasis in assessing damages for a serious injury is provision of adequate future care. The award for future care is based on what is reasonably necessary on the medical evidence to promote the mental and physical health of the plaintiff.</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addition to cost of future care, is entitled to an award for lost future earning capacity. The amount is determined, where evidence permits, by comparing what the plaintiff would have earned had he not been injured with what he will earn in his injured state. Where evidence is not available, statistics as to average earnings, adjusted as necessary for the individual situation of the plaintiff, may serve as the basis of the award for lost earning capacity.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Actuarial and economic evidence is to be used to determine the proper amounts of the award for future care and lost earning capacity. Inflation must be considered and deductions made for present payment.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recognition of the fact that the future cannot be foretold, allowance must be made for the contingency that the assumptions on which the award for pecuniary loss is predicated may prove inaccurate. In most cases this will result in a deduction, since the earnings and cost of care figures are based on an uninterrupted stream which does not reflect contingencies such as loss of employment, early death, or the necessity of institutional care. Where no evidence is available, courts have made a deduction for such matters in the range of 20 per cent. Where evidence is available, the deduction for contingencies may be increased, decreased, or eliminated according to the proof presented. Evidence on contingencies is to be encouraged.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of future taxation is not to be considered in calculating the award for lost earning capacity. In Ontario it has been held that it can be considered in assessing cost of future care. In British Columbia, trial courts have refused to consider taxation under either head.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Deductions must be made as necessary to avoid duplication in the amount awarded for damages for cost of future care (which may include basic living expenses) and that awarded for loss of future earnings (a portion of which would normally be used by the claimant to provide such basic living expenses).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entitled to damages for pain, suffering and loss of amenities. These non-pecuniary damages have as their purpose the provision of new amenities and pleasures in substitution for those which have been lost but cannot be replaced in se. The Supreme Court of Canada has determined as a matter of policy that the award for non-pecuniary loss should be moderate, and has limited the maximum award under this head to the current equivalent of $100,000 in January 1978 (the date of the decisions in the trilogy), barring exceptional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suffered a C4-5 spinal injury resulting in complete tetraplegia. There is no controversy with respect to the plaintiff's condition. His motor impairment as a result of his spinal injury includes complete loss of voluntary movement in the legs and loss of most voluntary movement in his arms. Mr. Dennis has also lost normal function of the muscles of his trunk, abdomen and many of the muscles involved in breathing. His motor impairment also includes spasticity, a neurological syndrome commonly seen in upper neuron motor lesions such as spinal cord injury, and characterized by increased motor tone, brisk reflexes and abnormal involuntary movements. Dr. H.A. Anton's medical legal report of May 25th, 2001, provides not only insight into Mr. Dennis' injuries but also insight into his ongoing impairments, which include a neurogenic bladder and bowel caused by his loss of control of his bladder and bowel functions due damages to the nerves in his spinal cord. He requires a catheter to drain his bladder which puts him at risk for complications such as urinary tract infections, bladder or kidney stones and in the most extreme case, kidney damage. Mr. Dennis medication, diet and direct stimulation to empty his bowel and maintain bowel continence. As a result of the injuries sustained in the accident, Mr. Dennis is at risk for loss of range of motion in his joints, occasional bouts of autonomic dysreflexia, pressures sores and is also at increased risk for the development of adjustment disorders and depression. These continuing impairments have a significant effect on all aspects of Mr. Dennis' daily life. He is almost completely dependent in activities of self-care, such as bathing, grooming, dressing and feeding. He has no ability to perform more complicated tasks such as cooking or cleaning. He is dependent on others for transfers in and out of his wheelchair, on and off the toilet and in and out of the shower. He is not presently able to drive a motor vehicle. There is no doubt that the injuries suffered by Mr. Dennis were of a catastrophic nature and that an appropriate award for general damages must be set at the "upper limit" that Madam Justice McLachlin (as she then was), referred to in Milina, supra. Economist Robert Carson has calculated the amount required to equal $100,000 in January 1978 dollars based on the Consumer Price Index. Based on Carson's testimony I have concluded that a proper award for general damages in the circumstances of this case is $284,000.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of the conclusion of this trial, the plaintiff's costs and disbursements which would ordinarily be characterized as special damages have been paid by the Insurance Corporation of British Columbia. By agreement between counsel for Mr. Dennis and counsel for the defendant, Rose Mary Capot-Blanc, no claim has been advanced by Mr. Dennis for special damages or benefits already paid for by the Insurance Corporation of British Columbia and I therefore heard no evidence relating to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Dennis appears to have been a motivated and hard working employee and appears to have had no difficulty finding seasonal work in the three years prior to the accident. He had obtained qualifications required to work both in the summer as a B.C. Ministry of Forests fire-fighter and in the winter as a contract worker in the resource industry primarily the oil and gas industry. To acquire work he obtained his Occupational First Aid ticket, completed both a WHMIS Hazardous Materials course and an H2S Poisonous Gas course. At a more practical level he was graded by the Ministry of Forests as Faller/Bucker, and a crew boss ranking. He also took part in training related to safety and procedural use pertaining to his job as a member of the Initial Attack Helitack fire fighting crew based in Fort Nelson. Mr. Dennis worked as a seasonal fire-fighter in the 1980's but returned to school to upgrade his education in the early 1990's with the hopes that he would become a welder. He spent approximately six months attending classes to upgrade his secondary education to a grade ten level and at that time also took the courses previously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Following the completion of his educational upgrading, in 1993 the Ministry of Forests decided to create the Initial Attack Helitack fire fighting crew based out of Fort Nelson. His immediate supervisor, Edwin Lussier, gave evidence with respect to the physical requirements of being a member of that crew and the circumstances under which Mr. Dennis was chosen to be a member of the crew. He testified to having obtained a list of recommended local fire-fighters which list included Mr. Dennis. Lussier testified that he was impressed with Mr. Dennis' enthusiasm, motivation, power saw skills and bush and fire suppression experience. He also testified that the fire fighting position although seasonal created regular employment for the plaintiff from 1993 through the fire fighting season of 1995. Lussier also testified as to the development of the plaintiff as a fire-fighter for the B.C. Ministry of Forests Initial Attack crew. He described the plaintiff having a good work ethic and being more than capable of working unsupervised. He indicated some concerns with Mr. Dennis' administrative skills but testified that Mr. Dennis had indeed improved his administrative skills in his last year of employment preceding the accident. He opined that the plaintiff would be acceptable as a crew leader candidate.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During the winter months following the seasonal work with the Ministry of Forests which ended generally in August, the plaintiff was able to find employment with various private companies in the oil and gas industry. His demonstrated skill and experience with power saw operation and the work related qualifications he had obtained in the preceding years enabled the plaintiff to consistently find work. Mr. Dennis testified that he would regularly receive calls from potential employers as soon as they knew he was available for work. In an Agreed Statement of Evidence, Stewart Dolan, one of the owners of D &amp; B Oilfield Contracting Ltd. provided evidence of Mr. Dennis' work skills and qualifications. He stated at paras. 8 and 9 of the Agreed Statement of Evidence:</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Gilbert were to come to work with alcohol on his breath he would have been sent home. If it were an ongoing situation, he likely would have been terminated. In my opinion, this was not an ongoing situation for Gilbert, although it did occur on rare occasions.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Gilbert had a first aid ticket and had taken the H2S poisonous gas course makes him a more desirable employee as a general labourer for my company, since these tickets, especially the H2S poisonous gas ticket, required to do the work that he was hired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raise this at this time because although the defence accepted that for the three years immediately preceding the accident Mr. Dennis earned on the order of $44,201 per year including EI benefits and also accepted that during the three years Mr. Dennis was a good employee in the jobs for which he was suited, the defence however pointed out that Mr. Dennis did skip around and not any one particular employer employed him on a regular basis during the winter months when he was not fighting forest fires. As such the defence has submitted that because different employers hired Mr. Dennis from time to time during the year his claim for past income loss is really a claim for lost of opportunity to earn income between the accident and the trial date. As a result, the defence maintains that his opportunity to earn his income was subject to various contingencies. These contingencies the defence say include: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Dennis' health;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predilection for alcohol abuse;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predilection for use of cocaine;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injury presented by the environment in which he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defence has submitted with respect to past income loss that the effect of these negative contingencies should be fixed at between 10 to 20% and that for the 5.8 years since his injury Mr. Dennis' award for loss of opportunity to earn past income should be reduced accordingly. Without the contingencies aforesaid he would have earned $255,200. With a 10% contingency this would have been reduced to $229,680 and with a 20% contingency to $204,160. The plaintiff submits that past loss income as a result of the accident would be some $246,000 plus $10,000 for non-wage benefits which were not included in Mr. Carson's calculations but were included in Mr. Hildebrand's calculations on the basis of $2,000 non-wage benefits per year. Based on this scenario the plaintiff submits that past loss of income would be some $255,200 without any allowance for any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While it is true that the plaintiff worked regularly for B.C. Forest Service during the past three summers he did not work for the same employer for the relevant winter months. Whether you call it a claim for loss of opportunity or loss of income the fact remains that since completing his upgrading Mr. Dennis was gainfully employed without any major interruption due to health problems, alcohol abuse or abuse of cocaine. The same risk of injury that presents itself in the environment in which he worked was present over the years 1993 through to 1995. There was no evidence to show that any of the contingencies set forth by the defence had in fact occurred over this three year period except for Mr. Dennis' voluntary admission to a detox institution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have concluded therefore that it is reasonable in the circumstances to expect the plaintiff would have continued to work in the period 1996 through to October 9th, 2001 as he had in the period from 1993 to 1995. On the basis of his past employment I find that the plaintiff has suffered a past loss of income/opportunity to earn income in the amount of $255,200.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Loss of Income - Factors and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previously set out, the law with respect to this head of damage was succinctly stated by McLachlin, J. (as she then was) in Milini, supra. The simple question is what did the future have in store for the plaintiff had it not been for the accident of January 30th, 1996? More specifically the amount of this head of damage is to be determined by comparing what Mr. Dennis would have earned had he not been injured with what he now can earn in his post accident state. As is stated in Milini, the court's task in assessing damages under this head is usually seen as determining what earnings the plaintiff has lost and will continue to lose in the future as a consequence of his injuries. It is therefore necessary to first look at the most probable outlook for Mr. Dennis given his injured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Anton, in his medical legal report, summarized Mr. Dennis's future employment prospects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Dennis is at this time not competitively employable. Some persons with high level spinal cord injury are able to do part-time employment, but that requires an individual with the right background and education as well as an unusual combination of circumstances. It is very unlikely that, even with further education or training, Mr. Dennis would ever become competitively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Thus, the assessment of damages for loss of future income must proceed on the basis of what Mr. Dennis would have earned had he not sustained the injuries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discussed previously Mr. Dennis worked seasonally as a fire-fighter and then upgraded his education in the early 1990's and obtained various qualifications as a result of taking various employment related courses. His income from 1987 to 1995 is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Income from 1987 to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881"/>
        <w:gridCol w:w="1987"/>
        <w:gridCol w:w="1673"/>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EMPLOYMENT</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EMPLOYMENT</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OTHER</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INSURANCE</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569"/>
        <w:gridCol w:w="1882"/>
        <w:gridCol w:w="2091"/>
        <w:gridCol w:w="1673"/>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1987</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$3,572</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$3,072</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569"/>
        <w:gridCol w:w="1882"/>
        <w:gridCol w:w="1673"/>
        <w:gridCol w:w="2091"/>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1988</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$8,145</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$8,145</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569"/>
        <w:gridCol w:w="1987"/>
        <w:gridCol w:w="1568"/>
        <w:gridCol w:w="2091"/>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1989</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$5,878</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$8,039</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$13,917</w:t>
            </w:r>
          </w:p>
        </w:tc>
        <w:tc>
          <w:tcPr>
            <w:tcW w:w="266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$3,061</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$9,473</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$12,534</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568"/>
        <w:gridCol w:w="1987"/>
        <w:gridCol w:w="1987"/>
        <w:gridCol w:w="1673"/>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1991</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$4,539</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$7,126</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$1,721</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$13,386</w:t>
            </w:r>
          </w:p>
        </w:tc>
        <w:tc>
          <w:tcPr>
            <w:tcW w:w="266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1992</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$7,030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$3,375</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$5,975</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$16,380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673"/>
        <w:gridCol w:w="1882"/>
        <w:gridCol w:w="1569"/>
        <w:gridCol w:w="2091"/>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1993</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$34,385</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$5,282</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$39,667</w:t>
            </w:r>
          </w:p>
        </w:tc>
        <w:tc>
          <w:tcPr>
            <w:tcW w:w="266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$31,891</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$6,096</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$37,987</w:t>
            </w:r>
          </w:p>
        </w:tc>
        <w:tc>
          <w:tcPr>
            <w:tcW w:w="266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$37,815</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$4,955</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$42,770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Carson has calculated the plaintiff's loss of future income on the basis of his annual income from 1993 to 1995. His calculations are based on a number of factors.</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approximately 1990 to 1993, the plaintiff upgraded his education and obtained several qualifications which made him more employable. These qualifications have helped him find work in the winter.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1993, the B.C. Ministry of Forests decided to form a Helitack crew in Fort Nelson. The plaintiff was recommended as a possible candidate and was subsequently hired. This new opportunity was a catalyst for his increased income.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already had a fire fighting background. Prior to 1993, he worked seasonally as a fire-fighter, and his experience enabled him to become gainfully employed with the B.C. Ministry of Forests every summer from May to August. As noted above, Mr. Lussier has testified regarding the skills the plaintiff had when he was hired and the development of those skills from 1993 to 1995. He described the plaintiff as a power saw operator with skills "unsurpassed in Ft. Nelson" and testified the plaintiff's skills and experience made him a candidate for crew leader.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had power saw skills which helped him obtain and retain his B.C. Ministry of Forests position. This skill was, and is, also in demand in the private sector. He was able to find power saw related employment in the winter months from October to May. He testified to the demand for his skills - once he was finished with one job, he would quickly receive a phone call from another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Hildebrand, on behalf of the defendant, Capot-Blanc, also performed his calculations for future income. He included the income in the years preceding 1993. This represents the principle difference between the approach taken by Mr. Carson and Mr. Hildebrand. Mr. Carson testified that he did not take into account the years prior to 1993 both because he understood the plaintiff had undertaken training and obtained qualifications which improved his employment opportunities. As indicated previously, in 1991 and 1992 Mr. Dennis was attending school for approximately six months in 1991 and at least two months in 1992. I agree with Mr. Carson's concern of using a person's earnings in their 20's to project earnings later in life. Under cross-examination Mr. Carson said that most people don't earn as much in their 30's as they are going to earn in their future years and they may not a lso be doing the same work in the future but that generally changes are for the better and not for the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agreed that Mr. Dennis' increased work skills and probable increase in future income are positive contingencies not factored into his calculations of the plaintiff's projected future income. The defence maintains that there are negative contingencies which must be taken into account and submits that had the accident not occurred Mr. Dennis had a substantially increased chance of early mortality. This early chance, the defence submits, was due to Mr. Dennis' habits of smoking, drinking and drug use and also due to his heritage and his social economic status in the remote community in which he lived. The defence through the evidence of Dr. Rally suggests that all these factors combine to indicate that even if the accident had not occurred Mr. Dennis's chances of living out a normal life span were 15 times less than the statistical average thus seriously affecting his income earning abilities over the course of his lifetime absent the accident in question. Basically the assertion by Dr. Rally is that Mr. Dennis had a higher chance of dying young. On this basis the defence submits that absent the accident Mr. Dennis' life expectancy is limited to 15 years and if that is so and assuming that his income would have continued at an unabated rate equal to his earnings in the previous three years through the end of that estimated life span then according to Mr. Hildebrand the plaintiff's future earnings would have a present capital value of approximately $380,000. Approached from a different perspective the defence further argues that the contingencies that apply to the plaintiff's future income loss are significant. These contingencies include not only the factors that go into a regular labour market participation but also the additional factors involving the hazardous nature of the jobs Mr. Dennis did and the fact that his ability to do those jobs depended to a large part on his having attributes found primarily in young men. To some extent the evidence of Mr. Lussier reflects the physical abilities required of Initial Attack Helitack crews. The defence submits that as Mr. Dennis aged he would likely have been less able to do the job requirements for the particular jobs he held to the date of the accident. The defence says that Mr. Dennis's opportunity to earn income of $40,000+ per year would therefore diminish accordingly. Further, the defence submits that his problems with alcohol cannot be ignored, in particular the fact that alcohol problems cost him a job at a mill in the 1990's. The defence argues that included in his history of drug and alcohol abuse is the fact that Mr. Dennis attended hospital detoxification programs by way of voluntary admission on two occasions, the last one during the year preceding the accident. Under cross-examination Mr. Dennis agreed that he did need detoxification in 1995 because he had trouble with liquor and that at the time he was not then drinking in response to any particular stress source such as economic troubles. At that time Mr. Dennis was steadily employed and making a good income. Thus, says the defence Mr. Dennis was an individual who would drink to excess and to a degree that required institutional intervention and that he followed a pattern of alcohol abuse in spite of having good employment and steady income. That pattern of abuse the defence submits is not a good precursor in favour of a continued and unbroken record of employment in the future. The defence submits that Mr. Dennis was making as much money as the circumstances, education and skills would allow during the employment period I have been asked to review. From a positive perspective the defence agrees that Mr. Dennis was making the highest and best use of his earning capacity and that as a result there are only negative contingencies that apply to his claim for income loss with no additional positive contingencies to balance them out, for example, the positive assertion that Mr. Carson had indicated; namely, a person is not generally at his peak earning years until much later in his life. The defence submits that there is no evidence to justify further advancement within the Ministry of Forests given that Mr. Lussier's evidence was clear that residential mobility is an essential element to further promotion in the forest fighting industry and no evidence was led with respect to that contingency. In fact under cross-examination Mr. Dennis indicated that absent the accident he probably would have remained in Fort Nelson for the balance of his adult life. On this basis the defence submits that the plaintiff's loss of future earnings should be fixed at an amount that reflects the negative contingencies against the perpetuation of his 1993 to 1995 income. From the defence perspective that figure lies in the range of $350,000 to $400,000 and that an appropriate multiplier is $8,500 to $9,000 per year for every $1,000 of annual income Mr. Dennis has lost as a consequence of his injury. I do note, however, that Mr. Hildebrand provided his opinion with respect to the plaintiff's loss of future income on Dr. Rally's opinions regarding reduced life expectancy and on the expected lifetime earnings for B.C. males with a grade 9 to 10 education. On that basis he provided a range of projected future income loss of between $416,000 to $448,000. That, of course, is the worst case scenario and does not take into account the fact that Mr. Dennis was indeed making more than the expected annual income for a person of his age and education at the time of the accident. Again it should be noted that Mr. Hildebrand has noted in his report that the results he obtained could be taken to represent estimates of the plaintiff's expected earnings absent the accident to the extent that the plaintiff's labour market participation prospects could be aligned to the average B.C. worker. Thus, I find that Mr. Hildebrand's projections significantly underestimate the loss of future earnings of Mr. Dennis.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have again reviewed Dr. Rally's report and I agree with the plaintiff's submission that it does not provide the court with the number of years a person might expect to live with a five times normal mortality rate. I have, therefore, concluded that I prefer the analysis of Mr. Carson as it relates to Mr. Dennis and his own particular circumstances, life experiences and expectations. While the defence has painted a fairly negative outlook for Mr. Dennis' life expectancy and work, it fails to address the positive aspects of Mr. Dennis. While the defence submits that the plaintiff was a person who had abused drugs and alcohol, it fails to consider the fact that on both occasions that Mr. Dennis attended detoxification, he did so on his own volition. The evidence of past employers leads me to conclude that Mr. Dennis was an exceptionally gifted worker who, although he would abuse alcohol, did not let that abuse interfere with his employment requirements. Nevertheless, it is also quite clear that the type of work being done in the past by Mr. Dennis is vigorous and his ability to do that work would have declined over time, making retirement at an earlier age than the national average more probable. Mr. Carson arrived at a future loss of income estimate of some $850,000. Using his past and future income loss report and reducing retirement age to an anticipated retirement age of 60 rather than 65 would yield $739,200. This amount should also be further reduced because of the past medical experiences the plaintiff has suffered no doubt as a result of his alcohol abuse and the studies that indicate reduced life expectancy as a result of past alcohol consumption. This is not to say that I am reducing my estimate of his future loss income based on the contingencies argued by the defence, but merely taking into account his past medical problems and the evidence related to the effect of those problems on life expectancy and applying them to estimate his longevity in the work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have therefore concluded that a 20% contingency should be applied to the $739,200 figure extrapolated from Mr. Carson's report arriving at a figure of $591,360 under the head of damages loss of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cost of future care was summarized by the plaintiff in its submissions and attached as a schedule to those submissions. The schedule is prepared on the basis of evidence provided by Ms. Murrell and Mr. Enright. It is predicated on the remaining life expectancy of Mr. Dennis being 38 years from trial. Mr. Carson used a normal life span for his cost of future care calculations, based on surviving probabilities from Statistics Canada's 1990-1992 Life Tables for Canada resident males of the age of Mr. Dennis. In his medical-legal report dated May 25th, 2001, Dr. Anton, based on his actual experience in treating quadriplegics for over 15 years,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more important trends in the medical literature is improved survival and it is reasonable to think the trend will continue. While Mr. Dennis is definitely at increased risk for early mortality, it is also realistic to think that, with optimum medical and social support to prevent complications, he will do well and could even have a normal life span.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Both of the experts retained by the defendant, Capot-Blanc, being Dr. Rally and Dr. Chambers, estimated that Mr. Dennis's life expectancy could be much lower than the national average due to his spinal cord injury. Their estimates were based on studies that have examined the life expectancy of people with spinal cord injuries. However, neither of their reports address what effect "optimum medical and social support to prevent complications" would have on the plaintiff's life expectancy. Dr. Rally based his opinion concerning the life expectancy of Mr. Dennis on two studies - one by Geisler, who studied quadriplegics from 1973 to 1980, and the other by DeVivo, whose study covered the period from 1973 to 1984. Dr. Rally, while acknowledging that a major criticism of the Geisler report was that it has not been updated, nevertheless testified that he put a fair amount of weight on that study. Under cross-examination, he mentioned there were more recent studies which indicated the mortality rate for quadriplegics had been declining in recent years, but did not base his opinion on them. Under further cross-examination, he admitted that these newer studies showed a 1.8% to 3.0% annual increase in survival. I have concluded that Dr. Rally's estimates of the plaintiff's life expectancy do not take into account the particular circumstances of the plaintiff or the increase in survival rates because of increased medical successes in prolonging the lives of quadriplegics. Given Dr. Rally's admission under cross-examination that the newer studies dealing with quadriplegia show up to a 3% annual increase in survival, I feel I ought not to sell Mr. Dennis' life expectancy short. I agree with the submissions for the plaintiff that the experts retained by the defendant, Capot-Blanc, being Dr. Rally and Dr. Chambers, do not address what effect, in this day and age, "optimum medical and social support to prevent complications" as stated by Dr. Anton in his report would have on Mr. Dennis'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seems to me that I must be reasonable and not pessimistic when it comes to considering the plaintiff's life expectancy. In coming to this conclusion, I have adopted the plaintiff's position that it would be inappropriate to estimate his life expectancy on the basis of any standard other than optimum medical and social support, and that to do otherwise would allow a defendant, whose liability has been established for the injury, to reduce damages that a plaintiff would be entitled to by providing less than adequate medical and social care. In my view, optimal medical care is what is required to give a quadriplegic a chance of a normal life expectancy and Mr. Dennis is entitled to no less than that. On that basis, I will now proceed to deal with the various heads of future care, which I set out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Accommodation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Self-owned housing verses Institutional Housing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Housing modifications, if required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Interior painting, if required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Exterior painting, if required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Handyman/Gardening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Clothing/Footwear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Ambulation (Seating, Standing)/Bedding</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Specialized Wheel Chair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Wheel Chair batteries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Wheel Chair cushion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Wheel Chair servicing/repair/adjustments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Standing Frame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Standing Frame service/repair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Portable Transfer Unit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Portable Transfer Unit slings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 Bed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 Bed Servicing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Alternating pressure mattress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Transportation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 Modification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 Servicing</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Servicing and Maintenance of Lift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Emergency Assistance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Cellular Phone requirements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Handicap Parking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Treatment/Therapy/Medication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Nursing Care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Case Manager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Therapist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Counselling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Live-in Caregivers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Justification for Live-In Caregivers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desire to live on his own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Autonomic dysreflexia</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 to 24 hour care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 Alert System</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Personnel's Knowledge of Autonomic dysreflexia</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Need for Assisted Stretching</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Need to provide training to caregivers</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Need for recreational activities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Live-In Allowance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Beddings/Linens and Furnishings for Live-In Caregivers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have taken these various headings from the schedule accompanying the plaintiff's written submissions following trial. As can be seen, the plaintiff's claim for costs of care have a number of discreet elements and the defence takes no issue with many of them. The defence agreed, for example, that Mr. Dennis needs the medical supplies and medications recommended for him by Ms. Murrell, and agrees that his need for a wheel chair and its cost and replacement cycle are as described by the expert reports of Ms. Murrell and Mr. Enright. However, they take exception on several major items of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primary exception is the cost of accommodation. The plaintiff has expressed a wish to live independently in a residence of his own. His present circumstances at Creek View, says the defence, meet his basic needs. He resides there with 5 or 6 other clients. During the trial I heard evidence from both Mr. Dennis and Dr. Anton that the quality of care he receives at Creek View is generally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Murrell observed that Mr. Dennis' Creek View attendants are skilled and well trained and perform their tasks in an excellent manner. The defence concedes that Creek View is not an ideal facility but questions the appropriateness of an "ideal" living arrangement for Mr. Dennis on the basis of whether or not that is something that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submits that while the care provided at Creek View meets his basic needs, it does not sufficiently address his needs in relation to recreation, leisure and day-to-day errands, nor does it provide him with the necessary stretching exercise which he requires. The plaintiff testified that he does not feel Creek View provides him with sufficient privacy with respect to visitation and daily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says that privacy is difficult to achieve under the best of circumstances and, the fact is, that a person with a high level spinal cord injury is doomed to a life in which his most private functions are the business of other parties and submits that living in a single family dwelling would not address that problem. The defence further submits that the desire of the plaintiff to have his own home cannot be a basis on which to visit, on a defendant, housing costs of $250,000 or more, and that one cannot guarantee that by spending $250,000 on a single family dwelling one will acquire pleasant neighbours.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defence submits that living a Creek View offers a number of real and practical advantages to Mr. Dennis, including -</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Rent - which is presently subsidized;</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Staffing - staff hiring and firing is done for Mr. Dennis by an agency; the agency ensures there is a licenced practical nurse and a home support worker on site at all times; scheduling is done by the agency;</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Location - Creek View is located close to entertainment and shopping (Granville Island) and its neighbourhood is well-suited and adapted to people in wheel chairs; there is no risk of him being evicted from Creek View; it is not a hospital setting; he is as secure there as he would be in any residential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defence admits that there are trade-offs involved in living in Creek View, including the lack of privacy, but nevertheless says that there is a guarantee of good care from attendants with experience in helping high level spinal cord injury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If he were to stay at Creek View, the defence concedes that Mr. Dennis should benefit from additional attendant time, especially during waking hours, and that for that additional care he should receive an award for attendant care at $15.00 per hour for 8 hours per day, and according to Mr. Hildebrandt's multipliers for a 21 year life span, that expense would have a current capital value of approximately $674,500.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alternative, the defence submits that if the court is inclined to make an award to Mr. Dennis for housing then that award should be limited to the incremental cost of such housing, taking into account Mr. Dennis' evidence that had it not been for the accident he probably would have gone on to purchase a house in Fort Nelson, which costs in the order of $50,000 to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Basically, the defence says that the cost of Fort Nelson housing should be deducted from any housing award the court may be inclined to make because it is a cost Mr. Dennis would have incurred in any event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considering home care versus institutionalized care, I have considered which type of care is the appropriate standard of care for a person in Mr. Dennis'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Zapf v. Muckalt </w:t>
      </w:r>
      <w:hyperlink r:id="rId904" w:history="1">
        <w:r>
          <w:rPr>
            <w:rFonts w:ascii="arial" w:eastAsia="arial" w:hAnsi="arial" w:cs="arial"/>
            <w:i/>
            <w:color w:val="0077CC"/>
            <w:sz w:val="20"/>
            <w:u w:val="single"/>
            <w:shd w:val="clear" w:color="auto" w:fill="FFFFFF"/>
            <w:lang w:val="en-US" w:eastAsia="en-US" w:bidi="ar-SA"/>
          </w:rPr>
          <w:t>(1995), 11 B.C.L.R. (3d) 296</w:t>
        </w:r>
      </w:hyperlink>
      <w:r>
        <w:rPr>
          <w:rFonts w:ascii="arial" w:eastAsia="arial" w:hAnsi="arial" w:cs="arial"/>
          <w:color w:val="000000"/>
          <w:sz w:val="20"/>
          <w:lang w:val="en-US" w:eastAsia="en-US" w:bidi="ar-SA"/>
        </w:rPr>
        <w:t xml:space="preserve"> (B.C.S.C.), Humphries, J., said this at p. 326: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same issue was canvassed by the Supreme Court of Canada in 1978 in Andrews v. Grand &amp; Toy Alberta Ltd. </w:t>
      </w:r>
      <w:hyperlink r:id="rId266" w:history="1">
        <w:r>
          <w:rPr>
            <w:rFonts w:ascii="arial" w:eastAsia="arial" w:hAnsi="arial" w:cs="arial"/>
            <w:i/>
            <w:color w:val="0077CC"/>
            <w:sz w:val="20"/>
            <w:u w:val="single"/>
            <w:shd w:val="clear" w:color="auto" w:fill="FFFFFF"/>
            <w:lang w:val="en-US" w:eastAsia="en-US" w:bidi="ar-SA"/>
          </w:rPr>
          <w:t>(1978), 83 D.L.R. (3d) 452</w:t>
        </w:r>
      </w:hyperlink>
      <w:r>
        <w:rPr>
          <w:rFonts w:ascii="arial" w:eastAsia="arial" w:hAnsi="arial" w:cs="arial"/>
          <w:color w:val="000000"/>
          <w:sz w:val="20"/>
          <w:lang w:val="en-US" w:eastAsia="en-US" w:bidi="ar-SA"/>
        </w:rPr>
        <w:t xml:space="preserve"> (S.C.C.), where at pp. 466-67, Mr. Justice Dickson, for the court, made these comments with respect to home care as opposed to institutionalized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basic argument, indeed the only argument, against home care is that the social cost is too high . . . I do not think the area of future care is one in which the argument of the social burden of the expense should be controlling, particularly in a case like the present, where the consequences of it would be to fail in large measure to compensate the victim for his loss. Greater weight might be given to this consideration where the choice with respect to future care is not so stark as between home care and an auxiliary hospital. Minimizing the social burden of expense may be a factor influencing a choice between acceptable alternatives. It should never compel the choice of the unacceptable.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was no evidence before me to show that there is a shortage of specially trained people to service Mr. Dennis' requirements over his expected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Just as medical necessity is not the criteria for what future medical care is required, neither should the court look at minimal or lowest standard care that is available. The concept is rather one of adequate or reasonable compensation. In my view, what should be looked at in the case at bar is an award of compensation that will provide Mr. Dennis with a high standard of future care which will give him maximum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This is in keeping with the pre-eminence of the principal of compensation enunciated in Ratych v. Bloomer </w:t>
      </w:r>
      <w:hyperlink r:id="rId519" w:history="1">
        <w:r>
          <w:rPr>
            <w:rFonts w:ascii="arial" w:eastAsia="arial" w:hAnsi="arial" w:cs="arial"/>
            <w:i/>
            <w:color w:val="0077CC"/>
            <w:sz w:val="20"/>
            <w:u w:val="single"/>
            <w:shd w:val="clear" w:color="auto" w:fill="FFFFFF"/>
            <w:lang w:val="en-US" w:eastAsia="en-US" w:bidi="ar-SA"/>
          </w:rPr>
          <w:t>(1990), 69 D.L.R. (4th) 25</w:t>
        </w:r>
      </w:hyperlink>
      <w:r>
        <w:rPr>
          <w:rFonts w:ascii="arial" w:eastAsia="arial" w:hAnsi="arial" w:cs="arial"/>
          <w:color w:val="000000"/>
          <w:sz w:val="20"/>
          <w:lang w:val="en-US" w:eastAsia="en-US" w:bidi="ar-SA"/>
        </w:rPr>
        <w:t xml:space="preserve"> (S.C.C.). In his text, "Personal Injury Cases in Canada" (2d ed.) (1996), Carswell, at p. 411, Professor Cooper-Stephenson describes the standard of care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establishment of this very high standard of post-accident care means that plaintiffs can claim almost any anticipated expense that will facilitate their health, including both their physical and mental welfare.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This conclusion is consistent with what Dickson, J., said in Andrews, supra, where he stated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standard to be applied is not merely "provision" but "compensation", ie. what is the proper compensation for a person who would have been able to care for himself and live in a home environment if he had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general principle applicable to the level of future care is, of course, focused on the type of injuries sustained by Mr. Dennis and the provision of adequate future care and the proper test is whether the recommended costs are reasonable. (See Milini, supra, at p.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More recently in Zapt v. Muckalt </w:t>
      </w:r>
      <w:hyperlink r:id="rId905" w:history="1">
        <w:r>
          <w:rPr>
            <w:rFonts w:ascii="arial" w:eastAsia="arial" w:hAnsi="arial" w:cs="arial"/>
            <w:i/>
            <w:color w:val="0077CC"/>
            <w:sz w:val="20"/>
            <w:u w:val="single"/>
            <w:shd w:val="clear" w:color="auto" w:fill="FFFFFF"/>
            <w:lang w:val="en-US" w:eastAsia="en-US" w:bidi="ar-SA"/>
          </w:rPr>
          <w:t>(1996), 26 B.C.L.R. (3d) 201</w:t>
        </w:r>
      </w:hyperlink>
      <w:r>
        <w:rPr>
          <w:rFonts w:ascii="arial" w:eastAsia="arial" w:hAnsi="arial" w:cs="arial"/>
          <w:color w:val="000000"/>
          <w:sz w:val="20"/>
          <w:lang w:val="en-US" w:eastAsia="en-US" w:bidi="ar-SA"/>
        </w:rPr>
        <w:t xml:space="preserve"> (B.C.C.A.), at p. 217, the Court of Appeal confirmed that medical necessity is too stringent a test. At pp. 216-17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the proper test is reasonableness and that psychological and emotional factors influencing the choice of where to live must be considered . . . medical necessity is too stringent a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Similarly, in the more recent decision of Brennan v. Singh Estate, </w:t>
      </w:r>
      <w:hyperlink r:id="rId906"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(March 4, 1999), Vancouver Registry B961315, (B.C.S.C.), Mr. Justice Harvey said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historical perspective, here revisiting the trilogy [Andrews v. Grand &amp; Toy Alberta Ltd. </w:t>
      </w:r>
      <w:hyperlink r:id="rId266" w:history="1">
        <w:r>
          <w:rPr>
            <w:rFonts w:ascii="arial" w:eastAsia="arial" w:hAnsi="arial" w:cs="arial"/>
            <w:i/>
            <w:color w:val="0077CC"/>
            <w:sz w:val="20"/>
            <w:u w:val="single"/>
            <w:shd w:val="clear" w:color="auto" w:fill="FFFFFF"/>
            <w:lang w:val="en-US" w:eastAsia="en-US" w:bidi="ar-SA"/>
          </w:rPr>
          <w:t>(1978), 83 D.L.R. (3d) 452</w:t>
        </w:r>
      </w:hyperlink>
      <w:r>
        <w:rPr>
          <w:rFonts w:ascii="arial" w:eastAsia="arial" w:hAnsi="arial" w:cs="arial"/>
          <w:color w:val="000000"/>
          <w:sz w:val="20"/>
          <w:lang w:val="en-US" w:eastAsia="en-US" w:bidi="ar-SA"/>
        </w:rPr>
        <w:t xml:space="preserve"> (SCC), Arnold v. Teno </w:t>
      </w:r>
      <w:hyperlink r:id="rId907" w:history="1">
        <w:r>
          <w:rPr>
            <w:rFonts w:ascii="arial" w:eastAsia="arial" w:hAnsi="arial" w:cs="arial"/>
            <w:i/>
            <w:color w:val="0077CC"/>
            <w:sz w:val="20"/>
            <w:u w:val="single"/>
            <w:shd w:val="clear" w:color="auto" w:fill="FFFFFF"/>
            <w:lang w:val="en-US" w:eastAsia="en-US" w:bidi="ar-SA"/>
          </w:rPr>
          <w:t>(1978), 83 D.L.R. (3d) 609</w:t>
        </w:r>
      </w:hyperlink>
      <w:r>
        <w:rPr>
          <w:rFonts w:ascii="arial" w:eastAsia="arial" w:hAnsi="arial" w:cs="arial"/>
          <w:color w:val="000000"/>
          <w:sz w:val="20"/>
          <w:lang w:val="en-US" w:eastAsia="en-US" w:bidi="ar-SA"/>
        </w:rPr>
        <w:t xml:space="preserve"> (SCC) and Thorton v. Board of School Trustees of School District No. 57 (Prince George) </w:t>
      </w:r>
      <w:hyperlink r:id="rId741" w:history="1">
        <w:r>
          <w:rPr>
            <w:rFonts w:ascii="arial" w:eastAsia="arial" w:hAnsi="arial" w:cs="arial"/>
            <w:i/>
            <w:color w:val="0077CC"/>
            <w:sz w:val="20"/>
            <w:u w:val="single"/>
            <w:shd w:val="clear" w:color="auto" w:fill="FFFFFF"/>
            <w:lang w:val="en-US" w:eastAsia="en-US" w:bidi="ar-SA"/>
          </w:rPr>
          <w:t>(1978), 83 D.L.R. (3d) 480</w:t>
        </w:r>
      </w:hyperlink>
      <w:r>
        <w:rPr>
          <w:rFonts w:ascii="arial" w:eastAsia="arial" w:hAnsi="arial" w:cs="arial"/>
          <w:color w:val="000000"/>
          <w:sz w:val="20"/>
          <w:lang w:val="en-US" w:eastAsia="en-US" w:bidi="ar-SA"/>
        </w:rPr>
        <w:t xml:space="preserve"> (SCC)], </w:t>
      </w:r>
      <w:r>
        <w:rPr>
          <w:rFonts w:ascii="arial" w:eastAsia="arial" w:hAnsi="arial" w:cs="arial"/>
          <w:color w:val="000000"/>
          <w:sz w:val="20"/>
          <w:u w:val="single"/>
          <w:lang w:val="en-US" w:eastAsia="en-US" w:bidi="ar-SA"/>
        </w:rPr>
        <w:t>the test for the standard of care generally is whether a reasonably-minded person of ample means would be ready to incur the expense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am of the view that acceding to the defence position in favour of institutionalized care for Mr. Dennis would, as submitted by the plaintiff, result in an award that would, in large measure, fail to compensate Mr. Dennis for his loss. In the circumstances, I have determined that his desires to have his own dwelling in the greater Vancouver area ought to be acceded to as being reasonable as facilitating not only Mr. Dennis' physical needs but also his mental welfare.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Murrell has provided a cost for the purchase of a suitable single level dwelling in the greater Vancouver area as between $245,000 to $375,000.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is common ground that Mr. Dennis did not own his own home at the time of the accident and had not owned his own home at any time prior to the accident. While the plaintiff agreed under cross-examination that he may have purchased a trailer if he continued to live in Fort Nelson, the fact remains that he worked extensively in the bush, and generally lived in bush camps while working. At the time of the accident he was in Fort Nelson for only short periods and while there he would stay at his mother's residence. I have concluded that it would only be speculation on my part as to whether or not he indeed would have purchased a home for himself in the future. As such, there is not a sufficient basis for a finding of fact that he would have done so, resulting in a deduction for him having acquired a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Other subheadings of Ms. Murrell's report which the defence questions need to be addressed. With respect to gardening, the defence submits that it is not sensible to award compensation for an activity that Mr. Dennis did not partake of prior to the accident and an activity which he likely would not have done had it not been for the accident. Under the heading of painting, the defence similarly argues that painting should be ameliorated by the contingency that Mr. Dennis would have incurred that expense in any event had he acquired a home in Fort Nelson. I have concluded that these are reasonable estimates and I accept them as required items of expenditure.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With respect to the provision for an automobile van, the defence submits that there is no need to award the initial capital costs of a van given that Mr. Dennis had already obtained money from I.C.B.C. to purchase the kind of van he needs. The defence points to the fact that there was no evidence that the van he bought before trial was inadequate to his purpose, and that the cost of a van is roughly on par with the cost of the kind of vehicle Mr. Dennis would eventually have acquired in Fort Nelson had he not been injured. I have concluded that while Mr. Dennis wanted to obtain a vehicle he had not purchased one in the past and although he wanted to buy a vehicle, it is purely speculative that he would have, in fact, purchased a 4x4 vehicle. Given his age at the time of the accident, and the fact that he had not acquired one by then, makes it less probable for Dennis having acquired one in the future given that I would take judicial notice of the fact that male persons in northern B.C. will generally acquire their first automobile in their teens or twenties.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defence has strongly argued that there should not be provision for a standing frame because a proper foundation has not been made by the plaintiff for the reasonableness of such a device. While it is true that Mr. Dennis has used a standing frame on only one occasion while at G.F. Strong during his early rehabilitation, it seems to me that I should not base a decision on his past use. Ms. Murrell, under cross-examination, agreed that a patient's motivation is an essential element when it comes to putting rehabilitation equipment to use. This, notwithstanding, I am of the view that the evidence of its benefits and the requirement for stretching being part of the optimum care that Mr. Dennis requires leads me to conclude Mr. Dennis would utilize one if properly versed in its operation and its benefits. Mr. Dennis was obviously in good physical condition, as required by his employment, prior to the accident and he maintained that condition as part of his overall plan for employment. I would think that he will apply the same dedication to the use of the equipment as part of his optimum care needs. I would allow this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defence also questions the recommendations by Ms. Murrell that compensation for Mr. Dennis also include the cost of retaining a nursing care manager who would identify and implement recommendations, ensure appropriate professionals are available and monitor Mr. Dennis' status over time. The defence submits that Mr. Dennis, to some extent, is able to instruct the present staff at Creek View of his needs from time to time, and therefore is the best person to do this job. The defence submits that the claim for a nursing manager is not reasonable and should be disallowed or, at least, significantly discounted, and that an occupational therapist could perform similar functions at an hourly rate of $85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Similarly, the defence submits that the cost outlined by Ms. Murrell for a handyman and a leisure recreation allowance should be either reduced or disallowed. In my view these allowances are realistic and reasonable and ought not to be reduced or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have attached Schedule "A" to the Plaintiff's Written Submissions Following Trial as Schedule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Based on my review of the evidence, and submissions of the plaintiff and defence, I have concluded that the housing expense of $375,000 can be reduced to $245,000. The range provided by Ms. Murrell was in the range of $245,000 to $375,000. I am not familiar with the Vancouver market but applying a concept of reasonableness in all of the circumstances mandates an award in the lower range because that range will still provide the plaintiff with the privacy and one-on-one care that he desires.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have also looked at the cost of having a nursing care manager available, and given Mr. Dennis' unaffected mental condition, and the fact that he can instruct staff as to his particular needs, I have concluded that an occupational therapist would be able to adequately perform the functions Ms. Murrell outlined for a nursing manager. I have therefore concluded that the allowance for the treatment and therapy would be sufficient as a reasonable allowance to cover the both items of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Thus, dealing specifically with Schedule "A", I have reduced the present value of costs by the housing costs set out above, and by elimination of the nursing care manager expenses. With respect to housing costs, utilizing a cost of $245,000, this would have a present value, using present value multiplier of .982, of $240,590. Or, a reduction of $127,660.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have also reduced the present value of P.S.T. and/or G.S.T. allowance of $26,250 to zero, as it is an expense that P.S.T. or G.S.T. should not apply to. It seems to me that there is likely an abundance of existing single family dwellings that ought to be available and would not therefore result in tax being incurred. It seems to me that it would be reasonable to obtain previously owned housing and that is why I have deleted the allowance for taxes on the acquisition of accommodation. I have allowed in its place provision for Property Purchase Tax in the amount of $3,000.00. I have deleted the requirement for a nursing care manager in its entirety, being an amount of $110,286.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find all other items to be reasonable. As a result, the total future cost of care which I find reasonable in all the circumstances is reduced by these three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4"/>
        <w:gridCol w:w="2718"/>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Accommodation</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$ 127,660.00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928"/>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PST/GST</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26,250.00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091"/>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Nursing Care Manager</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110,286.00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8"/>
        <w:gridCol w:w="1569"/>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SUB-TOTAL</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$264,196.00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314"/>
        <w:gridCol w:w="1150"/>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Property Purchase Tax</w:t>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300"/>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REDUCTION</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$261,196.00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summary, the plaintiff's action against the defendant Capot-Blanc is dismissed with costs. The plaintiff shall have judgment against the defendants, Dennis and Steinke, jointly and severally, under the following heads: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836"/>
        <w:gridCol w:w="1569"/>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284,000.00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1987"/>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255,200.00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1882"/>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Income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591,360.00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2091"/>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3,055,587.00</w:t>
            </w:r>
          </w:p>
        </w:tc>
        <w:tc>
          <w:tcPr>
            <w:tcW w:w="47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AMOUNT OF JUDGMENT $4,186,147.00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addition, the plaintiff is entitled to Court Order Interest on the applicable sums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accordance with the understanding of counsel, I have not embarked on a consideration of tax gross-up and management fees and the plaintiff is at liberty to make further submissions with respect to those heads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A</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16" type="#_x0000_t75" style="width:405.06pt;height:586.58pt">
            <v:imagedata r:id="rId908" o:title=""/>
          </v:shape>
        </w:pict>
      </w:r>
      <w:r>
        <w:rPr>
          <w:rFonts w:ascii="arial" w:eastAsia="arial" w:hAnsi="arial" w:cs="arial"/>
          <w:sz w:val="20"/>
          <w:lang w:val="en-US" w:eastAsia="en-US" w:bidi="ar-SA"/>
        </w:rPr>
        <w:t xml:space="preserv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7"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9"/>
          <w:headerReference w:type="default" r:id="rId910"/>
          <w:footerReference w:type="even" r:id="rId911"/>
          <w:footerReference w:type="default" r:id="rId912"/>
          <w:headerReference w:type="first" r:id="rId913"/>
          <w:footerReference w:type="first" r:id="rId9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5" w:history="1">
        <w:r>
          <w:rPr>
            <w:rFonts w:ascii="arial" w:eastAsia="arial" w:hAnsi="arial" w:cs="arial"/>
            <w:b/>
            <w:bCs/>
            <w:i/>
            <w:color w:val="0077CC"/>
            <w:kern w:val="32"/>
            <w:sz w:val="28"/>
            <w:szCs w:val="32"/>
            <w:u w:val="single"/>
            <w:shd w:val="clear" w:color="auto" w:fill="FFFFFF"/>
            <w:lang w:val="en-US" w:eastAsia="en-US" w:bidi="ar-SA"/>
          </w:rPr>
          <w:t>Heppner v. Zia, [2008] I.L.R. para. M-2241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June 18,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M89775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[2008] I.L.R. para. M-2241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[2008] B.C.J. No. 1143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2008 BCSC 782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Heppner v. Zia and Edgelow</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8"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1" w:name="Keywords_38"/>
      <w:bookmarkEnd w:id="271"/>
      <w:r>
        <w:rPr>
          <w:rFonts w:ascii="arial" w:eastAsia="arial" w:hAnsi="arial" w:cs="arial"/>
          <w:b/>
          <w:color w:val="000000"/>
          <w:sz w:val="20"/>
          <w:lang w:val="en-US" w:eastAsia="en-US" w:bidi="ar-SA"/>
        </w:rPr>
        <w:t xml:space="preserve">Personal injury damages — Chronic pain, soft tissue injuries, and herniated disc — $75,000 general damages — Motor Vehicle Act, </w:t>
      </w:r>
      <w:hyperlink r:id="rId917" w:history="1">
        <w:r>
          <w:rPr>
            <w:rFonts w:ascii="arial" w:eastAsia="arial" w:hAnsi="arial" w:cs="arial"/>
            <w:b/>
            <w:i/>
            <w:color w:val="0077CC"/>
            <w:sz w:val="20"/>
            <w:u w:val="single"/>
            <w:shd w:val="clear" w:color="auto" w:fill="FFFFFF"/>
            <w:lang w:val="en-US" w:eastAsia="en-US" w:bidi="ar-SA"/>
          </w:rPr>
          <w:t>R.S.B.C. 1996, c. 318, s. 175</w:t>
        </w:r>
      </w:hyperlink>
      <w:r>
        <w:rPr>
          <w:rFonts w:ascii="arial" w:eastAsia="arial" w:hAnsi="arial" w:cs="arial"/>
          <w:b/>
          <w:color w:val="000000"/>
          <w:sz w:val="20"/>
          <w:lang w:val="en-US" w:eastAsia="en-US" w:bidi="ar-SA"/>
        </w:rPr>
        <w:t>(1).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2" w:name="Case Summary_36"/>
            <w:bookmarkEnd w:id="272"/>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Heppner and Zia were involved in a motor vehicle accident in January 2004. Heppner, who was 53 years old at the time of the accident, commenced a claim against Zia for injuries, including continued pain and discomfort that allegedly rendered her permanently unable to return to her occupation. Zia denied liability for the accident on the grounds that Heppner was largely responsible for the accident because of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further that the injuries she suffered were of a soft tissue nature and should have resolved themselves within a year of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3" w:name="Holdings of Court_27"/>
            <w:bookmarkEnd w:id="273"/>
            <w:r>
              <w:rPr>
                <w:rFonts w:ascii="arial" w:eastAsia="arial" w:hAnsi="arial" w:cs="arial"/>
                <w:color w:val="000000"/>
                <w:sz w:val="20"/>
                <w:lang w:val="en-US" w:eastAsia="en-US" w:bidi="ar-SA"/>
              </w:rPr>
              <w:t>HELD: The action was allowed and damages awarded.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was satisfied that both parties were negligent-- Heppner because she failed to observe Zia's approaching vehicle, and Zia because he failed to keep a proper lookout while changing lanes; therefore, the parties were apportioned equal liability. The Court found that Heppner suffered mild to moderate soft tissue injuries to her neck and back and that the injuries affected her personal life, her employment, and her ability to pursue social and recreational injuries; however, Heppner failed to establish that her injuries caused her permanent disability from employment. Heppner was awarded $91,500 in damages, including $75,000 for general damages; the damages were subject to a 50 per cent reduction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4" w:name="Counsel_39"/>
      <w:bookmarkEnd w:id="2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9"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T.L. Spraggs and O. Wilson for the plaintiff; D.S. Orsetti and P.E. Levy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5" w:name="Judgment_38"/>
      <w:bookmarkEnd w:id="275"/>
      <w:r>
        <w:pict>
          <v:line id="_x0000_s1220" style="position:absolute;z-index:2518016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6" w:name="B.I. COHEN J._0"/>
            <w:bookmarkEnd w:id="276"/>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Eva Heppner, claims damages for personal injuries she sustained in a motor vehicle accident that took place on January 18, 2004 (the "accident"), at the intersection of Garrett and Braid Streets in New Westminster, British Columbia. The plaintiff alleges that the defendant driver, Qasim Zia, is solely responsible for the accident and her accident 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who was 53 years old at the time of the accident, alleges that she has suffered and continues to suffer pain and discomfort to the extent that she is now permanently disabled from returning to her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the plaintiff was employed by the Royal Columbian Hospital as a nurse's aid. She worked mainly in the operating room and patient care. She had held this position since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returned to work on February 11, 2004. She continued in her employment until December 23, 2004 when her family doctor told her that she should take two weeks off. In fact, the plaintiff did not return to her employment after this date. She had planned to return to work in early March 2005 on a gradual basis, but following a fall in her home her condition deteriorated to the point where she was not able to resume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seeks general and special damages, lost earnings and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deny liability for the accident. They claim that the accident was caused solely, or in the alternative largely,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They also claim that in the event they are found to be liable that the injuries sustained by the plaintiff were soft tissue in nature, were very amenable to treatment and should have resolved within one year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Parties' Versions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mentioned, the accident took place at the intersection of Braid and Garrett Streets. Garrett is a residential side street with one lane of traffic in each direction running north-south. Braid is a major thoroughfare with two lanes of traffic in each direction running east-west. Braid slopes downhill to the east at a ten percent grade. Traffic proceeding north on Garrett is controlled by a stop sign at the intersection with Braid. The traffic on Braid is uncontrolled.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completed her shift at the hospital at around 3:00 p.m. She was driving home in her 1993 Plymouth Sundance (the "plaintiff's car"). She was driving north on Garrett, intending to turn right at the intersection of Garrett and Braid and then proceed eastbound on Braid. This a route with which she was very familiar.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the plaintiff approached the intersection she noticed a bus driving through the intersection proceeding eastbound on Braid. She stopped at the stop sign on Garrett and let the bus pass by. There is a retaining wall on the southwest corner of Garrett. The plaintiff drove her car forward to give herself a clear view of the traffic proceeding eastbound downhill on Braid.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observed some traffic in the inside lane (the lane closest to the centre line). She did not observe any traffic in the eastbound curb lane. She did not observe any traffic signalling a lane change. She then proceeded to complete her right hand turn into the curb lane on Braid. She had completed her turn onto Braid before she was struck by the defendants' vehicle, a white Dodge B 3500 Maxi two door cargo van (the "van"). She only saw the van a split second before the collision. She did not hear the squeal of tires or the honk of a 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the plaintiff saw the van she hit her brakes. The van struck her car and pushed it to the right. The plaintiff's car made a 90 degree turn, ending up partially on the sidewalk and partially in the hedge of a property just east of the southeast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her cross-examination, the plaintiff repeated that she had made her right hand turn into the curb lane on Braid and that she was driving straight down the hill in the curb lane and that she did not see the van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driver (the "defendant") was 17 years old at the time of the accident. He had held an "N" class licence for about seven months. The van was owned by the defendant Leslie Edgelow, the father of his then employer, Douglas Edgelow.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employer was seated in the front passenger seat of the van and another employee was seated in the rear. They were driving to a job site just east of the intersection where the accident took place. The job site was situated on the north side of Braid, but the defendant was intending to park the van on a side street to the south of Braid.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the defendant, it was raining and the roads were wet. The traffic on Braid was not heavy. He was driving in the eastbound curb lane and changed into the inside lane to pass a slow moving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the defendant passed the slow moving vehicle he changed back to the eastbound curb lane. He estimated his speed at 50-55 km/hr. The intersection before Garrett and Braid is at Fader Street and Braid. Between Fader and Garrett there is a bus stop sign on the south side of Braid (the defendant visited the accident scene two weeks before the trial and observed the bus stop sign). The defendant was fairly close to the bus stop sign when he had finished changing back into the eastbound curb lane. That is when he saw the plaintiff's car pulling out onto Braid. He slammed on his brakes. At this point he was fully established in the eastbound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looked into his rear-view mirror when making his lane change. He was uncertain about whether the plaintiff's car was moving or stopped when he first saw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the defendant slammed on his brakes, the van slid and collided with the plaintiff's car. According to the defendant, the plaintiff's car had pulled out in front of the van while he was driving in the eastbound curb lane. The defendant was not still in the process of changing lanes when the plaintiff's car pulled out in front of the van. The van's passenger side front bumper was the only part of the van that contacted the driver's side door area of the plaintiff's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cross-examination, the defendant conceded that he could not say if the bus stop sign he observed just before the trial was in the same place at the time of the accident. He also conceded that he was making a guess when he testified that the bus stop sign was the location where he made his lane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denied that he was speeding or that he was driving dangerously. He said that he may have been driving slightly less than 55 km/hr, but estimated that 55 km/hr was at the top end of his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repeated that as soon as he changed into the curb lane the plaintiff's car pulled out in front of him. He said that the reason he did not try and steer his way out of colliding with the plaintiff's car was because he did not know whether there was traffic to his left in the inside lane. When confronted with his discovery answer that there was a vehicle in the inside lane to his left, he said that his discovery answer was probably not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his discovery the defendant said that he had travelled two to three car lengths after he completed his lane change until the accident happened. He also said that it was about two to three car lengths when asked how much time he had from the time he saw the plaintiff's car until the impact took place. However, when confronted by these answers at the trial he changed his answer to say that he would guess four to five car lengths, explaining that at the time of the discovery he had not revisited the accident scene. He also testified that after he slammed on his brakes he slid three to four car lengths.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did not have a specific recollection of signalling when he changed lanes just prior to the accident. He conceded that if an independent witness were to testify that he did not signal then he would agree that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re-examination, the defendant said that the questions he was asked at discovery about how far he had travelled after he had completed his lane change until the accident happened and how much time he had from the time he saw the plaintiff's car until the accident meant the same thing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Other Witnesses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Bradley Heinrichs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Heinrichs is an expert in the field of motor vehicle collision reconstruction. In his report to defence counsel dated December 20, 2007 he assumed,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the defendant's van was eastbound on Braid; that the plaintiff's car was northbound on Garrett; that the plaintiff's car began a right hand turn onto Braid eastbound; that the two vehicles collided in or near the intersection; and that the defendant's van was braking at full capacity from impact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Heinrichs simulated the accident using a software program that solves the physical equations governing motor vehicle motions. The vehicles were assigned trajectories consistent with potential pre-impact activities: the defendant's van was either traveling straight through or changing lanes from left to right, while the plaintiff's car was turning right; additionally, the plaintiff's car had completed its turn, and was contacted by a merging defendant's van. As a result of his analysis, Mr. Heinrichs concluded:</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physical data is consistent with an impact between the plaintiff's car in mid-turn and the defendant's van traveling straight in the right eastbound lane;</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physical data is not consistent with an impact between the plaintiff's car established in the right eastbound lane and the defendant's van merging right from the left eastbound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impact speeds in the simulation where the plaintiff's car was turning right and the defendant's van was traveling straight were 26 km/hr for the defendant's van, and 4 km/hr for the plaintiff's car. The impact speeds in the simulation where the plaintiff's car was established in the eastbound lane and the defendant's van was changing lanes were 36 km/hr for the defendant's van, and 11 km/hr for the plaintiff's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cross-examination, Mr. Heinrichs calculated that it would take a motor vehicle traveling at 55 km/hr 0.6 seconds to travel 2 car lengths, and 0.9 seconds to travel 3 car lengths. He also calculated that it would take the defendant's van 1.8 seconds to decelerate from 55 km/hr to 36 km/hr. He said that the number of feet travelled by a motor vehicle in 1.8 seconds is 67 feet (about 4 1/2 car lengths). He also said that to decelerate from 55 km/hr to 26 km/hr would take 1.2 seconds, or 50 feet (about 3 car lengths).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Mrs. Barbara McKay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Mrs. McKay witnessed the accident. She was driving on East Columbia Street heading towards Braid. The defendant's van came up on her right side and turned into the curb lane on Braid, without signalling. She followed behind turning right into the curb lane on Braid. She then changed into the inside lane. The defendant was driving "quite erratically" and "quite dangerously, going in and out of traffic, back and forth between the lanes and he was not using his blinker." She kept her distance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Mrs. McKay it was pouring rain. She said that the defendant was driving in the inside lane and the plaintiff pulled out to make her turn. She testified that "it was clear for her to pull, make a right onto the inside lane [sic], and at the same time the white van came over and hit her when she was turning and pushed her into the front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Mrs. McKay testified that the defendant was exceeding the speed limit. She was driving at the speed limit, or maybe slower, and the defendant was driving faster than she was. She said that when the defendant collided with the plaintiff the plaintiff was "maybe ten feet from the corner she was around and that's when he pushed her into the side of the yard." She said that at the time of the collision the plaintiff was still in the process of turning, stating "maybe her tail wasn't quite around the corner when [the defendant] hit her on the door." When asked if she ever observed the defendant's car signal, she answered, "Not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cross-examination, the witness testified that she was about a block behind the defendant when she witnessed the accident. She conceded that she could have been driving at 40 or 45 km/hr.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David McKay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McKay was a passenger in Mrs. McKay's car. She is his mother. They were on their way to purchase groceries when he witnessed the accident. As they were driving on East Columbia Street Mr. McKay commented to his mother that the defendant's van was tailgating them. When they got to the intersection of East Columbia and Braid his mother turned into the curb lane on Braid. The defendant's van pulled in behind them and tried to go around them in the inside lane but by this time Mrs. McKay had already changed into the inside lane. The defendant's van then immediately pulled back into the curb lane and passed the McKays' car. The defendant then changed back into the inside lane driving in front of the McKays.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According to Mr. McKay it was raining heavily and the roads were wet. The weather conditions did not impair his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McKay said that the hill on Braid is "fairly steep." His mother was driving at 50 km/hr. The defendant was driving at least at 60 km/hr or more and was accelerating quite quickly. He did not see the defendant signal before changing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When the McKays approached the intersection at Fader and Braid Mr. McKay noticed the plaintiff turning right. He said, "like she was already turning." He also said that, "she was in motion of turning and at that time the driver of the van had made a lane change into the outside lane, and after that he hit her." He testified, "It was almost simultaneously, like there wasn't really much time in between the accident and the time of him changing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McKay did not see the defendant signal a lane change. He said, "Almost immediately after he had switched lanes she had stopped and he had hit her, like ... she knew - well, I can't say she knew, but it's almost like she knew it was going to happen." When counsel asked the witness if the plaintiff made a turn and then stopped, he replied, "Yeah, because she seen him coming at her." When counsel asked the witness, "The van struck this vehicle turning, made a lane change from the inside lane closest to the centre line, almost instantaneously into the red vehicle?" the witness said, "That's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counsel asked the witness to place an "x" on a photograph of the accident intersection at the point where he observed the defendant start his lane change, the witness said that the defendant was about halfway down the hill "from the light" when his lane change started. Counsel then asked the witness if he knew approximately how many feet it would have been to the intersection on Garrett and the witness replied, "100 feet, maybe 150 feet." After some discussion between counsel, the witness said, "I'm not sure I understand the question fully though. Are you trying to gauge distance from the intersection at the lights or from where he made the lane change?" He also said, "I thought you meant from the intersection." He then said, "Probably 80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noted the plaintiff's evidence that she did not see the defendant's van until he was right on top of her. He said that this evidence was consistent with the evidence of Mr. McKay who testified that the defendant made his lane change 80 feet west of Garrett after the plaintiff had already started her turn into the curb lane on Braid and that the defendant did not signal a lane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said that it was also consistent with the defendant's discovery testimony that he was basically in the middle of his lane change when he first saw the plaintiff's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argued that although the defendant attempted at trial to change his discovery evidence where he estimated that he had about two to three car lengths of time from when he saw the plaintiff until the impact took place, to say that it was four to five car lengths, the evidence confirmed the plaintiff's submission that the defendant made an unsafe lane change without signalling when he could see that the plaintiff's car was turning into the eastbound curb lane on Braid. Counsel also submitted that the defendant not only made an unsafe lane change but that he was driving at an unsafe speed, especially given the fact that he was proceeding down a steep hill on a wet road. Counsel contended that this resulted in the defendant losing control of the van when he slammed on the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Defence counsel pointed out that in cross-examination Mrs. McKay agreed that her estimate of the speed of the defendant's van was based on the fact that he had gained some ground on her car as they proceeded down the hill on Braid. She also conceded that she could have been driving as slowly as 40 to 45 km/hr and not the speed limit as she said in chief (Mr. McKay said that he would defer to his mother's estimate of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contended that given Mrs. McKay's evidence it was entirely possible for the defendant to gain ground on the McKay car at the rate of up to 10 km/hr without exceeding a speed of 50 km/hr. He also contended that if Mrs. McKay was driving at 40 to 45 km/hr then the defendant may only have been going 50 to 55 km/hr taking into account the speed differential, which would be consistent with the estimate he gave of his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Defence counsel also noted that when Mrs. McKay marked the point on a photograph of the intersection scene where she recalled the plaintiff's car to be just prior to impact, she drew a line several feet back from Braid on Garrett. Counsel submitted that this indicated that the witness was of the view that the plaintiff's car was still on Garrett in mid-turn when it was struck by the defendant's van. Counsel also said that if one compares the point marked on the photograph by the witness with the diagram she drew at the time she provided her statement on July 1, 2004, it confirmed that in her view the defendant's van was far enough over in the curb lane to contact the plaintiff's car while it was still significantly on Garrett. In addition, counsel said that this evidence would show that the witness positioned the parties' vehicles in the same position as the crash simulation diagram contained in Mr. Heinrichs' report in the scenario where the defendant's van is established in the curb lane, and the plaintiff's car pulls out in front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argued that nowhere in the testimony of Mr. McKay did he state that the defendant was still changing lanes when his van struck the plaintiff. He said that Mr. McKay always allowed that there was some time between the defendant's lane change and the accident, although he did say it was a short amount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submitted that Mr. McKay's evidence was consistent with that of Mr. Heinrichs, namely that the plaintiff was in mid-turn and the defendant established in the curb lane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referred to the evidence of Mr. McKay where he marked on a photograph of the intersection scene the point where the defendant started to make his lane change. The witness testified that the defendant started his lane change, "About half way down from the light is where he was." The witness was referring to the light at the intersection of Fader and Braid. Counsel also noted Mr. McKay's evidence that it would have been 100 to 150 feet from the intersection of Garrett and Braid to where the defendant made his lane change (counsel argued that this estimate should be preferred over that of Mr. McKay's estimate of 80 feet, which counsel said came as a result of a leading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then referred to the evidence of Mr. Brian Dempsey, a private investigator hired by the defence to take measurements of the accident intersection. He testified that the distance from the eastern edge of Fader to the eastern edge of Garrett was 280 feet. One half of this distance is about 141 feet, which counsel noted was within the range of the estimate given by Mr. McKay of 100 to 150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Counsel submitted that if the width of Garrett is subtracted from the measurement between Fader and Garrett, that is if the measurement is taken from the eastern edge of Fader to the western edge of Garrett (taking off the 26 foot width of Garrett), then the distance is 257 feet. Counsel noted that one half of 257 feet is 128.5 feet. Counsel submitted that this was almost the exact middle of the range of 100 to 150 feet estimated by Mr. McKay.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result, counsel argued that the two estimates given by Mr. McKay of the distance from Garrett when the defendant made his lane change were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Counsel also submitted that Mr. McKay's estimates were also consistent with the calculations of braking distances made by Mr. Heinrichs. Counsel referred to Mr. Dempsey's measurements from the centre line on Garrett to the western curb of Garrett at 13 feet. Counsel said that traveling an additional 54 feet up Braid would put one at approximately 67 feet before the centre line on Garrett.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said that while the defendant's estimates of how many car lengths he was from the intersection when he first saw the plaintiff's car may not be reliable, his version of the events in narrative form were consistent with the evidence of the McKays and Mr. Heinrichs.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Counsel contended that if the defendant's lane change was observed by Mr. McKay more than 100 feet before Garrett, then the defendant's van was there to be seen by the plaintiff as she was preparing to make her right hand turn onto Braid. He argued that her failure to see the defendant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Moreover, counsel said that the defendant was most likely driving at or near the speed limit, and that he made a permissible lane change as he approached the middle of the block between Fader and Garrett. Counsel contended that this lane change was evident and observable even if the defendant did not signal his lane change and that any failure on his part had no bearing on the plaintiff's position because according to her evidence she did not see the defendant's van until a split second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First, I find that the plaintiff's failure to observe the presence of the defendant's van proceeding eastbound in the curb lane on Braid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Section 175(1)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Entering through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175(1) If a vehicle that is about to enter a through highway has stopped in compliance with section 186,</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Keen v. Stene</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(B.C.C.A.), the Court dealt with the issue of what constitutes an "immediate hazard". At p. 359, Davey J.A. said, "... an approaching car is an immediate hazard if the circumstances are such as to require the driver of that car to take some sudden or violent action to avoid threat of a collision if the servient driver fails to yield the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my opinion, the plaintiff was not keeping a proper lookout. I am satisfied, and find, that at the time the plaintiff began to make her right hand turn into the eastbound curb lane on Braid, after moving forward from the stop sign on Garrett, that the defendant's van was there to be seen traveling in the eastbound curb lane of Braid. I am also satisfied, and find, that the defendant's van was sufficiently close to the intersection of Garrett and Braid when the plaintiff began to make her right hand turn into the curb lane on Braid that the defendant's van constituted an immediate hazard. The evidence I rely upon for these findings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satisfied, although contrary to her evidence, that just prior to the collision, the plaintiff was in the process of making her right turn into the eastbound curb lane on Braid. I do not accept her testimony that she was established in the eastbound curb lane on Braid at the time of the accident. I find that the plaintiff is wrong in her recollection of this important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Mrs. McKay testified that when the defendant collided with the plaintiff, the plaintiff was still in the process of turning. In her statement made in July 2004, she said that the plaintiff's car was partially turned into the curb lane and that the defendant's van collided with the car that was partially turned into the curb lane. The diagram attached to her statement placed the plaintiff's car partially turned into the curb lane on Braid.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McKay testified that the defendant collided with the plaintiff while she was in the motion of turning. He also agreed with the diagram that Mrs. McKay drew showing the position of the vehicles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evidence of the McKays on this point was uncontradicted.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Finally, Mr. Heinrichs' analysis led him to conclude that the plaintiff's car was in "mid-turn".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turn next to the evidence of the distance that the defendant was from the intersection of Garrett and Braid when he changed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evidence was that she did not see the defendant's van until a split second before the accident so she could be of no assistance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significantly changed his evidence on this point from his discovery to the trial. He conceded that he was not good at estimating distances and, in any event, I find that his evidence on this point is completely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am satisfied, and find, that the defendant's van was not more than 80 feet west of the intersection when the defendant made a lane change from the inside to the curb lane and that he did so without signalling his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base my finding on the evidence of Mr. McKay. Initially, in chief, Mr. McKay estimated that the defendant was 100 to 150 feet west of the intersection when he changed lanes. However, he then changed his estimate to 80 feet because he said that he had misunderstood the question from counsel. I accept his evidence of 80 feet and I do not agree with defence counsel that his answer came as a result of a leading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next issue for me to consider is whether or not any negligent conduct contributing to the cause of the accident is attributable to the defendant. On this issue I am mindful of the words of Hood J. in </w:t>
      </w:r>
      <w:r>
        <w:rPr>
          <w:rFonts w:ascii="arial" w:eastAsia="arial" w:hAnsi="arial" w:cs="arial"/>
          <w:b/>
          <w:i/>
          <w:color w:val="000000"/>
          <w:sz w:val="20"/>
          <w:lang w:val="en-US" w:eastAsia="en-US" w:bidi="ar-SA"/>
        </w:rPr>
        <w:t>Rohmann v. Moffat</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[1996] B.C.J. No. 148</w:t>
        </w:r>
      </w:hyperlink>
      <w:r>
        <w:rPr>
          <w:rFonts w:ascii="arial" w:eastAsia="arial" w:hAnsi="arial" w:cs="arial"/>
          <w:color w:val="000000"/>
          <w:sz w:val="20"/>
          <w:lang w:val="en-US" w:eastAsia="en-US" w:bidi="ar-SA"/>
        </w:rPr>
        <w:t xml:space="preserve"> (S.C.) (QL) where, at para. 42, he said, in part, "In my view there is a heavy onus on the driver of a vehicle changing lanes on a highway, and perhaps even more so in the middle of an intersection, to assure that the movement can be made in safety." In para. 43 Hood J. posed the question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he be found to be in breach of a duty owed to the plaintiff, and in relation to his own lane, which was never obstructed until it was entered by the plaintiff's vehicle? His duty to the plaintiff was to exercise such care as a reasonable man should do under the circumstances. And he was entitled to proceed toward the intersection in his unobstructed lane on the basis that the plaintiff would observe the law. It seems therefore that the question narrows down to this, whether in the circumstances, which he knew or ought to have known, the possibility of danger emerging therefrom should have been reasonably apparent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at the time that the defendant changed lanes on Braid from the eastbound inside lane to the curb lane, 80 feet west of the intersection of Garrett and Braid, the plaintiff had already left the stop sign on Garrett and was in the process of making a right hand turn into the eastbound curb lane on Braid. I find that in making his lane change at this point on Braid the defendant was in such close proximity to the plaintiff's car that his lane change could not be made safely. The weight of the evidence leaves no doubt that the defendant's van was far too close to the plaintiff's car for the defendant's change of lanes to be made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McKay testified that the plaintiff was in the motion of turning and "at that time" the defendant made a lane change into the curb lane and collided with the plaintiff's car. His observation was that it was almost "simultaneously", that there was not much time between the defendant changing lanes and the collision. He also said it was immediately after the defendant changed lanes that the defendant's van collided with the plaintiff's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Thus, I find that the defendant made his lane change from the eastbound inside lane to the curb lane at virtually the same time as the plaintiff was in the process of making her right turn into the eastbound curb lane on Braid.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also find that the defendant was not keeping a proper lookout. The defendant said that he first saw the plaintiff's car when he was making his lane change. Obviously the plaintiff was there to be seen as she begun the process of making her right turn into the eastbound curb lane on Braid before the defendant began to make his lane change. In these circumstances, "the possibility of danger emerging therefrom should have been reasonably apparent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that had the defendant been keeping a proper lookout he could have avoided the accident by slowing his speed and remaining in the inside lane until the plaintiff had completed her turn and then he could have changed lanes. I should add that the defendant's explanation for why he did not try to avoid the accident by moving back into the inside lane was completely unconvincing. He testified that the reason he did not steer out of the collision was because he did not know what the traffic situation was to his left. However, at his discovery, when asked whether after he changed lanes there was a vehicle beside him on his left he answered "yes". When asked if this answer was correct he said that at the time he pictured in his head that there should have been a vehicle behind him when he was in the inside lane. He then said that his discovery evidence was probably not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surrounding circumstances of the accident, which I accept from the testimony of Mrs. McKay and Mr. McKay, are that it was raining heavily; that just prior to the accident the defendant was driving dangerously, meaning that he was moving from lane to lane on Braid without signalling; and that he was driving at a rate of speed in excess of the speed limit. These circumstances, which serve to inform my understanding of what caused the accident, when taken together with the other findings I have made from the whole of the evidence, lead me to reasonably conclude that the defendant was also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contributed to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result, I find that liability for the accident should be apportioned 50/50. I do not think it can be found that blame for the accident rests more with one party than the other. In my opinion, they are equally guilty of breaching the rules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position on damages is that her initial injuries developed into low back pain within several weeks after the accident and that since that time her health has deteriorated to the point where she is now permanently disabled, not only from her occupation as a nurse's aid but from any other employment at a competitive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his report to plaintiff's counsel dated September 19, 2007, Dr. Christopher Cooke of The Work Evaluation Center Inc. performed a detailed independent work capacity evaluation of the plaintiff. Dr. Cooke concluded that the plaintiff continues to be disabled from work by her pain levels and by her behavioural response to pain. He said "She may benefit from referral to a pain center [sic] to help her deal with the physical, emotional and behavioural response to pain, to provide her with more coping strategies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her medical/legal report dated November 4, 2005, the plaintiff's family doctor, Dr. Margret Budzianowska-Kwiatkowski ("Dr. Kwiatkowski")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New large left central parracentral disc herniation posterior to the L5 vertebral body secondary to new onset degenerative L5/S1 disc change. This would be rated severe.</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L5/S1 nerve root compression, also rated severe.</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Milder degenerative changes at L3/L4, L4/L5 levels with early neural foraminal stenosis at L4/L5 and L5/S1, which are rated moderate to severe.</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New onset degenerative CT spine changes rated moderate.</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Musculoskeletal changes within the left side of her body, left arm, left chest, left hip and left leg, resolved within a week or two after the motor vehicle injury, rated mild.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Iatrogenic hypertension secondary to COX-2 inhibitor use for the treatment of the patient's back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Functional Status: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spite of the patient's excellent spirit, quick return after the motor vehicle accident, extreme compliance with all physical modalities in treatments, and extreme compliance with her medications, the patient has deteriorated to the point that within eleven months after the injury she became completely disabled. The patient's C-spine and L-spine took the entire tole [sic] of the patient's final injuries. As of October 4, 2005, this patient is totally disabled from work and all other recreational home activities. She is deprived of having any possible leisure activity or any other activity without pain. Her marital life and social life are all affected by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her report dated December 18, 2007, Dr. Kwiatkowski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due to the motor vehicle accident, this patient developed severe disability within the neck and lower back area. She lost her job and is unable to work in any capacity due to her disabling condition right now. The patient has difficulty walking, difficulty sitting and difficulty standing. She has pain in any position she is in, in both neck and lower back area. The pain is often migrating to her legs in the form of sciatica. She also has pain radiating to her arms and musculoskeletal pain in her left shoulder that was injured in the motor vehicle accident. The patient's life was affected in all planes including her work, leisure activities, her home life, and her activities outside of home. This is very unfortunate that we are running out of treatment options for this extremely positive and hard-working nurse's aid that helped and gave hope to so many people in the Operating Room in her productive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his report dated January 12, 2008, Dr. Simon Hearn, a registered psychologist, addressed the plaintiff's emotional state,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she is currently suffering from Major Depressive disorder, which I believe was caused by the accident and which has grown steadily worse since it occurred, affecting her functioning in numerous ways. In particular, Ms. Heppner feels hopeless about her future prospects and entertains, fairly often, fantasies of dying without actually formulating a suicide plan. These ideas are understandable, as she is now living with constant and severe pain in various sites of her body; she has lost a job she loved, and the friends and social life that came with it; she cannot endure standing, or sitting or walking for more than short periods or [sic] time, and lying down brings pain as well. Her contacts with her children and grandchildren have been greatly compromised, as there are so many activities she can no longer participate in, and because her moods are often low. Ms. Heppner's sleep has been greatly diminished and impaired by both pain and depression, and insomnia, over time, contributes more and more to daytime fatigue, irritability, loss of energy and motivation. In this way, pain and depression compound each other in Ms. Heppner.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also recommend that Ms. Heppner engage in ongoing counselling. This counselling should address not only her depression, but the driving anxiety she has experienced since her accident, and ideally, Eye Movement Desensitization and Reprocessing (EMDR), to help her overcome the memories of the accident to the extent that they were traumatizing. Although she does not meet all diagnostic criteria for Post Traumatic Stress Disorder, Ms. Heppner does show some signs of it. She can still become shaky when the accident is described. She has a lot of inhibitions about driving, and as a result has been far more housebound than she was pre-accident. She worries whenever her family members are not safely home, until they check in with her. In addition, Ms. Heppner avoids all scenes of violence, accidents, disasters, etc., on TV, and in this way shields herself from reminders of her own very disturbing accident. The collision and its aftereffects are still having a profound influence on her current 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Heppner does not appear to have suffered neurologically or cognitively from the accident. Though she does have major problems with concentration and working memory, and cannot focus on much for long, this problem is likely attributable to the effects of pain, depression, and constant rumination about her post-accident situation. Having said that, if the concentration problems persisted after the depression lifted, reassessment of possible MBTI [sic] would be advisable. At present, neuropsychological testing would not be able to separately identify the effects of pain, depression, and head injury with much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contends that all of her physical and emotional injuries that have led to her pain and suffering, the fact that she had to undergo back surgery and the fact that she is now permanently disabled from her employment are due to the accident. She seeks non-pecuniary damages in the range of $175,000 to $200,000; past wage loss in the amount of $82,136; special damages of $5,581.78; future cost of care in the amount of $38,073.65; loss of housekeeping capacity in the amount of $58,144.85; and future loss of earning capacity in the range of $107,330 to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Summary of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Pre-Accident Work Related Medical History</w:t>
      </w:r>
      <w:r>
        <w:rPr>
          <w:rFonts w:ascii="arial" w:eastAsia="arial" w:hAnsi="arial" w:cs="arial"/>
          <w:color w:val="000000"/>
          <w:sz w:val="20"/>
          <w:lang w:val="en-US" w:eastAsia="en-US" w:bidi="ar-SA"/>
        </w:rPr>
        <w:t>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Since commencing her employment at the Royal Columbian Hospital in 1990 as a nurse's aid, the plaintiff has sustained many work 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early 1997, while pulling a bed with a co-worker, the plaintiff injured her right knee. The plaintiff took physiotherapy treatments for a month and returned to work without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the spring of 1998, the plaintiff injured her left ankle. Around the same time the plaintiff complained of pain in her right hip. She was diagnosed with bursitis and prescribed anti-inflammatory drugs, which resolved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fall of 1999, the plaintiff complained of pain in her mid back. She was diagnosed with lumbar spasm. She started work conditioning on October 14, 1999. In November of that same year she was discharged from the work conditioning program and returned to work without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May 2000, the plaintiff was washing x-ray aprons when she felt a gradual pain in her low back. She had difficulty standing and walking. She experienced pain for several weeks. On July 21, 2000 she underwent a CT scan of her lumbar spine. The x-ray showed a central posterior disc bulge at the L4-5 with mild impingement on the thecal sac. The x-ray also showed that at the L5-S1 there was a mild vacuum disc phenomenon in keeping with early degenerative change. It was noted that no focal disc herniation or spinal stenosis was seen at this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the report of Dr. Richard Chan, a neurosurgeon, dated September 26, 2000, he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Eva in the office on September 26th, 2000. She is a 50-year-old, right-handed woman who presented with a history of low back problems. According to the patient she worked as a porter in the Columbian Hospital. She first injured her back in September 1999. This occurred at work. She did not have any back problems before that. According to the patient, she was portering a patient when she developed low back pain. She was off work for about two months. With conservative treatment the symptoms improved. She subsequently returned back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May 14th, 2000 she was at work. She lifted an x-ray apron and was wiping them to clean them up when she developed the acute onset of low back pain. The legs were fine. There was no numbness or weakness. No bowel or bladder disturbance was reported. She went for physiotherapy. Currently she is in a rehab. programme. She had good and bad days. Over-all she had about 60%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 discharge summary report indicates that the plaintiff was discharged December 7, 2000 and declared fit to return to work with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 physician's report dated March 19, 2001 indicates that the plaintiff complained of pain in her mid and low back. She was very tender in the L4-L5 area. The report states that the plaintiff was bending down to open a drawer on a cart and felt a sharp pain in her low back. On March 26, 2001 the plaintiff reported to the physician that her low back was slightly stiff but otherwise almost 100%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last physical examination the plaintiff had prior to the accident was with Dr. Kwiatkowski. She saw the plaintiff on December 13, 2002 and found that her musculoskeletal examination was completely normal with respect to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Post-Accident History of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first complaint of low back symptoms after the accident was made by the plaintiff to her physiotherapist during a treatment on March 29, 2004. The note made on March 29, 2004 by the physiotherapist, Mathi Marimuthu of Port Coquitlam Physiotherapy and Sports Injury Clinic, states, "Last 2/7 LB sprain fr. bend fwd." In cross-examination, the physiotherapist indicated that the motion of bending forward he noted on March 29, 2004 was the same motion as the notation he made in his records on March 21, 2001, when he wrote that she bent 30 degrees to open a door at work which brought on low back problems. The defence argues that the fact that low back symptoms were initiated with the same type of motion that had brought it on before the accident, and that it did not occur until two and a half months after the accident, suggests that it occurred independently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her visit to Dr. Kwiatkowski on March 30, 2004 the doctor noted "Unfortunately pain has now moved from her neck to the lower spine. On exam she has paraspinal muscle spasm coming from the upper thoracic area to the lower L-spine area." This was two and a half months following the accident and about one and a half months after the plaintiff returned to her physically demanding job as a nurse's 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his note made on April 20, 2004, the physiotherapist wrote, "S. LB much better". Dr. Kwiatkowski's clinical records note that the plaintiff complained of low back symptoms only for March 30, 2004 and April 19, 2004, when the doctor wrote, "She is having a lot of stiffness. On exam her muscles are completely stiff all over her back from neck to L-spine, stiff shoulders, she is having somewhat decreased mobility." The next note of low back symptoms was made by Dr. Kwiatkowski in her record of June 25, 2004 when she wrote, "On office examination patient has difficulties with range of motion in all directions of her lower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physiotherapist's records note that on her visit to the clinic on June 15, 2004 she told the physiotherapist that she drove to Kelowna over the weekend. He noted, "++ sitting sore to LB ..." The physiotherapist testified that the plaintiff told him she was doing a lot of sitting during the drive. Defence counsel noted that in cross-examination when the plaintiff was asked about this entry she indicated that she had a bed in the back of the family van and that she did very little sitting and lay down for a lot of the trip but still experienced a sore back. Counsel noted that this is not consistent with the note made by the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From about February 11, 2004, when the plaintiff returned to her job at the hospital, to the middle of June, the plaintiff performed her regular duties as a nurse's aid. Dr. Kwiatkowski, who practices at the same hospital, testified that based on her observation of the plaintiff at work that the plaintiff worked just as hard after the accident as she had before the accident. Defence counsel noted that the plaintiff undertook her physically demanding duties with no complaint of low back symptoms, other than those noted in March, April and June,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When the plaintiff saw Dr. Kwiatkowski on September 13, 2004, she told her that she was off work for the month of August and that she was starting to do much better. The doctor wrote, "Unfortunately for the last two weeks she has picked a lot of shifts. The hospital is extremely busy. She has started to develop decreased mobility of her upper back, lower back and her neck." Defence counsel noted that at this point there is no mention of symptoms associated with a herniated disc, such as pain radiating into the plaintiff's leg. However, on her visit to Dr. Kwiatkowski on September 24, 2004 the doctor recorded that the plaintiff's lower back was extremely stiff. She wrote, "All of the muscles are spastic, deep and superficial paraspinal muscles. She is tender everywhere. At this point she may be slowly developing disc problems in these areas, secondary to on and off severe muscle spasm after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November 10, 2004, Dr. Kwiatkowski wrote that the plaintiff attended at her office "with significant worsening of her back problems ... she works a lot recently and she is heavy lifting in the operating room and doing other significant jobs which don't help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December 23, 2004 the plaintiff attended at Dr. Kwiatkowski's office. The doctor wrote, "She has been pushing and doing a very hard physical job, she has been overworked. Now she is having significant radicular pains going down to her shoulder and right elbow ... Otherwise her lower back is also extremely spastic. She is having difficulties walking, she is walking with a wide gait, very unstable. At this point the patient will be taking time off work. I am sending her off for two weeks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When the plaintiff attended Dr. Kwiatkowski's office on January 5, 2005, the doctor made a note that the plaintiff was "barely able to walk. She has severe sciatica on the left side." The plaintiff attended at her doctor's office on January 20, 2005 and February 3, 2005, but the next note relating to the plaintiff's complaint of low back symptoms was during her visit on March 4, 2005. The doctor noted that the plaintiff was doing some activity with her grandchildren and unfortunately got extremely sick. She had lower back pain, upper back pain and pains radiating to the left leg. The doctor noted that, "At this point Eva is contemplating slow return to work. We will try just gradual return for two weeks before she comes back to work. She will do four hours a day starting March 8th to March 22nd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March 5, 2005 the plaintiff fell down the stairs in her home. When she saw Dr. Kwiatkowski on March 7, 2005 the doctor wrote, "Unfortunately she fell down on Saturday and had severe injury. On examination she has severe spasm of her back, neck and arms. The left arm is showing bruises of about 15-20 cm in diameter in early stages of bruising with a lot of pain. This patient is extremely stiff in the morning due to her MVA and subsequent poor recovery. She is having difficulty mobilizing in the morning and that has caused this accident, walking the stairs she was so stiff that she had to hold to something to not lose balance and she eventually fell down with severe injury to her left arm. Her modified return to work will therefore be postponed from starting tomorrow to next week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When the plaintiff visited Dr. Kwiatkowski on March 14, 2005 the doctor wrote, "She has thrown her back out last week and developed severe sciatica on the left side. She is having difficulty walking, difficulty sitting, lying down, etc. She will require another CT to assess for discs in her spine ... She has been deteriorating steadily since her accident and I don't think she should go back to work this time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September 24, 2004 the plaintiff underwent a CT scan, which reported that there was a mild disc narrowing at the L4-5, and to a lesser extent at the L5-S1 levels. "Biconcave end plate deformities are seen from L2 through to L5. The S1 joints are felt to be normal. The alignment is intact." In the summary section the report states that there were mild degenerative changes seen in the last two lumbar disc spaces but no identified vertebral injuries. "The minimal degenerative changes in the lumbar spine were not evident on our previous study in September,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October 29, 2004 the plaintiff had another CT scan. It reported that at the L4-5 there was a minor loss of disc height with a mild generalized disc bulge that does not cause any significant central canal stenosis or foraminal stenosis. The facet joints appeared normal. With respect to the L5-S1 it mentioned that the disc height was relatively well maintained but posteriorly there was slight narrowing associated with small osteophytes and a mild disc bulge. "This does not, however, cause any central canal stenosis and the exiting L5 nerve roots and descending S1 nerve roots are clear. The facet joints appear normal." In the conclusion section the report states, "No disc herniation has been demonstrated. Minor bulges at L4-5 and L5-S1."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 CT scan taken on January 17, 2005 again showed that the facet joints appeared normal and concluded, "Unremarkable cervical spine CT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physiotherapist's report dated January 24, 2005 states the plaintiff's main concerns are her neck and low back strain. He concluded that the plaintiff would benefit from the "Modified Active Post MVA Program" to address her problems and that she would especially benefit from improving her general conditioning, which would help her in the heavy requirement of her work. In his February 16, 2005 report he noted that the plaintiff had shown some improvements after three weeks in the program and that there was progress in her neck and low back range of movement with a recommendation of gradual progression of exercises and to complete the six weeks of the program. In his March 21, 2005 report he mentioned that the plaintiff would benefit from a three month gym pass so that she could continue her exercises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 CT scan report dated April 1, 2005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L5-S1: Mild annular disc bulge. A large focal central/left paracentral disc herniation is demonstrated which appears to arise from the degenerate L5-S1 disc and extends superiorly over a distance of 2 cm posterior to the L5 vertebral body. This lesion appears new when compared to the previous examination and is resulting in compression of the left L5 nerve root within the lateral recess and the left S1 nerve root centrally. The disc extends 7 mm posterior to the L5 vertebral and is resulting in reduction in AP spinal canal diameter to 13 mm. Early bilateral neural foraminal stenoses demonstrated however the exiting L5 nerve roots appear free of compression.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New large left central/parracentral disc herniation posterior to the L5 vertebral body which appears to be continuous with the degenerative L5-S1 disc. Resultant compression of the left L5 and S1 nerve roots centrally is demonstrated likely accounting for the patient's symptoms. Mild degenerative disc disease at the L3-4 and L4-5 levels and early neural foraminal stenosis at L4-5 and L5-S1 unchanged from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October 26, 2005 Dr. Andrew Sak Yu Lee, a neurosurgeon, performed a lumbar discectomy L5-S1 on the plaintiff's left side. The herniated disc fragments were removed. Her surgery was uneventful and her postoperative course was uneventful. She was discharged from the hospital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Summary of the Evidence of the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Following the collision, the plaintiff was taken to the Royal Columbian Hospital by ambulance. She said that while sitting in her vehicle, she did not feel hurt, but when she was climbing out of her vehicle, she could not stand, her left leg was very sore, and her left side was very sore, including her hip and torso. She had glass in her hair, which was still there three to four days later, and had cuts on her face and bruises on her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She spent about four to five hours in the hospital and then was released. While at the hospital, all of the left side of her body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went to see her family doctor on January 20, 2004. She was prescribed some muscle relaxants. These did not help alleviate her symptoms. She already had lots of pain in her neck, leg, left arm and torso.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Her doctor told her to stay off work for two weeks. After two weeks, the plaintiff wanted to go back to work and did so on February 11, 2004. The plaintiff testified that when she went back to work she was still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At the beginning, both sides of her neck were very sore, she experienced pain in her jaw, and her upper back was very sore. Her leg started to feel better. The pain in her upper torso went away a few weeks after the accident and the right side of her neck got better after two to three months. However, the left side of her neck got worse. The plaintiff testified that she felt pain in her hips on the same day as the accident. After a few weeks it got better but then got more painful four or five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From February 2004 to December 20, 2004, she went to see her doctor and told her doctor that she was feeling better. She told her physiotherapist that she was feeling better. The pain and stiffness went up and down. She had some good and some bad days. However, she testified that by December it was much worse. At that point, she went to see her doctor and her doctor told her to stay home for two weeks. She was booked for Christmas and Boxing Days when she would receive double pay, but she lost this pay. After two weeks the doctor said she should stay home another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While she was still off work, the plaintiff had a fall in March of 2005. She said she was going down some stairs in her home, and on the first step her left leg gave up on her and she hit the wall with her arm and sat down on the stair. She bruised her arm when her arm hit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Prior to the accident the plaintiff had no slips or falls on stairs. The plaintiff testified that she was not doing anything unusual; the fall occurred in the morning when she was very stiff. She would usually have to take a shower and then do some stretching so she could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Prior to this incident, she had been having problems with her hip and legs. She believed she mentioned it to her doctor. She was on pain killers all the time, so she does not recall if the doctor prescribed it especially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Her left arm was bruised as a result of the fall. It went away in a few weeks. Apart from that, she testified that she has had no other injuries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Later in 2005, the plaintiff had pain in her left leg again. It was very painful such that she could not sleep or walk. She went to see Dr. Lee, a neurosurgeon. He recommended surgery for a herniated disc and she went for surgery in October, 2005. As a result of the surgery, she was in hospital for two days. She recovered within two to three weeks and hoped to go back to work. The surgery alleviated pain in her leg, but not the pain in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testified that as of the date of trial, she still has lots of pain on the left side of her head behind her ear, in her shoulders, her upper arms, her mid back, her low back, her hips and she has a hard time walking. The front halves of both legs also bother her. The pain is constant and is always there in her neck, back and hips. Her hips are the most significant area and so sore that she has trouble walking. She is afraid she will end up in a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said that she has lots of pain in her lower back. This lower back pain developed a few months after the accident and she believes she has a lower back injury. She has upper back pain if she bends. The plaintiff explained that at the beginning when she complained about her back she did not say upper or lower, she just complained about her whole back and neck. Now she knows more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She also feels like the muscles in her neck have shrunk and that she has suffered a muscle injury. She described the pain in her upper arms as extreme, and getting worse. Her arms become numb, an example being she was pushing a shopping cart and could not feel her arms. She has headaches every day on the left side of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says she has not been without pain for four years. It is a good day when she can turn her head without screaming. On the day she testified she felt better and would consider it a better day. She has her good days and bad days. When she is having a bad day she cries with the pain. It makes her very agitated.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Currently she is taking medication for sleeping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She gained four to six pounds right after the accident and after the plaintiff stayed home from work she gained more weight. In 2007 she joined LA Weight Loss. She is still on a diet and has lost 18 pounds. The doctor suggested it would help her back. She feels better now that she is slimmer, but she does not think it has helped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 testified about the treatments she received following the accident. The plaintiff saw her family doctor every two to three weeks for the entire year following the accident. Her pain got worse from the date of the accident and her doctor recommended massage and physiotherapy treatments and she attended these in Port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She had massage therapy two or three times a week for about three weeks. After taking massage therapy she felt some relief, but the next day her pain was back. She quit the massage therapy because ICBC only paid for a few visits, but continued with the physiotherapy for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At the beginning, she went twice a week to physiotherapy, and later went once a week when she was working. She would feel better for about a day after taking a physiotherapy treatment and then the pain would be back. She kept attending, hoping the pain would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Her physiotherapist gave her exercises for her neck and back. She used the ball and she did stretching on a 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Following surgery she still went to physiotherapy, but it got expensive. She saw an advertisement for a recreation centre for people 50 years and over. Her physiotherapist thought that this would be a good idea. The recreation centre cost was $2.50 per visit, whereas the physiotherapist cost $40, so she has been going to the recreation centre ever since, three times per week. She does lots of the same exercises she did with the physiotherapist, although there is no ball to exercise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Apart from physiotherapy and massage therapy, the physiotherapist asked ICBC if it would pay for the plaintiff to attend at a gym. She went in March 2005 for three months. She did exercise on her own, but she felt bad. The plaintiff believes the recreation centre is better because the exercises are designed for women over fifty and involve just stretching.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She went to see a chiropractor in June 2005 for four months and saw him until she attended for back surgery. At the time of trial, she was again seeing her chiropractor. She says that she does not feel better, except for a short time after, but she feels that she is doing something for herself. She now goes once in two weeks at a cost of $31 per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Last year Dr. Lee recommended steroid injections in her lower back. This helped for six weeks to two months. She also had injections in her neck. She receives the steroid injections at the Royal Columbian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She has also attended acupuncture three times, but there has been no benefit. This costs $45 per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provided evidence as to her pre-accident health. Before the accident, in 1999, she hurt her back when lifting x-ray aprons. The doctor said that she pulled a muscle. She stayed at home until the spring of 2000, so she was off for about seven months and made a claim for WCB. She remembered going to see a neurosurgeon and he told her it was just a strained muscle in her lower back. She recovered and at the time of the accident she had no ongoing pain from her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Prior to the accident she recalled that she had a little pain in her right hip. This was a long time ago and was not a work related injury. She did not recall if she lost time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said that prior to the accident she had not been diagnosed for disc herniation. She could not recall any health problems in the year prior to the accident. She said that her knee, low back and ankle were not symptomatic and she had not attended at a chiropractor, massage therapist, or for acupuncture treatments. She had attended at a physiotherapist in 1999 for her WCB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also provided evidence as to the impact that the accident has had on her life. The plaintiff said that prior to the accident, they were a very active family. Her and her husband skied and skated and they travelled across the province. They went camping a lot. She did hiking with her daughter and once in a while she went fishing with her husband. Since the accident she has been unable to do any of these activities. Her one attempt at cross-country skiing failed, she is afraid to go skating, she can no longer hike, she tried to go camping but was uncomfortable, and she has not been fishing with her husband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She said that prior to the accident weekends were family days and she did things with the whole family. When her daughter had a boy, she and her husband became very involved in their grandson's life. They took him skating and went bicycling and camping with him. She now has two grandchildren: her grandson is now 12 years old and her granddaughter is five years old. She has not been able to do things, such as biking or skating or even lifting them,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Prior to the accident she always enjoyed her time with her grandchildren and children, but she would find it hard now to babysit a small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Prior to the accident she did house chores. She still performs household chores but more slowly, and it increases her pain level. Since the accident, because her husband works and comes home tired, she still does the dishes and cooks, but she is slower. She takes breaks while cooking. Lately, she cooks supper in the morning because she feels better in the morning and it helps when she does not have to do the cooking and cleaning at once. She washes small dishes in the sink. She sweeps the kitchen floor. She needs her husband's help with laundry. Prior to the accident her husband did not do the laundry.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Her husband does not like to shop. She did the shopping before the accident. After the accident, when she has to do a large shopping, her husband comes with her. He pushes the cart for her. She can shop for small items, but he comes with her for a large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Their townhouse has a small yard. Prior to the accident, her husband did the yard work and she did the gardening. It was her hobby. Now she just puts flowers in little pots. She does not do anything major in the garden. She takes her time and will do one pot and then lay down and watch television and then maybe go outside again and do another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Reading is difficult for the plaintiff. She also has trouble working on her internet email very much. She just does some banking. Holding her hands up is difficult and having her head looking down is very painful for her neck. Prior to the accident she had no problem holding her arms up. She could read a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Regarding her pre-accident social activities, she said she really liked her job. She liked her co-workers. She considered them friends. Sometimes their friends from the Czech Republic would come over or they would visit, but after the accident when people came over, she always went to bed around 7:00 p.m., so their friends do not come over anymore. She said her husband's friends come over without their wives. She said that when she goes with her husband to visit friends she has to go home after about an hour. So, they just stopped visiting, and nobody comes over to their place now. As well, she does not see her co-workers because she is always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Since the accident, the only thing she can do is attend at the Port Coquitlam recreation centre, which gets her out of the house. She enjoys it. She also walks her dog, a six year old miniature Australian shepherd, for about 15 minutes a few times a day. He is well behaved such that she does not have to use a leash.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Since the accident, last November, she and her husband went to Mexico for a week. She said her husband is very supportive of her and she knows it is very hard for him emotionally. He is very tired from all that has happened. They are very close and she was getting worried about what would happen if he left. She told him that they needed a vacation and she called her travel agent, who suggested Cuba and the Dominican Republic. She wanted to take a short trip and the travel agent told her that Puerto Vallarta was four and a half hours away by flight. She booked the tickets. She also went to see her doctor, who said it would be good for her mentally and physically to take the vacation. On the flight, she asked for an aisle seat, had her pills, and would sit and get up and then sit down again. She was in pain, but she survived. She swam a few times a day, but most of the time sat by the pool at the all inclusive resort. One afternoon they rented a car and went for a little trip to see some of the small villages in the area. She said that after this vacation she felt closer to her husband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Apart from her trip to Mexico, she has not been on a major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Her older daughter lives in Vernon and she has been to Vernon since the accident, maybe twice or three times a year. She flies to Vernon, takes the bus, or her husband drives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Regarding the emotional effects of the accident, she would come home from work and lie down and cry because she was in so much pain. She explained that employment was also her social life. Now she just sits at home by herself and she is very sad. Prior to the motor vehicle accident she was a very positive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Prior to the accident, she would go to bed at about 9:00 p.m. or 10:00 p.m. She would get up at 6:00 a.m., but she never went to bed as early as 7:00 p.m. She was a good sleeper. Now, she can fall asleep, but she always wakes up around midnight and at about 5:00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the first few weeks after the accident, she was afraid to drive, she was very careful and paranoid. After a while, this started to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said that her car was not repaired after the accident. It would have cost $4,000 to $5,000 to repair and her car was not worth that much as she bought it for $3,000. She did not have collision insurance and so did not receive a payment for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said that she had to sign a document that stated that if she did get money from her claim, she would have to pay back her long term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 gave evidence about her work and the impact that the accident has had. At the time of the accident she was working at the Royal Columbian Hospital. She was a casual employee since 1990, until she got a part-time permanent position in the operating room. She was paid $22.54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She was on permanent part-time, which meant she worked 0.5 and a co-worker worked 0.5. She worked about four five-hour days for each paycheque.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She also picked up extra shifts. She worked about 30 hours per week and about 60 hours for two weeks. Four days were permanent part-time and four days were pick-up shifts. A pick-up shift is where if someone is sick they call others by seniority. She had enough seniority to pick up extra shifts in the operating room or in patient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She also sometimes got overtime. Overtime is paid on the basis of time and a half for the first two hours and then double time. However, she had to work her full eight hours before she got overtime and so she did not get that much overtime, perhaps once in six weeks or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 a regular shift in the operating room, she would get there at about 6:45 a.m., pick up patients from the wards or from daycare surgery, and take them on stretchers, in wheelchairs or in a bed to the operating room. She did about 30 of these a day. In between, she would stock shelves, strip tables to be sent down for cleaning, and sometimes help patients to get on and off a stretcher, or in and out of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When she did her shifts, either in the operating room or on wards, she also looked after patients. She would wash them and feed them and she would help them get into a chair or in a wheelchair if they could not do it on their own. Some of the patients she worked with were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testified that her job was most physically demanding. The operating room involved lots of walking, and patient care involved lots of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She said that the most physically demanding part of the job was pushing the beds, although normally she pushed a stretcher. In the past, they always had two people on a bed. One would push and one would pull. Now one person does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Prior to the accident she could not recall any difficulty with her job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Right after the accident she was off for about three weeks and then went back to work on February 11, 2004. She started to slow down on picking up shifts. She worked for two days and then called in sick because of pain. At the beginning of March she switched with a co-worker so that she could work weekends because weekends have a lighter workload. For four months she worked every weekend. She found this easier for her back and neck. However, she did not pick up as many shifts and she called in sick a lot, even though before the accident she did not like to call in sick.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Prior to the accident she worked five days in a row, easily working from Saturday to Wednesday. After the accident, she tried to break up her working days, but sometimes she had to work five days in a row because the hospital was short-handed. When this happened, she had to see the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She said that she came to Canada in 1984 from a Communist regime in the Czech Republic. There was no way that she could call in sick. She was raised to work. It did not cross her mind that she should stay home and not work, so she took pills and just kept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the Czech Republic she had ten years of normal school and then three years of training for management. She worked in a clothing store and as a clerk in an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She came to Canada in December of 1984. She spent her first year in Winnipeg. She worked cleaning in a hotel. At night she would clean offices. She also worked in a nursing home. When she came to B.C. she went to a private school to become a nurse's aid. She did six weeks of practical training at the Royal Columbian Hospital and in 1990 she was 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She is still an employee of Royal Columbian Hospital, but has not worked since December 22, 2004. At first she had sick days left. Then she applied for EI. She got two months. She then applied for long term disability benefits from her employer, and she is still on disability benefits. Last year she applied for a long term disability pension and she now gets both disability benefits and a disability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After the accident she was not receiving as much income as when she was working. However, she says that she is grateful for what she is receiving. She believes that it might be as much as $200 to $300 a month less than her income during the time that she was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Regarding her pension, she put in 50% and her employer put in 50%. It was based on a percentage of her paycheque. Since she stopped work in 2004, she has stopped contributing to her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Since stopping work in December 2004, she has not tried to return to any kind of employment. She loved her job and she was very happy at Royal Columbian Hospital. She testified that she did not feel she had to look for another job. Her training is that of a nurse's aid. Currently, because of her pain, she would not last two hours on any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At the time of the accident, the plaintiff and her husband did not have any plans to retire. She hoped to retire when she was age 60, but she did not discuss this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will be 58 years old in September 2008. Her mother died in 2002 at the age of 84. Her grandmother was 89 when she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plaintiff's husband works for a fabrication company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When he got word of the accident, he went to the Royal Columbian Hospital. He saw the plaintiff in bed covered with a blanket. She had glass all over her face and she appeared to be in pain. She told him that she was in pain and he had no reason not to trust what she was telling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They were at the hospital for three or four hours and then the plaintiff was released and they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It took about a week to get the small particles of glass out of the plaintiff's hair. The plaintiff had bruises on her left arm and left hip. He said that prior to the accident the plaintiff had not taken many sick days. She did not miss much time off work due to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He said that she pulled a muscle in her back about four to five years prior to the accident. She spent a few months at home. She then went back to work and had no other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Prior to the accident he did not hear her complain about back pain. Prior to the accident they went camping and they were really active. They drove all over the province. They went camping in the summer and in the winter they went skiing and skating and went swimming at an indoor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He said they went camping in the summer every second week. They do not go camping anymore. They tried once, two years after the accident. They put a foam mattress in their van, but this did not work out. The plaintiff cannot sit for any long period of time. If she sits for one hour, she starts hurting.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Prior to the accident, the plaintiff had no trouble sitting in the van. They drove all the way to the Yukon.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Prior to the accident, the plaintiff liked cross-country skiing at Cypress. After the accident they have not gone skating or skiing. The plaintiff cannot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 also cannot do swimming anymore because of her neck. Prior to the accident, the plaintiff went hiking with their older daughter. The plaintiff also went fishing with him. He has not fished with her since the accident. She cannot sit in the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Since the accident, he and the plaintiff have not been able to pick mushrooms together. Prior to the accident, they would load the bicycles in the van and go to the Pitt River area, but after the accident she has not been able to ride a bike.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Prior to the accident, all of those activities were part of their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plaintiff likes to garden. She tried to keep up her garden after the accident, but she cannot do it. She will work in the garden for a half hour or so and then quits and then comes back to it later. Or he will clean up what she has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For exercise, the plaintiff goes to the Port Coquitlam centre for seniors and exercises three times a week. The plaintiff walks the dog every day, but not for a long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Prior to the accident, the plaintiff had no difficulty walking. She walked with their daughter quite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Just after the accident, he did not see any mental changes with the plaintiff. But later on she changed. She became really moody and edgy, and he says that lots of it has to do with the pills she is 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He says that she is taking three or four pills of different kinds. One is for her stomach and the others are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He said that prior to the accident she did most of the household chores. Since the accident he has to help her. He helps with cooking and laundry and vacuuming and grocery shopping. She cannot push a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wanted to retire at age 60. He plans to work until maybe age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They have a few friends. They used to visit each other, go to the movies or go to the opera. They do not do much anymore. The plaintiff cannot sit in a movie and their friends stopped coming over. And they do not visit the homes of their friends anymore. After a half hour or so, the plaintiff simply wants to go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Sometimes he drives her to the Okanagan, and she has flown a few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Prior to the accident they spent lots of time with their grandson. They did everything with him that they had done with their daughters. They went skating, played soccer, and taught him how to swim. But now, the plaintiff cannot do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He said that after the accident, the first year was not so bad. But when she stopped working, and she was at home all the time, she became really edgy. She just snaps at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He said that they do not enjoy intimacy and their sex life is miserable. She is in so much pain and she has to go to bed at 7:00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He said that since the accident she is worse than she was. She is in constant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He said that the plaintiff has always worked hard and was always energetic. Both of their daughters work in the health field, one is a unit clerk in a hospital and the other also works for a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He said that the plaintiff goes to bed around 7:00 p.m. or 7:30 p.m. and wakes up about 1:00 a.m. or 2:00 a.m. She does not sleep well. Prior to the accident she had no sleep difficulties and would go to bed at about 10:00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As a result of the injuries, he is concerned about her future. About six weeks ago she asked him what would happen if she needed a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cross-examination, he said that the first year after the accident was not so bad. She went back to work. It then got worse when she stayed home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Two months ago they went to Mexico. The flight took about four and a half hours. During the trip she just rested at the resort. He rented a car and took a 25 and a 15 minute car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He said the travel day to Mexico involved about six and a half hours and then 45 minutes to the hotel, so it was about seven hours in total. He said that prior to the accident they would go to the Czech Republic every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plaintiff's daughter Petra is in charge of quality improvement and risk at a hospital in Vernon.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She said that prior to the accident, she did lots with her mother. Her mother was very active. They went camping, they travelled around the province, they went hiking, they went on long walks, they went cross-country skiing and the plaintiff took her grandson skating.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the summer prior to the accident, they did a lot of camping and travelling. In the summer they would generally go camping a couple of times a month between May and 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They have not gone hiking together since the accident. The plaintiff cannot walk for more than a 10 or 30 minute walk. They just walk nearby the plaintiff's house with the dog. After 30 minutes she starts walking like she is 87 because she is in pain and she cannot walk. She is hunched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She said the plaintiff goes out with the dog two to three times a day. These are short walks around the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plaintiff would go cross-country skiing two to four times each winter before the accident. Since the accident, the plaintiff's daughter tried it with her mother once. It might have been last year or two years ago in Vernon. She went with her mother and her nephew but the plaintiff lasted only about ten minutes. She was just walking with ski poles. She was in too much pain. She had shooting pains in her upper back. When her arms are out in front of her, it gives her pain. When she tries even to mix dough, it gives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She said her mother taught her and her nephew how to skate. She has not been able to skate with the plaintiff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Since the accident, mobility is a big challenge for the plaintiff. She cannot do the activities they used to do. The plaintiff has difficulty walking uphill, and holding a book in front of her. She has lost the mobility in her legs, her hips and her upper body. She has gained weight, although she lost weight after going on a weight loss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She says that her mother has aged a lot. As soon as she gets pain she becomes extremely exhausted.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She said that before the accident her mother was a very hyper, energetic person and had more energy than a 30 year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She says she worries a lot about her mother. Her mother calls her a lot. She tells her how she is doing, that she cannot do anything and is in pain, and this has been emotionally exhausting for her and her father. She said that before the accident her mother had a life and did not call her as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She said it takes forever for her mother to prepare a meal. Maybe two hours to make dinner. She has to peel some potatoes and then take a rest. Prior to the accident it only took her a half hour to make dinner. She was a very speedy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She said her father is really worried about her mother and her mother's future. It has been emotionally hard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She said that prior to the accident her parents probably went out once a month to parties and sometimes the plaintiff went out with her co-workers. This has definitely declined because the plaintiff cannot sit for very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She said that when the plaintiff sits for a long time, she starts to twist her body, and is in pain. She can only last about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She said that when the plaintiff starts to turn white and appears sick she takes medication and has to lay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plaintiff's daughter is extremely worried about her mother's future. Their tradition is that the older sibling looks after the parents and she worries that her mother is going to be in a wheelchair in a couple of years. Also, she could not ask her to help look after her future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She said her parents have babysat for her sister's children since the accident, but very little and for short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She said that her mother is quite depressed and is full of doom and gloom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Pamela Gardner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Pamela Gardner works in the nursing department at Royal Columbian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She knows the plaintiff very well. She worked with the plaintiff about four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She said that following the accident, the plaintiff's ability was diminished. On several occasions, the plaintiff complained to her about her physical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She explained that her duties in the operating room include sorting equipment, cleaning certain items, pulling heavy carts, portering patients to and from the operating room, patient care, returning patients back to wards, positioning transfer patients over, making patients comfortable, and pushing carts around. It is a very physically demanding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She said the most physically demanding for her is portering the patients by herself. It is a difficult job, especially if she is portering an obese patient. She said that when portering, she can call for the assistance of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When the plaintiff returned to work after the accident, Ms. Gardner observed the plaintiff having difficulties performing her work. She complained about her neck and complained that she was in pain. When moving beds, the plaintiff asked her to take the end of the bed because the plaintiff could push the bed, but not pull the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Ms. Gardner said that prior to the accident, the plaintiff performed her duties with the rest of the staff. She had brief times off, but she was always rehabilitated and came back to full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Ms. Gardner testified that it emotionally distressed the plaintiff that she had this pain and the thought of not coming back to work disturbed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According to Ms. Gardner, the plaintiff was a hard worker and not a complainer, she was good with patients, she was good with co-workers and she was a good employee. She said that after the accident, the plaintiff was very quiet. She was not as social. From her observations, the plaintiff was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She said that after the accident the plaintiff picked shifts with lighter duties. She took duties where she could step back from the front line and where she could contribute without the heavy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witness said that at work the eight full-time personnel are a small team. If they get sick, they cover each other. At least twice a week they get opportunities for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She said that outside of work she occasionally gets together with the plaintiff for drinks, coffee, or to walk their dogs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She said that prior to the accident the plaintiff joined their social activities, but since the accident the plaintiff did not attend the annual Christmas party, even though she was invited. The plaintiff feels out of the loop.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She said that when the plaintiff was at a pub about six months ago, she was there for about two hours. She would get up and down and walk around. She did not look 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She did meet the plaintiff for a coffee in the mall. They sat for about ten minutes, but then the rest of the time they walked around and chatted.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Her current hourly rate is $28.95 per hour, which is the base rate without weekend differential. Prior to that it was $22.54.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She said her co-workers miss the plaintiff. She believes that if the plaintiff could be at work, she would be because she is a stoic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Janice Connell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Janice Connell is the patient care coordinator in the operating room at Royal Columbian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She has held this position since September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She knows the plaintiff. She said that the plaintiff worked as a nurse's aid. She portered patients to and from the operating room, did some cleaning and dismantling of tables, and transferred patients in the operating room from stretchers to the operating table. She said that being a nurse's aid is a physically demanding job, but prior to the accident the plaintiff had no difficulty with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She said that prior to the accident, the plaintiff did take time off for a work related back injury. She did return to work and prior to the accident she did not observe the plaintiff having any ongoing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She said the plaintiff was a good worker, a hard worker, and she never had any complaints about her work ethic. She was not a slacker and she always wanted as much work as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She said the work environment in the operating room is very stressful and very busy. There is constant change, emergencies, and at the drop of a dime it changes from regularity to chaos.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She said that the plaintiff could not now return to her nurse's aid position because there is no position available for her in the operating room. Once a person has gone on long term disability for over two years, the job is then re-posted and somebody else can apply for it, which is what happened in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Ms. Connell said that she never asked the plaintiff to return to work. If the plaintiff was going to return, a graduated return to work would have to be discussed with occupational health, a union steward, and a manager or herself. The plaintiff might start off with two hours or four hours and then after four to six weeks she would progress to a full shift. This did not happen in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Ms. Connell testified that overtime is sometimes available. It comes in spurts. They ask staff who are already on shift if they want to extend their shift. The first two hours are at time and a half, and the rest is double time. If someone is brought in who is already off shift, then the whole shift is double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She said that in the course of a month they try to divide the overtime up fairly. No more than two shifts. But that is very generous. Seniority is not a factor in getting overtime, although it is a factor for extra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Plaintiff's counsel submitted that the plaintiff will never enjoy a life free from pain and that she now only has an optimistic opportunity to better manage her pain if she is provided compensation to explore recommended pain management treatments. He also submitted that she would, more likely than not, have remained pain free in her affected areas well into the foreseeable future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The plaintiff relies on the decision of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where at paras. 13-19 the following principles are set out: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xml:space="preserve"> [1972] 3 All E.R. 1008 (H.L.).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i/>
          <w:color w:val="000000"/>
          <w:sz w:val="20"/>
          <w:lang w:val="en-US" w:eastAsia="en-US" w:bidi="ar-SA"/>
        </w:rPr>
        <w:t>McGhee v. National Coal Board, supra.</w:t>
      </w:r>
      <w:r>
        <w:rPr>
          <w:rFonts w:ascii="arial" w:eastAsia="arial" w:hAnsi="arial" w:cs="arial"/>
          <w:color w:val="000000"/>
          <w:sz w:val="20"/>
          <w:lang w:val="en-US" w:eastAsia="en-US" w:bidi="ar-SA"/>
        </w:rPr>
        <w:t xml:space="preserve">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Bonnington Castings, Ltd. v. Wardlaw, supra;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740"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Snell v. Farrell, supra,</w:t>
      </w:r>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xml:space="preserve">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proposition has long been established in the jurisprudence. Lord Reid stated in </w:t>
      </w:r>
      <w:r>
        <w:rPr>
          <w:rFonts w:ascii="arial" w:eastAsia="arial" w:hAnsi="arial" w:cs="arial"/>
          <w:i/>
          <w:color w:val="000000"/>
          <w:sz w:val="20"/>
          <w:lang w:val="en-US" w:eastAsia="en-US" w:bidi="ar-SA"/>
        </w:rPr>
        <w:t>McGhee v. National Coal Board, supra,</w:t>
      </w:r>
      <w:r>
        <w:rPr>
          <w:rFonts w:ascii="arial" w:eastAsia="arial" w:hAnsi="arial" w:cs="arial"/>
          <w:color w:val="000000"/>
          <w:sz w:val="20"/>
          <w:lang w:val="en-US" w:eastAsia="en-US" w:bidi="ar-SA"/>
        </w:rPr>
        <w:t xml:space="preserve"> at p. 1010: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has always been the law that a pursuer succeeds if he can show that fault of the defender caused or materially contributed to his injury. There may have been two separate causes but it is enough if one of the causes arose from fault of the defender. The pursuer does not have to prove that his cause would of itself have been enough to cause him injury.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does not excuse a defendant from liability merely because other causal factors for which he is not responsible also helped produce the harm: Fleming</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 200.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harm: </w:t>
      </w:r>
      <w:r>
        <w:rPr>
          <w:rFonts w:ascii="arial" w:eastAsia="arial" w:hAnsi="arial" w:cs="arial"/>
          <w:i/>
          <w:color w:val="000000"/>
          <w:sz w:val="20"/>
          <w:lang w:val="en-US" w:eastAsia="en-US" w:bidi="ar-SA"/>
        </w:rPr>
        <w:t>School Division of Assiniboine South, No. 3 v. Greater Winnipeg Gas Co.,</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[1971] 4 W.W.R. 746</w:t>
        </w:r>
      </w:hyperlink>
      <w:r>
        <w:rPr>
          <w:rFonts w:ascii="arial" w:eastAsia="arial" w:hAnsi="arial" w:cs="arial"/>
          <w:color w:val="000000"/>
          <w:sz w:val="20"/>
          <w:lang w:val="en-US" w:eastAsia="en-US" w:bidi="ar-SA"/>
        </w:rPr>
        <w:t xml:space="preserve"> (Man. C.A.), at p. 753, aff'd </w:t>
      </w:r>
      <w:r>
        <w:rPr>
          <w:rFonts w:ascii="arial" w:eastAsia="arial" w:hAnsi="arial" w:cs="arial"/>
          <w:i/>
          <w:color w:val="000000"/>
          <w:sz w:val="20"/>
          <w:lang w:val="en-US" w:eastAsia="en-US" w:bidi="ar-SA"/>
        </w:rPr>
        <w:t>[1973] 6 W.W.R. 765</w:t>
      </w:r>
      <w:r>
        <w:rPr>
          <w:rFonts w:ascii="arial" w:eastAsia="arial" w:hAnsi="arial" w:cs="arial"/>
          <w:color w:val="000000"/>
          <w:sz w:val="20"/>
          <w:lang w:val="en-US" w:eastAsia="en-US" w:bidi="ar-SA"/>
        </w:rPr>
        <w:t xml:space="preserve"> (S.C.C.), [1973] S.C.R. vi; Ken Cooper-Stephenson</w:t>
      </w:r>
      <w:r>
        <w:rPr>
          <w:rFonts w:ascii="arial" w:eastAsia="arial" w:hAnsi="arial" w:cs="arial"/>
          <w:i/>
          <w:color w:val="000000"/>
          <w:sz w:val="20"/>
          <w:lang w:val="en-US" w:eastAsia="en-US" w:bidi="ar-SA"/>
        </w:rPr>
        <w:t>, Personal Injury Damages in Canada</w:t>
      </w:r>
      <w:r>
        <w:rPr>
          <w:rFonts w:ascii="arial" w:eastAsia="arial" w:hAnsi="arial" w:cs="arial"/>
          <w:color w:val="000000"/>
          <w:sz w:val="20"/>
          <w:lang w:val="en-US" w:eastAsia="en-US" w:bidi="ar-SA"/>
        </w:rPr>
        <w:t xml:space="preserve"> (2nd ed. 1996), at p. 748.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On her claim for non-pecuniary damages, the plaintiff says that she is entitled to an award that includes, but is not limited to, an assessment of her compensable pain, suffering and loss of enjoyment of life. She suffers from chronic pain, soft tissue injuries and a herniated disc that led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plaintiff submits that the award under this head of damages must also take into account the continuous pain and permanent disability she will experience for the rest of her life. She seeks an award in the upper range of the cases she puts forward to take into account the loss of enjoyment of life that she has suffered in all aspects of her personal, social and recreational pursuits, as well as the fact that she can no longer work at her chosen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The evidence is that the plaintiff did have a pre-existing back condition. She relies on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on this issue. At paras. 7 and 41 the Supreme Court of Canada states:</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issue was whether the disc herniation was caused by the injuries sustained in the accidents or whether it was attributable to the appellant's pre-existing back problems.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applicable principles can be summarized as follows. If the injuries sustained in the motor vehicle accidents caused or contributed to the disc herniation, then the defendants are fully liable for the damages flowing from the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Plaintiff's counsel provided the Court with several cases on general damage awards for similar type injuries as those sustained by the plaintiff in the instant case, including </w:t>
      </w:r>
      <w:r>
        <w:rPr>
          <w:rFonts w:ascii="arial" w:eastAsia="arial" w:hAnsi="arial" w:cs="arial"/>
          <w:b/>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250 D.L.R. (4th) 213</w:t>
        </w:r>
      </w:hyperlink>
      <w:r>
        <w:rPr>
          <w:rFonts w:ascii="arial" w:eastAsia="arial" w:hAnsi="arial" w:cs="arial"/>
          <w:color w:val="000000"/>
          <w:sz w:val="20"/>
          <w:lang w:val="en-US" w:eastAsia="en-US" w:bidi="ar-SA"/>
        </w:rPr>
        <w:t>. In that case the plaintiff did have a pre-existing medical condition. The accident caused soft tissue injuries and the plaintiff deteriorated following the accident and was unable to participate in many of her pre-accident activities. The Court of Appeal held that a fair award for non-pecuniary damages was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Easton v. Chrunka</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2006 BCSC 1396</w:t>
        </w:r>
      </w:hyperlink>
      <w:r>
        <w:rPr>
          <w:rFonts w:ascii="arial" w:eastAsia="arial" w:hAnsi="arial" w:cs="arial"/>
          <w:color w:val="000000"/>
          <w:sz w:val="20"/>
          <w:lang w:val="en-US" w:eastAsia="en-US" w:bidi="ar-SA"/>
        </w:rPr>
        <w:t xml:space="preserve"> at para. 18, B.M. Davies J. set out the opinion of a medical doctor,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this lady has done remarkably well considering the extent of her injuries. Her back pain has improved. However, she continues to have back symptoms. Given this lady's emotional stability and the fact that there is no symptom magnification at all, her complaints have to be taken at face value. Inevitably, therefore, she will continue to have symptoms from her back on a permanent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pointed out in my previous report, a fusion throws increased strain on the discs above and below the level of the fusion and in time, therefore, she may develop disc degeneration in the adjacent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plaintiff submits that she will suffer the same fate as the plaintiff in the above-noted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Love v. Pai</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2003 BCSC 900</w:t>
        </w:r>
      </w:hyperlink>
      <w:r>
        <w:rPr>
          <w:rFonts w:ascii="arial" w:eastAsia="arial" w:hAnsi="arial" w:cs="arial"/>
          <w:color w:val="000000"/>
          <w:sz w:val="20"/>
          <w:lang w:val="en-US" w:eastAsia="en-US" w:bidi="ar-SA"/>
        </w:rPr>
        <w:t>, the plaintiff appeared to have suffered a typical whiplash injury. He did not miss any time off work, although he gave up much of his previously active fitness and sports routine. He suffered from increasing neck pain in 2001, and eventually had neck surgery to remove a herniated disc. The defendant submitted that there was not sufficient evidence of a causal link between the accident and the disc herniation, which manifested itself three years after the accident. At para. 58 Warren J.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the plaintiff sustained injuries in the three impacts caused when the defendant drove into the rear of the plaintiff's car of April 8, 1998 and these injuries have caused him significant and progressive pain and disability and have seriously encroached on his enjoyment of life and on his ability to work pain free. I further find that he has a diminished capacity to work and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Warren J. awarded the plaintiff general damages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The plaintiff also cited the decision in </w:t>
      </w:r>
      <w:r>
        <w:rPr>
          <w:rFonts w:ascii="arial" w:eastAsia="arial" w:hAnsi="arial" w:cs="arial"/>
          <w:b/>
          <w:i/>
          <w:color w:val="000000"/>
          <w:sz w:val="20"/>
          <w:lang w:val="en-US" w:eastAsia="en-US" w:bidi="ar-SA"/>
        </w:rPr>
        <w:t>Djukic v. Hahn</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In that case a woman sustained injuries to her neck, back, shoulders, wrist and knee, severe and chronic anxiety and depression, and was left with a permanent partial disability. At para. 9 Josephson J.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lower back pain worsened with time. She developed a "burning pain" which extended to her leg. Finding the pain overwhelming, she attended the hospital emergency ward on two occasions in the fall of 2000 and was treated with cortisone shots. That temporarily alleviated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At paras. 27, 36, 45, 52 and 54 His Lordship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pain and difficulties only worsened until she underwent surgery in December of 2002, after she was diagnosed with disc herniation at the L4-5 level. A protrusion there was irritating a nerve which exits the spinal cord at that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Travlos noted the following:</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back and leg symptoms were present from the first accident and were aggravated by the second.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complained of right sided leg pain and numbness that did not reach the foot, but were non-specific in their description.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second accident, the right leg symptoms increased, but remained fairly stable until May, 2002, when they became much more intense and severe.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x-ray on September 17, 2001 revealed long standing degenerative changes at the L4-5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Thompson is of the opinion that a direct relationship of the disc herniation to the motor vehicle accident is unlikely. The first signs of a disc herniation developed in April 2002 approximately nine months after the motor vehicle accident. It would be difficult to implicate the motor vehicle accident as a primary and direct cause of Ms. Djukic's disc herniation.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the opinion of Dr. Travlos in preference to that of Dr. Thompson, for two reasons. Firstly, it appeals to common sense, though I acknowledge that is an inherently dangerous assessment for any non-expert. Mrs. Djukic was a healthy and robust person, both physically and emotionally, up to the time of the first accident. While there was moderate improvement in the year following that accident, all the symptoms were significantly exacerbated in the second. She then exhibited pain consistent with damage to that level of the spine which continued and worsened until diagnosis of herniation in April/May of 2002.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the opinion evidence of Dr. Travlos that the disc herniation was directly and causally linked to both accidents, with the second accident playing the greater role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Josephson J. awarded non-pecuniary damages of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Turning to the plaintiff's claim for past loss of income, the plaintiff relies on the report of Mr. Darren Benning of PETA Consultants Ltd. In his report, Mr. Benning estimates that the plaintiff has suffered past income loss of $82,136 (prior to court-ordered interest, and net of income taxes and EI premiums) and future income loss of $159,509 (calculated until the plaintiff's assumed retirement, no later than age 65, based upon the assumption that the rate of return on investment exceeds average wage inflation by 2.5% per annum). In computing past and future income loss Mr. Benning has made provisions for negative contingencies of non-participation in the labour force, unemployment, part-time work, and premature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plaintiff submits that the estimates made by Mr. Benning are conservative and probably less than the actual loss she incurred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plaintiff submits that the appropriate amount of compensation for cost of future care and special damages is in the range of $6,000 to $7,000 for special damages and $37,000 to $39,000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plaintiff submits that inherent in her condition is a reduced capacity for the ability to perform all of the household cleaning and tasks that she was once able to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4 B.C.L.R. (3d) 178</w:t>
        </w:r>
      </w:hyperlink>
      <w:r>
        <w:rPr>
          <w:rFonts w:ascii="arial" w:eastAsia="arial" w:hAnsi="arial" w:cs="arial"/>
          <w:color w:val="000000"/>
          <w:sz w:val="20"/>
          <w:lang w:val="en-US" w:eastAsia="en-US" w:bidi="ar-SA"/>
        </w:rPr>
        <w:t xml:space="preserve"> (C.A.), the Court of Appeal accepted the proposition that damages may be awarded for loss of homemaking capacity. While the Court took note of the fact that the household tasks were shared between the husband and wife, at para. 5 the Court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appears not to be a sharing by way of preference or according to competence but a sharing dictated in part by the respondent's inability to do things she would normally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Furthermore, at para. 9 the Court recognized that even when housekeeping and other spousal services have been replaced gratuitously from within the family damages can be awarded because these services have economic value. However, the Court of Appeal reduced the quantum of damages from $23,000 to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Deglow v. Uffelman</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2001 BCCA 652</w:t>
        </w:r>
      </w:hyperlink>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96 B.C.L.R. (3d) 130</w:t>
        </w:r>
      </w:hyperlink>
      <w:r>
        <w:rPr>
          <w:rFonts w:ascii="arial" w:eastAsia="arial" w:hAnsi="arial" w:cs="arial"/>
          <w:color w:val="000000"/>
          <w:sz w:val="20"/>
          <w:lang w:val="en-US" w:eastAsia="en-US" w:bidi="ar-SA"/>
        </w:rPr>
        <w:t>, Levine J.A., for the Court, states at paras. 3, 12, 21, and 23 to 33,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allow both the appeal and the cross-appeal. With respect to the appeal, applying the test set out in </w:t>
      </w:r>
      <w:r>
        <w:rPr>
          <w:rFonts w:ascii="arial" w:eastAsia="arial" w:hAnsi="arial" w:cs="arial"/>
          <w:i/>
          <w:color w:val="000000"/>
          <w:sz w:val="20"/>
          <w:lang w:val="en-US" w:eastAsia="en-US" w:bidi="ar-SA"/>
        </w:rPr>
        <w:t>Strazza v. Stupich,</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[2000] B.C.J. No. 360</w:t>
        </w:r>
      </w:hyperlink>
      <w:r>
        <w:rPr>
          <w:rFonts w:ascii="arial" w:eastAsia="arial" w:hAnsi="arial" w:cs="arial"/>
          <w:color w:val="000000"/>
          <w:sz w:val="20"/>
          <w:lang w:val="en-US" w:eastAsia="en-US" w:bidi="ar-SA"/>
        </w:rPr>
        <w:t xml:space="preserve"> (B.C.C.A.), I would reduce the award for non-pecuniary damages from $100,000 to $75,000, which remains high but is not inordinate. With respect to the cross-appeal, in my view the trial judge's instructions on the loss of homemaking capacity may have led the jury to conclude, incorrectly according to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(2000), 74 B.C.L.R. (3d) 281</w:t>
        </w:r>
      </w:hyperlink>
      <w:r>
        <w:rPr>
          <w:rFonts w:ascii="arial" w:eastAsia="arial" w:hAnsi="arial" w:cs="arial"/>
          <w:color w:val="000000"/>
          <w:sz w:val="20"/>
          <w:lang w:val="en-US" w:eastAsia="en-US" w:bidi="ar-SA"/>
        </w:rPr>
        <w:t xml:space="preserve"> (C.A.), that the plaintiff had to prove that she had incurred, or would incur, an expense to hire someone to carry out the homemaking tasks she could no longer perform herself. I would award $2,610 for past loss of homemaking capacity up to the date of trial and $13,000 for future loss of homemaking capacity after the date of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the accident, the plaintiff also did all the housework in the home she shared with her common-law husband. After the accident, she could no longer help her husband with the outside work, move furniture or flip mattresses, wash the windows or carry heavy shopping bags. The evidence of the plaintiff and her husband was that he does an extra one-and-a-half to two hours of housework each week that he did not do before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claimed damages for loss of homemaking capacity, before and after trial. The evidence supporting her claim was her testimony and that of her husband concerning the housework she could no longer do and the work he had taken over. The plaintiff and her business partner testified concerning the hourly rate payable for housekeeping work. In addition, an economist, Mr. Carson, provided evidence concerning the calculation of future losses. There is no real dispute about any of this evidence for the purposes of this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complaint concerning the trial judge's instructions is that he may have left the impression with the jury that the plaintiff could recover for loss of past and future homemaking capacity only if she had actually incurred expenses or suffered a monetary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that in British Columbia a plaintiff may recover for loss of homemaking capacity although she has incurred no expense to hire those services. The applicable principles were reviewed in </w:t>
      </w:r>
      <w:r>
        <w:rPr>
          <w:rFonts w:ascii="arial" w:eastAsia="arial" w:hAnsi="arial" w:cs="arial"/>
          <w:i/>
          <w:color w:val="000000"/>
          <w:sz w:val="20"/>
          <w:lang w:val="en-US" w:eastAsia="en-US" w:bidi="ar-SA"/>
        </w:rPr>
        <w:t>McTavish, supra</w:t>
      </w:r>
      <w:r>
        <w:rPr>
          <w:rFonts w:ascii="arial" w:eastAsia="arial" w:hAnsi="arial" w:cs="arial"/>
          <w:color w:val="000000"/>
          <w:sz w:val="20"/>
          <w:lang w:val="en-US" w:eastAsia="en-US" w:bidi="ar-SA"/>
        </w:rPr>
        <w:t>. It was noted (by Huddart J.A. and by Saunders J.A. in concurring reasons (at para. 73))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4 B.C.L.R. (3d) 178</w:t>
        </w:r>
      </w:hyperlink>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[1995] 6 W.W.R. 5</w:t>
        </w:r>
      </w:hyperlink>
      <w:r>
        <w:rPr>
          <w:rFonts w:ascii="arial" w:eastAsia="arial" w:hAnsi="arial" w:cs="arial"/>
          <w:color w:val="000000"/>
          <w:sz w:val="20"/>
          <w:lang w:val="en-US" w:eastAsia="en-US" w:bidi="ar-SA"/>
        </w:rPr>
        <w:t xml:space="preserve"> (C.A.) recognized that damages for past and future loss of housekeeping capacity may be awarded by a trial judge, even though housekeeping services were gratuitously replaced by a family member. Further, it recognized that, depending on the facts, this compensation may be by pecuniary or non-pecuniary damages, and if non-pecuniary, that there was no reason these damages could not be segregated.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Most of the discussion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focussed on the principles to be applied in determining the quantum of compensation. The question was whether the services the plaintiff could no longer provide could be valued in economic or pecuniary terms. The Court decided that in the circumstances of that case the services provided by the respondent (the plaintiff) could be evaluated by replacement cost because others had provided them (at para. 62). Huddart J.A. said (at para. 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we have seen, it is now well established that a plaintiff whose ability to perform housekeeping services is diminished in part or in whole ought to be compensated for that loss. It is equally well established that the loss of housekeeping capacity is the plaintiff's and not that of her family. When family members have gratuitously done the work the plaintiff can no longer do and the tasks they perform have a market value, that value provides a tangible indication of the loss the plaintiff has suffered and enables the court to assign a specific economic value in monetary terms to the loss. This does not mean the loss is that of the family members or that they are to be compensated. Their provision of services evidences the plaintiff's loss of capacity and provides a basis for valuing that loss. The loss remains the plaintiff's loss of economic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in the present case, the trial judge's instructions accurately reflected the decision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concerning the principles to be applied in </w:t>
      </w:r>
      <w:r>
        <w:rPr>
          <w:rFonts w:ascii="arial" w:eastAsia="arial" w:hAnsi="arial" w:cs="arial"/>
          <w:color w:val="000000"/>
          <w:sz w:val="20"/>
          <w:u w:val="single"/>
          <w:lang w:val="en-US" w:eastAsia="en-US" w:bidi="ar-SA"/>
        </w:rPr>
        <w:t>valuing</w:t>
      </w:r>
      <w:r>
        <w:rPr>
          <w:rFonts w:ascii="arial" w:eastAsia="arial" w:hAnsi="arial" w:cs="arial"/>
          <w:color w:val="000000"/>
          <w:sz w:val="20"/>
          <w:lang w:val="en-US" w:eastAsia="en-US" w:bidi="ar-SA"/>
        </w:rPr>
        <w:t xml:space="preserve"> a loss of homemaking capacity. The plaintiff's loss could be valued in economic or monetary terms, based on the evidence she provided about the cost of the services she provided in her business and the time her husband spent doing the work she could no longer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did not make clear to the jury, however, the principle established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that the disabled plaintiff need not have actually incurred an expense or suffered a monetary loss to recover damages under this head. The trial judge did not explicitly state this principle anywhere in his charge on this head of damage or make it clear that an award, if made, is for loss of capacity and not to compensate for an expense or loss incurred. In describing how to calculate the loss, some of the words he used could have been understood by the jury to mean that an expense had to be incurred, which is not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absence of a clear statement of the principle to be applied in determining whether a plaintiff has suffered a loss of homemaking capacity could have misled the jury and caused it to make no award under this head.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an order from this Court awarding damages for loss of homemaking capacity before and after trial. The defendant took no issue with that approach, although he disagreed with the quantum claimed.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is that the husband does one-and-a-half to two hours a week of housework he did not do before the plaintiff's accident. The plaintiff charged $13.50 per hour for her services, but paid replacement workers $10 per hour. The plaintiff's evidence indicated that she and her partner paid their business expenses out of their gross earnings, and their net earnings would have been approximately $10 per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the husband's time estimate of one-and-a-half hours and the rate of $10 per hour, the plaintiff's annual loss is $780. Her loss up to the date of trial would be $2,610.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the award for future loss of homemaking capacity, the primary question is over how many years she will suffer this loss. Her doctors say that her condition is permanent, but other factors could change, such as the size of the house and garden the plaintiff occupies.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an appropriate award for future loss of homemaking capacity is $13,000. This amount assumes that she will require the same amount of assistance for ten years following the trial and a reduced level of assistance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In the instant case, the plaintiff testified that she is no longer able to complete all the household chores she was able to perform before the accident. Her husband testified that he has to now assist her with some of the chores, such as grocery shopping. The plaintiff seeks damages in the amount of $58,144.85 (PDV 2.5%) based on an initial fee of $200 plus $90 thereafter once a week for fifteen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Loss of Income &amp; Diminished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plaintiff seeks full restitution under this head of damage on the basis of the medical evidence, which declares that her accident related injuries are permanent in nature causing permanent partial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The plaintiff relies on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wherein the Supreme Court of Canada held that the standard of proof to be applied when evaluating hypothetical events is simple probability, not a balance of probabilities. At paras. 27 to 29 the Court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Hypothetical events (such as how the plaintiff's life would have proceeded without the tortious injury) or future events need not be proven on a balance of probabilities. Instead, they are simply given weight according to their relative likelihood: </w:t>
      </w:r>
      <w:r>
        <w:rPr>
          <w:rFonts w:ascii="arial" w:eastAsia="arial" w:hAnsi="arial" w:cs="arial"/>
          <w:i/>
          <w:color w:val="000000"/>
          <w:sz w:val="20"/>
          <w:lang w:val="en-US" w:eastAsia="en-US" w:bidi="ar-SA"/>
        </w:rPr>
        <w:t>Mallett v. McMonagle,</w:t>
      </w:r>
      <w:r>
        <w:rPr>
          <w:rFonts w:ascii="arial" w:eastAsia="arial" w:hAnsi="arial" w:cs="arial"/>
          <w:color w:val="000000"/>
          <w:sz w:val="20"/>
          <w:lang w:val="en-US" w:eastAsia="en-US" w:bidi="ar-SA"/>
        </w:rPr>
        <w:t xml:space="preserve"> [1970] A.C. 166 (H.L.);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(1990), 169 C.L.R. 638 (Aust. H.C.);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For example, if there is a 30 percent chance that the plaintiff's injuries will worsen, then the damage award may be increased by 30 percent of the anticipated extra damages to reflect that risk. 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Schrump v. Koot</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(1977), 18 O.R. (2d) 337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(Ont.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By contrast, past events must be proven, and once proven they are treated as certainties.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court must declare whether the defendant was negligent, and that conclusion cannot be couched in terms of probabilities. Likewise, the negligent conduct either was or was not a cause of the injury. The court must decide, on the available evidence, whether the thing alleged has been proven; if it has, it is accepted as a certainty: </w:t>
      </w:r>
      <w:r>
        <w:rPr>
          <w:rFonts w:ascii="arial" w:eastAsia="arial" w:hAnsi="arial" w:cs="arial"/>
          <w:i/>
          <w:color w:val="000000"/>
          <w:sz w:val="20"/>
          <w:lang w:val="en-US" w:eastAsia="en-US" w:bidi="ar-SA"/>
        </w:rPr>
        <w:t>Mallett v. McMonagle, supra; Malec v. J.C. Hutton Proprietary Ltd., supra; Cooper-Stephenson, supra,</w:t>
      </w:r>
      <w:r>
        <w:rPr>
          <w:rFonts w:ascii="arial" w:eastAsia="arial" w:hAnsi="arial" w:cs="arial"/>
          <w:color w:val="000000"/>
          <w:sz w:val="20"/>
          <w:lang w:val="en-US" w:eastAsia="en-US" w:bidi="ar-SA"/>
        </w:rPr>
        <w:t xml:space="preserve"> at pp. 67-81.</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point was expressed by Lord Diplock in </w:t>
      </w:r>
      <w:r>
        <w:rPr>
          <w:rFonts w:ascii="arial" w:eastAsia="arial" w:hAnsi="arial" w:cs="arial"/>
          <w:i/>
          <w:color w:val="000000"/>
          <w:sz w:val="20"/>
          <w:lang w:val="en-US" w:eastAsia="en-US" w:bidi="ar-SA"/>
        </w:rPr>
        <w:t>Mallett v. McMonagle, supra,</w:t>
      </w:r>
      <w:r>
        <w:rPr>
          <w:rFonts w:ascii="arial" w:eastAsia="arial" w:hAnsi="arial" w:cs="arial"/>
          <w:color w:val="000000"/>
          <w:sz w:val="20"/>
          <w:lang w:val="en-US" w:eastAsia="en-US" w:bidi="ar-SA"/>
        </w:rPr>
        <w:t xml:space="preserve"> at p. 176: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role of the court in making an assessment of damages which depends upon its view as to what will be and what would have been is to be contrasted with its ordinary function in civil actions of determining what was. In determining what did happen in the past a court decides on the balance of probabilities. Anything that is more probable than not it treats as certain. But in assessing damages which depend upon its view as to what will happen in the future or would have happened in the future if something had not happened in the past, the court must make an estimate as to what are the chances that a particular thing will or would have happened and reflect those chances, whether they are more or less than even, in the amount of damages which it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With regard to the claim for loss of capacity, the plaintiff submits that there are several different factors that can be considered when assessing damages under this head. She relies on the approach of Finch J. A. (as he then was) in </w:t>
      </w:r>
      <w:r>
        <w:rPr>
          <w:rFonts w:ascii="arial" w:eastAsia="arial" w:hAnsi="arial" w:cs="arial"/>
          <w:b/>
          <w:i/>
          <w:color w:val="000000"/>
          <w:sz w:val="20"/>
          <w:lang w:val="en-US" w:eastAsia="en-US" w:bidi="ar-SA"/>
        </w:rPr>
        <w:t>Pallos v. Insurance Corporation of British Columbia</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100 B.C.L.R. (2d) 260</w:t>
        </w:r>
      </w:hyperlink>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[1995] 3 W.W.R. 728</w:t>
        </w:r>
      </w:hyperlink>
      <w:r>
        <w:rPr>
          <w:rFonts w:ascii="arial" w:eastAsia="arial" w:hAnsi="arial" w:cs="arial"/>
          <w:color w:val="000000"/>
          <w:sz w:val="20"/>
          <w:lang w:val="en-US" w:eastAsia="en-US" w:bidi="ar-SA"/>
        </w:rPr>
        <w:t xml:space="preserve"> (C.A.), where at para. 24 His Lordship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those cases cited by counsel, I would also refer to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There Mr. Justice Taggart quoted with approval from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as follows (at p. 399-400):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Southin J.A. states at p. 59,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at p. 399 Southin J.A.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true questions the jury must address in a claim such as this are:</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to any degree by his injuries?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amount in the light of all the evidence should be awarded for that impairment?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Dickson J., as he then was, said in </w:t>
      </w:r>
      <w:r>
        <w:rPr>
          <w:rFonts w:ascii="arial" w:eastAsia="arial" w:hAnsi="arial" w:cs="arial"/>
          <w:i/>
          <w:color w:val="000000"/>
          <w:sz w:val="20"/>
          <w:lang w:val="en-US" w:eastAsia="en-US" w:bidi="ar-SA"/>
        </w:rPr>
        <w:t>Andrews v. Grand &amp; Toy (Alta.) Ltd.,</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 A capital asset has been lost: what was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Finch J.A. (as he then was) states in </w:t>
      </w:r>
      <w:r>
        <w:rPr>
          <w:rFonts w:ascii="arial" w:eastAsia="arial" w:hAnsi="arial" w:cs="arial"/>
          <w:b/>
          <w:i/>
          <w:color w:val="000000"/>
          <w:sz w:val="20"/>
          <w:lang w:val="en-US" w:eastAsia="en-US" w:bidi="ar-SA"/>
        </w:rPr>
        <w:t>Pallos v. ICBC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cases all treat a person's capacity to earn income as a capital asset, whose value may be lost or impaired by injury. It is a different approach from that taken in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and similar cases, where the court is asked to determine the likelihood of some future event leading to loss of income. Those cases say, if there is a "real possibility" or a "substantial possibility" of such a future event, an award for future loss of earning may be made. There is nothing in the case law to suggest that the "capital asset" approach and the "real possibility" approach are in any way mutually exclusive. They are simply different ways of attempting to assess the same head of damages,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The plaintiff submits that the factors originally set out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and affirmed in </w:t>
      </w:r>
      <w:r>
        <w:rPr>
          <w:rFonts w:ascii="arial" w:eastAsia="arial" w:hAnsi="arial" w:cs="arial"/>
          <w:b/>
          <w:i/>
          <w:color w:val="000000"/>
          <w:sz w:val="20"/>
          <w:lang w:val="en-US" w:eastAsia="en-US" w:bidi="ar-SA"/>
        </w:rPr>
        <w:t>Pallos v. ICBC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have been established in her case:</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been rendered less capable overall from earning income from all types of employment. She had worked in a job she enjoyed as a nurse's aide since 1990. At her age and skill level in light of the disability that she experiences, she is not competitively employable. While Dr. Cooke indicated that rehabilitation is always a possibility, it is not a probability for the plaintiff.</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less marketable or attractive as an employee to potential employers. It is a fact that she is on Canada Pension disability. She will not likely ever work again in any meaningful occupation as a result of the injuries she sustained in the accident.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her, had she not been injured. She is no longer able to hold many of the jobs that were previously open to her because she cannot meet the physical and social requirements of these jobs. For example, had she chosen to leave work as a nurse's aide she would have been able to work in a number of other fields. This includes working as a cleaner or a retail sales manager, in addition to work in any number of other occupations that would allow her to use her physical abilities. These are all things which due to her physical limitations caused by the accident, she cannot do. These limitations have closed off all job opportunities which might have otherwise been available to her, had she not been injured.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less valuable to herself as a person capable of earning income in a competitive labour market. The evidence has shown that she was a very hard-working individual who fully expected to return to work without pain. This is evidenced by her diligence in returning to work, her decision to work through pain and her expectation of healing. Unfortunately for her, she never did recover and is, in fact, worse today and may well continue to deteriorate, particularly as it relates to her functioning and emotional state. The evidence is in favour of the plaintiff with respect to a future loss of income and loss of capacity claim. The fact that she attempted to work shortly after the accident while in pain and hoping to get better illustrates the tragic nature of her inability to work as a result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plaintiff submits that her claim for future loss of earning capacity should encompass an award for the fact that she will not likely ever be able to return to any meaningful employment should she choose to do so following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The plaintiff also submits that her case has many similarities to the decision in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The plaintiff in that case, a 51 year old male, suffered an uncertain employment future due to injuries sustained in a motor vehicle accident. The plaintiff testified that he would not be able to work much longer because of his physical problems resulting from the accident. In essence, he could perform the work but it caused him considerable pain. Kirkpatrick J.A., for the majority, at paras. 12 and 37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put before the jury portrayed Mr. Stapley as an extremely hard-working, independent man who loved his work and the unique opportunities that his work on the ranch allowed him to enjoy.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was that Mr. Stapley earned $12 per hour. His total income for income tax years 1999, 2000, 2001 and 2002 was, respectively: $38,828; $36,601; $38,706; and $34,639. The average income over the period was $37,194. An economist's report was tendered in evidence to, in part, assist the jury in assessing Mr. Stapley's future loss of income. Although it is impossible to know how or if the jury made use of the report, the $305,000 amount awarded closely approximates the income loss multiplier that assumes Mr. Stapley's loss of income will commence in 2007 when he will be 54 ($310,000).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The plaintiff in the case at bar submits that she is also a very hard worker who has worked through pain as best she can and is now having increased pain. In her case, her physical condition, unlike that of the plaintiff in </w:t>
      </w:r>
      <w:r>
        <w:rPr>
          <w:rFonts w:ascii="arial" w:eastAsia="arial" w:hAnsi="arial" w:cs="arial"/>
          <w:b/>
          <w:i/>
          <w:color w:val="000000"/>
          <w:sz w:val="20"/>
          <w:lang w:val="en-US" w:eastAsia="en-US" w:bidi="ar-SA"/>
        </w:rPr>
        <w:t>Stapley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is not expected to improve. She says that she has been marginalized into an unemployable condition. In addition, there is evidence that her inability to return to work or to resume her normal social life will also likely continue to cause the plaintiff significant emotional upset and diminish her perception of self-worth.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plaintiff claims that she should have been able to work to retirement and beyond but for the accident. Now that she is disabled as a result of the accident related injuries, her ability to earn a living and consider other work past "retirement age" has been foreclosed. While she had plans to retire at age 60, she submits that the loss of opportunity to change her mind and the lost freedom associated with her condition should be compensable beyond a purely economic calculation of the conservative discounted value of her future income loss as a nurse's 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plaintiff seeks future loss of income and loss of earning capacity in the range of $107,330 to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plaintiff submits that she has not only mitigated her losses but has done so honourably. She says that the law does not require a plaintiff to try every possible treatment. However, in her case, she could not likely have done anymore to remedy her difficult situation of pain. She has taken a reasonable course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The plaintiff relies on the decision of Wilson J. in </w:t>
      </w:r>
      <w:r>
        <w:rPr>
          <w:rFonts w:ascii="arial" w:eastAsia="arial" w:hAnsi="arial" w:cs="arial"/>
          <w:b/>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She submits that this decision recognizes that so long as a plaintiff follows any one of several courses of treatment recommended by the medical advisors she consults she should not be found to have acted unreasonably.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The plaintiff submits that the law of mitigation places the onus on the defendant to establish a failure to mitigate on the part of a plaintiff and that such a failure to follow prescribed treatment is unreasonable: see </w:t>
      </w:r>
      <w:r>
        <w:rPr>
          <w:rFonts w:ascii="arial" w:eastAsia="arial" w:hAnsi="arial" w:cs="arial"/>
          <w:b/>
          <w:i/>
          <w:color w:val="000000"/>
          <w:sz w:val="20"/>
          <w:lang w:val="en-US" w:eastAsia="en-US" w:bidi="ar-SA"/>
        </w:rPr>
        <w:t>Janiak v. Ippolito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plaintiff contends that any assertion by the defence that she ought to have followed a different course is contrary to the evidence in her case. She has continued to seek treatment in an effort to mitigate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 am mindful of the evidence in the plaintiff's case about the loss of enjoyment of life that she has suffered with respect to her personal, social, employment and recreational pursuits. However the assessment of the plaintiff's damages is somewhat complicated due to the plaintiff's pre and post accident injury related findings as well as other circumstances bearing on whether the accident can be blamed for the fact that she is now disabled from work and suffers from chronic pain and depression. Thus, I turn to the key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main thrust of the plaintiff's claim for damages is that she sustained a low back soft tissue injury eventually leading to disc herniation surgery that has rendered her permanently disabled, and that this outcome is due directly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defence position is that given the history and the onset of symptoms of low back pain; the plaintiff's prior history of work related low back injuries and complaints; that the plaintiff's first onset of low back pain after the accident was caused by the same movement of bending forward as caused the plaintiff's work related onset of low back pain; and that the plaintiff was working as hard after the accident as she was before the accident, it is impossible to conclude that the accident caused the plaintiff's chronic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essence of the defence based on causation is that the plaintiff did not complain about low back pain until about two months after the accident, and then only intermittently thereafter. The defendants assert that a significant increase in the plaintiff's low back symptoms and the onset of new symptoms can actually be dated from the plaintiff's fall down the stairs in her home in early March 2005. It was this event, claim the defendants, that caused the plaintiff to undergo disc herniation surgery and is the real reason why she did not return to her occupation as a nurse's 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plaintiff claims that the reason she fell on the stairs was because she was stiff and sore and having difficulty mobilizing on the morning of the fall. She insists that she was not careless or negligent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However, the defence claims that the plaintiff's fall down the stairs was the result of her own carelessness and lack of attention. The defendants note that in cross-examination the plaintiff confirmed that after her fall down the stairs all of her injuries and symptoms got worse. The plaintiff also testified that she had been up and down those same stairs countless times and that she had been up and down those stairs when she was in more pain and experiencing more stiffness than was the case on the day she fell. She also said that she could get up and down the stairs with pain and stiffness if she was careful. Thus, say the defendants, the surrounding facts are inconsistent with the plaintiff's position that it was her stiffness or difficulty with walking that caused her to fall down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Regarding the cause of the disc herniation, the defendants note that Dr. Andrew Sak Yu Lee, the neurosurgeon who performed the lumbar discectomy surgery, gave no opinion that the accident contributed to the herniated disc other than to opine that it caused it directly. He did not express an opinion that the accident weakened the plaintiff's lumbar spine in some way or made her more susceptible to a herniated disc. The defendants also note that in cross-examination the doctor confirmed that the timing of the onset of the symptoms is important in determining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In Dr. Lee's report to plaintiff's counsel dated October 25, 2007 he wrote, as follows: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Spine - Soft Tissue Injury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Heppner has ongoing complaints of neck pain, shoulder pain as well as interscapular (between the shoulder blades) pain on the basis of soft tissue injury in the region of the cervical spine.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She does have radiographic evidence of mild degenerative changes in the cervical spine that I feel are incidental to her symptoms and complaints. I note that she was free of complaints of neck pain prior to the motor vehicle accident.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Herniated Lumbar Disc L5-S1 Left Side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Ms. Heppner did have complaints of low back pain, left leg pain and numbness on the basis of a herniated lumbar disc L5-S1.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 symptoms of pain had onset after the motor vehicle accident. Her symptoms and description of pain in the left leg and low back are consistent with the anticipated symptoms of a herniated lumbar disc L5-S1. Her physical findings on examination, namely the reproduction of her leg pain with tests of nerve root tension (sitting sciatic stretch test and straight leg raise) as well as findings of weakness in left ankle plantar flexion (weak toe raise) are consistent with impingement/irritation of the S1 nerve root, which is expected as a result of a herniated L5-S1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Dr. Lee also wrote in his report under the heading "Prognosis" that the plaintiff had had complaints of neck and low back pain on an ongoing basis since the accident. Under the heading "Summary" the doctor wrote that the plaintiff sustained the onset of neck pain, low back and left pain after the accident. He opined that the plaintiff sustained a soft tissue injury to the cervical spine as well as a herniated lumbar disc at L5-S1. He also opined that her ongoing complaints of pain in her leg and back were likely to remain present on a permanent basis and that she would remain disabled from her usual occupation and any other occupation with a light or greater physical demand, prolonged sitting, standing, bending, or twisting.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In his letter of November 16, 2005 to plaintiff's counsel, Dr. Cecil Hershler, a specialist in physical medicine and rehabilitation, under the heading "Diagnosis"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history and physical findings are consistent with a number of musculoskeletal injuries: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injury to the upper cervical spine. The locus of the injury is C1. The injury is asymmetrical and there is more findings in the left occiput than in the right. As a result, the left trapezius muscle has become tighter and more tender than the right. She is able to tolerate pressure into the right trapezius muscle to a much greater extent. There is probably a slight malalignment of the skull relative to the cervical spine as a result of the injury. Sustained pressure into the left occiput triggered a headache on the left side of her head.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separate injury in the region of C6-7. There are small posterior osteophytes in this region. It is likely that this region has been rendered symptomatic by trauma.</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lumbar spine. This has primarily involved the disc spaces at L3-4, L4-5 and L5-S1. According to the CT scan, there was evidence of disc bulging at all of these levels as well as a disc herniation at L5-S1 with a sequestrated fragment. This required surgery. There is no evidence of any overt radiculopathy or neuropathy. The absent ankle reflex on the left was probably a consequence of the disc herniation at L5-S1 but it is likely that the root has now been decompressed. The pain in the neck is a combination of musculo-ligamentous injury, malalignment and traumatic aggravation of arthritic changes.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Based on the history and the physical examination, it is my opinion that all of these injuries were most likely caused by the motor vehicle accident on January 18, 2004.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Although Eva did have a previous episode of back pain, the findings, at the time, (1999 and 2000) at most revealed a mild disc bulge at L5-S1. In addition, all of her symptoms resolved completely and she was able to get back to hard physical work. Although it is possible that she did have a small disc bulge at L5-S1 at the time of the motor vehicle accident in January 2004, it was clearly asymptomatic and was made much worse and rendered symptomatic by the accident in January 2004. In addition, she had never previously had any episode of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In his addendum to his medical/legal report dated August 8, 2007 Dr. Hershler states that his opinion that all of the plaintiff's injuries were caused by the accident is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contrary opinion to that of the plaintiff's experts comes from the defence expert Dr. Stephen Maloon, an orthopaedic surgeon. In his report dated February 17, 2006 he wrote, as follows:</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pain is continuous. The pain is localized to the low back with no radiation into buttock or lower limbs. She reports associated stiffness of the back. The pain is aggravated by prolonged standing or sitting and is relieved by rest and doing strengthening and stretching exercises. On specific questioning, coughing or sneezing aggravates the low back pain. She has had no signs or symptoms of bowel or bladder dysfunction. She has pain at night but reports it to be less severe than the pain during the day. Her night pain is particularly bad when she turns over in bed. She had had no constitutional signs or symptoms related to her low back pain. She denies numbness or weakness of the lower limbs. She reports her left leg pain to have resolved with the surgery. On a pain scale from 0 to 10 where 0 is no pain and 10 is unbearable pain, she reports ongoing low back pain at a 3 to 5 out of 10. This has improved minimally since her low back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In Dr. Maloon's report dated March 14, 2007 he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consultation note of Dr. Lee dated June 10, 2005 was reviewed. She was seen with complaints of low back and left leg pain radiating down to her foot. The onset was after a motor vehicle accident of January 2004. This is not entirely consistent as review of family practitioner's clinical records indicate the onset of low back pain radiating into her leg to have been March 2005. Dr. Lee reports no specific neurological deficit but indicates a positive straight leg raise on the left. His impression was that of a left L5-S1 disc herniation with lumbar radiculopathy. He indicates the disc could have been herniated for eighteen months but this is not accurate as the patient's symptoms began only in March 2005, only three months before his assessment. He discussed the possibility of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review of the submitted medical information suggests that Mrs. Heppner complained of neck pain after the motor vehicle accident. The low back pain complaints did not begin until two months after the motor vehicle accident. Her back pain beginning two months after a rear-ending accident would not in any way be related to injuries that she sustained in the motor vehicle accident. The clinical records indicate ongoing low back pain with no radicular symptoms (nerve root irritation). This is evidence by the family practitioner's records as well as the records of physiatrist, Dr. Jaworski. The records indicate that it was not until March 2005, more than a year after the motor vehicle accident, that she began developing severe left leg pain in keeping with a left L5-S1 disc herniation. The fact that a CT scan done in October 2004 revealed no evidence of an L5-S1 disc herniation and a CT scan done in April 2005 revealing an L5-S1 disc herniation suggests that the disc herniated some time between these two studies. The clinical records further pin point the time of herniation to have been around March 2005. A disc herniated some fourteen months after a motor vehicle accident can not in any way be related to the motor vehicle accident. The disc herniation is therefore in my opinion part and parcel to the process of the lumbar degenerative disc disease and not the result of any injury that Mrs. Heppner may have sustained in the motor vehicle accident of January 18,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review the [sic] submitted medical information confirms my impression that Mrs. Heppner probably sustained mild soft tissue strains to her neck and possibly her lower back in the motor vehicle accident of January 18, 2004. Her symptoms, clinical finding[s] by treating physicians and radiographic studies revealed no evidence of structural injury to her neck or back. In the absence of structural injury in the motor vehicle accident I do not believe that the mild soft tissue strain that she may have sustained in the January 18, 2004 motor vehicle accident would have been significant enough to alter the natural history of her neck or low back condition. Mrs. Heppner was shown to have degenerative changes in the lower lumbar spine before the motor vehicle accident. Unfortunately in the post-motor vehicle accident period (fourteen months later) she developed a left L5-S1 disc herniation that required surgery. This disc herniation would be the result of the natural history of the lumbar degenerative disc disease and not the result of injuries that she may have sustained in the January 18, 2004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In his rebuttal evidence, Dr. Hershler responded to Dr. Maloon's opinions,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SPRAGGS: I'm sorry. I'm on the same page, page 2, and in the last few sentences, the last two sentences of the heading titled "Impression."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Dr. Maloon writes: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disc herniation is therefore in my opinion part and parcel to the process of the lumbar degenerative disc disease and not the result of any injury that Mrs. Heppner may have sustained in the motor vehicle accident of January 18, 2004.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 you agree or disagree with that, and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will acknowledge that lumbar degenerative disc disease does mean that there are changes in the spine. Some of those changes that you see with lumbar degenerative disc disease are thickening of ligaments, bony spearing, and then more specifically with respect to the disc you can have loss of water in the disc so the disc shrinks, and you can have a weakening of the disc wall, which can lead to some bulging. I will acknowledge that, and - and, in fact, does probably occur to some extent in all of us as we age, and it's aging changes that are degenerative changes.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Equally, in my opinion, and I've - I can say this with some experience because I do see many of patients who have degenerative conditions of the spine, it's a large part of my practice, that I would say more likely - more often than not people with degenerative disc disease that you suddenly see on x-ray or MRI have no symptoms. In fact, the larger percentage of people with degenerative changes of the spine are unaware of it. That means they're having thickening of ligaments, additional bony spearing in the spine, shrinkage of discs and disc bulging, and they are not aware of any symptoms. In fact, they function 100 percent in life, and I'm talking about individuals aging up to the ages of 80 and higher, and incidentally you do an x-ray or an MRI, and you suddenly see all these degenerative changes. So the fact that it's there, and I think it's probably undisputed across the medical - in the medical system is that, by and large, degenerative changes of the spine are asymptomatic.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extremely rare, in my opinion, that somebody with benign, asymptomatic degenerative changes of the spine will suddenly present with a disc herniation. I can't rule it out, but it is extremely rare, and for that reason I think, given this history and the findings, it is my opinion that it is more likely that the disc herniation occurred as a result of the sudden trauma to her back, and not this benign, degenerative change that can occur in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As can be seen from the evidence the controversy between the medical experts over whether the plaintiff's disc herniation resulted directly from the accident, as contended by plaintiff's counsel, is complicated by many factors, including the fact that the plaintiff did not complain about low back pain until the end of March 2004; that at the end of March low back symptoms were initiated with the same type of motion at work that had brought on similar symptoms before the accident; that in October 2004, a CT scan showed no disc herniation; that the plaintiff returned to her very physically demanding job shortly following the accident and worked as hard after the accident as she had before, especially in the fall of 2004 when a combination of change in job duties coupled with extra shifts pushed her to the point that at the end of December 2004, her doctor advised her to not work; and that she remained off work until March 5, 2005 when on the eve of her return to work on a gradual basis she fell down some stairs in her home which resulted in her not being able to return to work as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plaintiff's causation argument is that all of the plaintiff's medical experts relate the disc herniation and soft tissue injuries to the accident. However, the disagreement between the parties surrounding whether there is a causal connection between the accident and the plaintiff's disc herniation requires a close examination of the clinical records of the plaintiff's medical attendances and treatments following the accident in relation to the conclusions reached by the experts on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First, I find that the plaintiff's first complaint of low back pain was to her physiotherapist and family doctor in late March 2004, some two months following the accident, and almost two months after the plaintiff's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When the plaintiff attended at Dr. Kwiatkowski's office on January 20, 2004, following the accident, the doctor noted her low back "to be soft and normal". She confirmed on cross-examination that she examined the plaintiff and her low back was normal. Although the doctor was somewhat reluctant to confirm that she made no findings about low back symptoms until her record of March 30, 2004 where she states, "Unfortunately pain has now moved from her neck to the lower spine", I find that the first mention made by the plaintiff about low back pain was on her visit to the doctor on March 30, 2004. I think this is clearly borne out by a review of the doctor's clinical records, as well as those of the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In her June 25, 2004 record Dr. Kwiatkowski noted that the plaintiff and her husband were having financial difficulties and the plaintiff had picked up five shifts in a row in the operating room with a lot of heavy lifting, which caused her difficulty sleeping, sitting and walking. A similar note was made in the doctor's September 13, 2004 clinical record. At the plaintiff's visit to the doctor on September 24, 2004 the doctor noted, "At this point she may be slowly developing disc problems in these areas, secondary to on and off severe muscle spasm after the MVA." However, the CT scan performed in October 2004 showed no evidence of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her November 10, 2004 record Dr. Kwiatkowski noted that the plaintiff was working a lot and was heavy lifting in the operating room and doing other jobs "which don't help her back." Then at the plaintiff's visit to the doctor on December 23, 2004 the doctor noted that the plaintiff had been pushing and doing a very hard physical job and that she had been overworked. She told the plaintiff to take two weeks off. However, although the plaintiff planned a gradual return to work in early March 2005, the events which followed resulted in her not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 also find that the first record of a diagnosis of sciatica on the plaintiff's left side was at her visit to Dr. Kwiatkowski on January 5, 2005. While it is correct that on her visit to Dr. Kwiatkowski on December 23, 2004, the doctor recorded that the plaintiff was walking with a wide gait and was very unstable, in her cross-examination Dr. Kwiatkowski said that although there was no mention of leg pain or sciatica "she must have had severe pains, at least in the pelvic girdle that she is unstable, so she does not have solely lower back pain, but she must have pain going below that, that she is supporting her legs with a wide gait. So she doesn't have sciatica. Sciatica goes either to...the knee level, or goes to the foot level, in her cause [sic] there is no mention about any of that." Defence counsel asked her, "But no sciatica in any event?" The doctor replied, "No sciatica going or described." The doctor also confirmed that January 5, 2005 was her first record of sciatica.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Dr. Kwiatkowski also confirmed that on the plaintiff's visit to her on January 20, 2005 she recorded, "Her CT of her neck didn't show any abnormality, this is mainly muscular problem." She agreed that there was no mention of sciatica on this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When the plaintiff attended at Dr. Kwiatkowski's office on March 4, 2005 she reported that she had been doing some activity with her grandchildren and got sick after that. She reported that she had lower back pain, upper back pain and pains radiating to the left leg. It does not appear, and the doctor could not recall, that the doctor performed a physical examination of the plaintiff. However, following her fall on the stairs in her home on March 5, 2005, the plaintiff attended at the doctor's office. This time there is a record of a physical examination and a note of severe spasm of the plaintiff's back, neck and arms and a description of the plaintiff suffering a "severe injury" as a result of the fall. On the plaintiff's visit to the doctor on March 14, 2005 the doctor noted that the plaintiff had "thrown back out" on March 5, 2005 and "developed severe sciatica on the left side." The doctor noted that the plaintiff had been deteriorating steadily since the accident and she did not think the plaintiff should go back to work (on March 4, 2005 the plaintiff was planning a gradual return to her work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Dr. Hershler testified that the disc herniation occurred as a result of the sudden trauma to the plaintiff's back and not "benign, degenerative change" in her spine. However, it should be noted that Dr. Hershler did not opine on the fact that in October 2004 the CT scan showed no evidence of a disc herniation, despite the fact that the plaintiff had been back at work since February and continuing with her hard physical labour throughout that time. Nor did he opine on the fact that she did not report low back pain until after her return to work, or that the first record of sciatica was in January 2005, shortly after she had reported to her family doctor that she had been pushing and doing heavy lifting or that the first x-ray to show disc herniation was in April 2005, after the plaintiff fell on the stairs in her home and suffered a "severe injury" to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It should also be noted that Dr. Lee appears to be incorrect in stating that the plaintiff had the onset of back pain with left leg pain radiating into the left foot at the time of the accident. He makes no comment about the fact that the low back pain was not recorded until late March 2004, or that the sciatica was not recorded until January 2005. Nor does the doctor opine on the fact that the October 2004 CT scan showed no evidence of disc herniation, or that the first x-ray showing a disc herniation was that of April 2005, after the plaintiff's fall down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In his cross-examination, Dr. Lee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Lee, if a CT scan of the lumbar spine of Ms. Heppner had been done in October of 2004 and showed no disc herniation and a CT scan done on April the 5th - sorry, April of 2005 was done and it showed a disc herniation, it would be most likely that the disc herniation occurred between the two CT scans.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My Lord.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were those dates again?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ORSETTI:</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October of 2004 -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ORSETTI: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and April of 2005.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Lee, if two CT scans were done of the lumbar spine, being about six months apart, as those previous dates were, the first showing no disc herniation, the second showing a disc herniation and an incident, a fall, where the patient lands on his or her bottom in a sitting position occurs one month before the second CT scan, and immediately after that fall a general practitioner describes the patient's condition as being a severe injury, observes severe spasms in the lumbar spine, including severe sciatica and there was no other unusual event within that six-month period, would the reasonable conclusion be that the disc herniation was caused by the - more likely than not by the fall?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Can you repeat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 yes. There are two CT scans done to the lumbar spine six months apart, the first showing no disc herniation, the second one showing the disc herniation. A fall occurs where the patient falls and lands on her bottom in a sitting position and that fall happens one month before the last CT scan, the second one that shows the disc herniation. A general practitioner reviews the patient and describes the severe injury where a severe spasm of the low back occurs and severe sciatica results and there are no other unusual events within that six-month period, that fall is the only unusual event producing those symptoms, would the reasonable conclusion be that the disc herniation was caused more likely than not by that fall?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SPRAGGS:</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I'd like to register an objection, My Lord. My friend is entitled to ask this witness a hypothetical. I just wish it to be clear that it's not with respect to the plaintiff, Eva Heppner's case, but a pure hypothetical based on exactly what my friend has put to him.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He's put out the hypothetical for the doctor. He's asking for an answer.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SPRAGGS:</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not with respect to Eva Heppner. Because if it's with respect to Eva Heppner, there's other - other considerations. And there's some - there's some assertions that have been put to this doctor that, frankly, in my review of the evidence aren't necessarily the case. So I mean I can deal with those in re-examination, if permitted, but I just wish to have it clear that this is a completely hypothetical question not with respect to Eva Heppner.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ORSETTI: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I'll simplify that by saying, assume that set of facts to be true in a patient.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Assuming that the onset of the symptoms from that disc herniation occurred with - I'm sorry it was a fall?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Assuming that the onset of the symptoms from - from the disc herniation onset with - with the fall, then more likely than not the - the fall would be the - the cause of the disc herniation.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fall would be the probable cause of the disc herniation?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fall would be the probable cause of the disc herniation if that's when the symptoms from the disc herniation, meaning typically low back and leg pain, had - had started, that that was the first time that those symptoms had onset.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symptoms indicating a disc herniation would include spasming in the low back and sciatica - sciatic pain?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Symptoms from a disc herniation may include spasming and sciatica, referring to pain radiating down the leg.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mentioned in your direct evidence that the timing of the onset of symptoms is a factor that's very important in considering causation?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My Lord.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In re-examination, Dr. Lee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Doctor, you were asked a very specific question - a very specific hypothetical question by my friend. And as I understood it, the question you were asked was if you - and I'll paraphrase a bit here - if you had - if you see a CT scan about six months before and one shows no disc herniation and the subsequent one shows a disc herniation and there is no other unusual events would you expect probably the event - an event like falling down on the stairs between that time to cause a disc herniation and you indicated probably in the hypothetical. But you went on to also indicate absent of other criteria. And you made reference to some items. Was it muscle spasm and pain?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I - I made reference to - to symptoms that would be attributable to the disc herniation in general. And I believe that included muscle spasm, pain and - and sciatica - pain in the left - not left but pain in the leg.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 if you have, as my friend put it to you, an event, such as a fall down some stairs or a bump on the body where you land on one's derriere, in what circumstances, if you had significant worsening of back problems, extreme spastic in the back with walking in a wide gait and an unstable gait and sciatica and a lot of pain in that area, would that change your view on whether a fall on a couple of stairs under a derriere would be the sole cause of that disc herniation or the probable disc herniation, as you indicated?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 I supposed to be referencing a specific tab?</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with respect to that question and that information.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 apologize, but can you repeat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Certainly, as best as I can. If you had evidence prior to the event, the fall on the stairs where a hypothetical person lands on their derriere, but before that, several months before that, you had a worsening of back problems, you had an extremely spastic back, lower back, a problem with walking and a wide gait and unstable walking, and you had a lot of pain and you had lower back pain consistently reported several months before that fall, would your opinion still be that - that that fall was the sole cause or the sole probable cause of the herniated disc?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the presence of the symptoms described prior to that fall would suggest that that problem was already either in existence or in evolution. And the fall may have either aggravated the symptoms or - or contributed to a worsening of a problem which was already - which had already occurred or was in place, meaning a disc herniation.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Both Dr. Lee and Dr. Maloon testified that the timing of onset of symptoms is important in determining cause. When the plaintiff was examined by Dr. Kwiatkowski right after the accident the doctor found her low back to be "normal", a fact she confirmed in her testimony. With respect to Dr. Lee's evidence that the symptoms described prior to the plaintiff's fall on the stairs would suggest that the problem was already in existence, I note that Dr. Kwiatkowski testified that when she examined the plaintiff on December 23, 2004 the plaintiff did not have sciatica. In any event, it is clear from the evidence that onset of the plaintiff's complaint of low back pain and the record of sciatica is in one case two months and in the other a year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In the result, I find that the evidence does not establish a temporal link between the accident and the onset of the plaintiff's low back symptoms ultimately leading to the diagnosis of disc herniation and disc herniation surgery. In my opinion, the plaintiff has failed to prove on a balance of probabilities that the accident caused or contributed to the plaintiff's disc herniation. She has failed to prove that her disc herniation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In arriving at this conclusion I accept the opinion of Dr. Maloon, in preference to that of the plaintiff's medical experts, that the soft tissue injuries the plaintiff sustained in the accident would not have been "significant enough to alter the natural history of her neck or low back condition" and that the "disc herniation would be the result of the natural history of the lumbar degenerative disc disease and not the result of injuries that she may have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In her November 4, 2005 medical/legal report Dr. Kwiatkowski states that in the October 29, 2004 CT scan there was no evidence of disc herniation but that the April 1, 2005 CT scan showed significant deterioration. She wrote, "The CT on April 1, 2005 has shown numerous levels of change. At L3/L4 there was a new change with mild annular disc bulge resulting in early flattening of the theca, which means impact on the nerves. There was early bilateral facet joint arthritis and hypertrophy, which means degenerative changes started to rapidly progress after the motor vehicle accident." However, I think that it is clear from the evidence of Dr. Maloon that a more precise timing of the acceleration is between the two CT scans taken in October 2004 and April 2005. His conclusion that the plaintiff's symptoms, clinical findings and x-rays revealed no evidence of structural injury to the plaintiff's back as a result of the accident is, in my view, well-founded. This is particularly so given the evidence of Dr. Kwiatkowski, in cross-examination, that from March 7, 2005, "All the symptoms [the plaintiff] has before have progressively gotten worse", and agreed that the sciatica and limping had taken a, "sharp turn" for the worse at that March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plaintiff claims that she is entitled to an award in the range of $175,000 to $200,000. This claim is based on her position that all of her injuries are a direct result of the accident and that the award should take into account her continuous pain and permanent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Given my findings on causation, I do not agree with plaintiff's counsel that the plaintiff should be compensated in the upper range of the cases cited by counsel. I also find that the plaintiff did not fully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In her clinical note of March 30, 2004 Dr. Kwiatkowski noted that the plaintiff had to work due to financial difficulties. She said that the plaintiff needed to extend her physiotherapy for much longer. In her April 29, 2004 clinical note she noted, "She requires aggressive gym program. She tells me she doesn't have time to do that but I have convinced the patient that this is the only way for recovery." In her June 2, 2004 clinical note the doctor noted, "Her physio has been extended, she has a few more sessions coming and then she is also going to a gym for an active gym program once a week." In her clinical note dated September 13, 2004 the doctor noted that the plaintiff had been off work for the month of August and that she was starting to do much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The Port Coquitlam Physiotherapy records indicate that the plaintiff was attending an active rehabilitation program at the aquatic centre. The Eagle Ridge Aquatic Centre Physiotherapy records include a letter to ICBC from the physiotherapist which states,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that the plaintiff was assessed on July 8, 2004 for appropriateness to undertaking a gym based strengthening/work hardening program. The letter states that the plaintiff's schedule did not fit into the 9:00 a.m. to 12:00 p.m. active program run through the physiotherapy clinic and that she was also offered one on one sessions in the gym with the centre's kinesiologist. The plaintiff said that she was so tired by the end of her shifts that she would be unable to attend. The letter also states that the plaintiff would benefit from a structured strengthening and stretching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In her September 13, 2004 clinical record Dr. Kwiatkowski also states that the plaintiff had developed acute recurrent muscle injury after the accident from going back to work after her vacation. She says that the plaintiff is unable to attend physiotherapy because she was too tired to attend after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In her January 20, 2005 clinical record Dr. Kwiatkowski notes that she had given the plaintiff a prescription for another three months of active gym rehabilitation. In her medical/legal report dated November 4, 2005 she states, "In spite of stopping work and great compliance with all treatment, the patient continued to develop rapid degenerative changes within her neck secondary to soft tissue damage and progressive osteoarthritis." However, the doctor testified in cross-examination that she was unaware that the plaintiff had not in fact taken the original gym program that she had prescribed. She also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in your direct evidence when you were going through your medical-legal report, you referred to the fact that the plaintiff had been in extreme compliance with all treatments, all done in a timely and proper fashion. Do you remember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I'm going to suggest to you that in view of your note of April 2004, April the 19th, 2004, where you confirm with the plaintiff the importance of the active rehab program, and the fact that she hadn't in fact taken that program until February of 2005, that would not be extreme compliance in a timely and proper fashion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Maybe.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would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In making an award of non-pecuniary damages to the plaintiff, my findings on causation and the fact that the plaintiff did not follow Dr. Kwiatkowski's initial advice to take the active gym program must bear on the quantum of the general damages award. I am mindful that the plaintiff did attend many sessions of physiotherapy and massage therapy. However, Dr. Kwiatkowski felt strongly that the active gym program was crucial to the plaintiff's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 find that the plaintiff sustained mild to moderate soft tissue injuries to her neck and back as a result of the accident which have had an affect on her personal, employment, social and recreational pursuits and activities. However, I also find that the plaintiff has failed to establish that the injuries sustained by her in the accident have caused her disability from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In the result, I find that the plaintiff's award for general damages should be based on the fact that her condition had improved and recovered to the stage that by March 4, 2005 he felt well enough to return to work on a gradual basis. Moreover, I find that the fact her physical and emotional condition deteriorated after her fall on March 5, 2005 cannot be attributed to the injuries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In all of the circumstances, I find that an award of $75,000 is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Turning to the plaintiff's wage loss claim, in his report dated December 12, 2007 Mr. Darren Benning, the President of PETA Consultants Ltd., calculated the plaintiff's past wage loss of $82,136 and future income loss of $159,509.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In computing past and future income loss Mr. Benning made provision for negative contingencies such as non-participation in the labour force, unemployment, part-time work and premature death. The plaintiff's past income loss calculations were based on the assumption that she would have continued to work as a nurse's aide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plaintiff's future loss of income was calculated as the difference between her estimated future without-accident income and her estimated future with-accident income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 find that the plaintiff is entitled to an award for past wage loss in the amount of $10,000. The evidence is that the plaintiff returned to work within about a month following the accident and worked until near the end of December 2004 when Dr. Kwiatkowski told her not to return to work. However, by early March the plaintiff was feeling well enough to consider a gradual return to work. In fact, in her clinical note of March 4, 2005 Dr. Kwiatkowski states that the plaintiff was contemplating a slow return to work. She states, "We will try just gradual return for two weeks before she comes back to work. She will do four hours a day starting March 8th to March 22nd and I will review the patient on March 21st." Thus, I find that the plaintiff would have returned to work on a gradual basis on March 7, 2005, but for the deterioration following the injuries she sustained in the fall down the stairs in her home, which, as it turned out, permanently postponed her return to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In all of the circumstances, I think it is fair and reasonable to award past wage loss in the amount of $10,000 to reflect that the plaintiff was off work for about a month following the accident, and again from late December 2004 to early March 2005, and that in early March 2005 she was poised to make a gradual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Regarding her future loss of income claim, the plaintiff submits that she is no longer able to hold many of the jobs that were previously open to her because she cannot meet the physical and social requirements of these jobs. For example, her counsel argued, had she chosen to leave work as a nurse's aid she would have been able to work in a number of other fields including as a cleaner, or a retail sales manager (given her work experience prior to her move to Canada), in addition to work in any number of other occupations that would allow her to use her physical abilities. Counsel said that these are all things that due to her physical limitations caused by the accident she cannot any longer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Counsel also contended that an assessment under this head of damage should not only include her calculable future loss of income but also the lost opportunity as a result of her disability arising from the accident to do other things in the future. Counsel argued that the plaintiff should have been able to work to retirement and beyond had the accident not occurred. He said that now that she is disabled as a result of the accident related injuries her ability to earn a living and to consider other work past "retirement age" has been foreclosed. Counsel put forward cases with a range of future income awards of $80,000 to over $1 million. He particularly relied on the decision in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where the award was in excess of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However, given my finding that the plaintiff has failed to prove to the requisite standard that her disc herniation and resultant surgery was caused by the accident, I do not think it would be fair or reasonable to make an award for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Nor do I think it would be fair or reasonable to award the plaintiff her claim for cost of future care in the amount of $96,218.50. However, I do think she is entitled to her claim for special damages in the amount of $6,500.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plaintiff shall have judgment in the amount of $75,000 for general damages; $10,000 for past wage loss; and special damages in the amount of $6,500. She is not entitled to damages for future wage loss, future care costs or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The amounts awarded to the plaintiff shall be adjusted to reflect the 50/50 division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In the event that the parties cannot reach an agreement on costs they have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1"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Heyman v. South Coast British Columbia Transportation Authority (c.o.b. Translink), [2013] B.C.J. No. 2060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26-27,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M112172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2060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2013 BCSC 1724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53 M.V.R. (6th) 24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2013 CarswellBC 2838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Russell Heyman, Plaintiff, and South Coast British Columbia Transportation Authority doing business as Translink, Corporate District of West Vancouver and Simon Stewart Cooper,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jc w:val="both"/>
        <w:rPr>
          <w:rFonts w:ascii="arial" w:eastAsia="arial" w:hAnsi="arial" w:cs="arial"/>
          <w:sz w:val="20"/>
          <w:lang w:val="en-US" w:eastAsia="en-US" w:bidi="ar-SA"/>
        </w:rPr>
      </w:pPr>
      <w:bookmarkStart w:id="277" w:name="Counsel_40"/>
      <w:bookmarkEnd w:id="2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 Mussio, T.C. Schapiro.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Armstrong.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8" w:name="Judgment_39"/>
      <w:bookmarkEnd w:id="278"/>
      <w:r>
        <w:pict>
          <v:line id="_x0000_s1223" style="position:absolute;z-index:2517514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9" w:name="R.A. SKOLROOD J."/>
            <w:bookmarkEnd w:id="279"/>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Russell Heyman, claims damages for personal injuries resulting from an incident that occurred on April 26, 2010 at the Park Royal Mall in West Vancouver when he was struck by a bus. The bus was part of the Blue Bus fleet that operates in and around West Vancouver and was owned and operated by the defendant Corporate District of West Vancouver under a contract with the defendant South Coast British Columbia Transportation Authority, also known as Translink. The defendant Simon Cooper was the driver of the bus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an order dated November 20, 2012, liability and damages were severed and it was directed that the trial on the issue of liability proceed first. These reasons for judgement address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on Centre Road which runs through the parking lot of the Park Royal Mall. It is common ground between the parties that at approximately 8:00 a.m. on the morning of April 26, 2010, a bus driven by Mr. Cooper came into contact with Mr. Heyman. While many of the facts surrounding the accident are uncontroverted, the parties differ on certain specific details and on the central issue of who is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Heyman's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Heyman was 41 years old at the time of trial. He testified that he is six feet tall and weighs about 300 pounds. He is employed as an animator and an animation instructor at the Visual College of Art and Design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Heyman testified that on the morning of April 26, 2010, he had been called into work at the college where he is employed to cover for another instructor. His work was scheduled to begin at 8:30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 said that he was wearing casual business style clothes including light hiking boot type shoes. He was carrying a laptop computer bag containing his laptop and some other school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His wife is employed at a store in the Park Royal Mall so she gave him a ride to the mall where he intended to catch a bus into downtown Vancouver. That bus ride normally takes about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Photographs of Centre Street at and around where the accident occurred were entered into evidence. Certain photographs show a number of businesses lining the street including, moving from east to west, an Autoplan insurance agency, a Booster Juice store, a parkade located under a Staples store and what appears to be a Winners store, with two driveway entrances, and then the Five Guys restaurant. Past the Five Guys restaurant it is not possible to make out the names of the businesses located along the street but in the distance a green awning can be seen which the parties agreed was in front of a Starbucks.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photographs also show a bus stop located directly in front of the Five Guys restaurant and it was agreed that there is another bus stop located down the street in front of the Starbucks.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Heyman testified that after being dropped off by his wife, he saw the bus at the Starbucks bus stop down the street and he thought that he could catch the bus at the next stop, located in front of the Five Guys restaurant. It was not clear from his evidence where he was when he first saw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Heyman said that he started to jog towards the bus stop. He saw the bus leave the Starbucks station so he began picking up his pace when he was in front of the Booster Juice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said that he saw the bus come to a stop in front of the Five Guys restaurant and it was picking up passengers. As he was running towards the bus, he was waving at it to try to get the driver's attention. However, he said that he did not make eye contact with the driver because there was too much glare on the front windshield of the bus. Mr. Heyman said that right when he arrived at the Five Guys bus stop, the bus pulled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testified that he put up his hand to wave down the bus and it came into contact with the side of the bus. The contact caused him to spin around and fall to the ground. His ankle was run over by the rear of the bus and he also suffered a broken shoulder. He denied that he tried to punch the bus, rather he described it as him simply trying to signal the bus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Heyman testified that he was winded from running and was stressed about being late. He said he was stunned by the fact that the bus would leave right when he arrived at the bus stop. He said that he believes that he was stationary when he was struck and that he never left the sidewalk. While somewhat uncertain about where he was when he was struck, he believes it was right in front of the Five Guys restaurant close to the bus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Heyman denied that, after the accident, he told the bus driver that what he did was stupid, that he should not have done it and that he was sorry.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Cooper's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Mr. Cooper testified that at the time of the accident on April 26, 2010, he had been employed as a bus driver for West Vancouver Transit since 1981. He recently retired from that position in January of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morning of the accident, Mr. Cooper started his shift at 5:30 a.m. He recalls that he was driving the No. 251 bus which does a loop through downtown Vancouver then back along the Upper Levels Highway. He indicated that the Park Royal stop is one of the busiest along the route. He also indicated that during the morning rush hour, buses heading into Vancouver come along every 5 to 7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Cooper testified that his route that morning required him to drive east along Centre Road in Park Royal. He stopped his bus at the stop located outside of the Five Guys restaurant. Once all of the passengers waiting at the stop were loaded, he closed the doors to the bus and began to move forward. Mr. Cooper indicated that he saw a pedestrian, Mr. Heyman, running towards the bus, but he said that it was company policy that once all of the people waiting at a stop are loaded, he is supposed to close the doors and move ahead. He is not permitted to stop away from the bus stop to pick up people who may be running to catch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Cooper testified that he first saw Mr. Heyman while he was still stopped at the bus stop. However, Mr. Heyman was still quite far away which is why he did not wait for him. He said that he motioned for Mr. Heyman to catch the next bus but he does not know if Mr. Heyman saw him do so. Mr. Cooper was cross-examined on the fact that in his examination for discovery, he testified that he did not see Mr. Heyman until after he had pulled away from the stop. Mr. Cooper insisted that his evidence at trial was accurate and that he was mistaken in what he said at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Cooper said that after he pulled away from the stop, he heard a bang on the side door to the bus and saw a flash. That occurred within a second of when he pulled forward. He believes that Mr. Heyman used a fist to bang on the side of the door given the sound that it made. He did not however see Mr. Heyman actually strike the bus other than the flash he described. He did not see Mr. Heyman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Cooper did not immediately slow down or stop the bus on hearing the bang to the door. He only stopped when a passenger called out that someone had fallen under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Cooper testified that after stopping the bus, he got out and spoke to Mr. Heyman who he believes was lying in the roadway. He says that Mr. Heyman said to him something to the effect of "that was a stupid thing to do - I should not have done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cross-examination, Mr. Cooper was taken to extracts from the West Vancouver Transit Policies and Procedures Manual. He agreed that there are numerous portions of the manual that emphasize the precedence of safety over all other concerns. For example, Section G 3, entitled "Safety First-Proceed Safely; Take no Chances"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arrive safely is more important than to arrive on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obvious safety of passengers, employees, travelers and pedestrians on the streets and highways must be given precedence over every other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Section O 25 of the manual deals with bus zones and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Bus zones or stops are provided throughout the transit system to accept or discharge passengers. Operators must stop at recognized bus stops/zones to accept or discharge passengers. However, these are not intended to overly restrict the operator to those locations only. Rigid procedures do not allow for legitimate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O 25 (d) also directs that drivers must "be alert to waiting passengers, especially those that appear to be standing very close to the curb and potentially in danger of being struck by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Cooper agreed in cross-examination that the manual does not include a policy requiring drivers to immediately close the doors to the bus and leave the stop as soon as there are no more passengers waiting at the stop. He indicated that policy was something that drivers were told by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rigidity with which Mr. Cooper adhered to that policy is illustrated by an exchange in cross-examination where he agreed that if a pedestrian is even one foot away from the bus stop when the doors close, the bus leaves.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Cooper also agreed that he did not do anything to avoid contact with Mr. Heyman. Specifically, he did not slow down, he did not pull into the other lane to give a wider berth and he did not honk his 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Independent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heard evidence from two independent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Blake Goddard is the owner and operator of the Booster Juice store located down the block to the east of where the accident occurred. He testified that on the morning of April 26, 2010, at about 8:00 a.m., he was in front of his store putting out a table and chairs and placing a sign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Goddard testified that he noticed a pedestrian running towards the bus stop located in front of the Five Guys restaurant down the block. He described the pedestrian as wearing business attire and carrying a briefcase. He also said that the pedestrian was a larger man and that he was not running terribly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Goddard heard the man yell something like "hey" to the bus and he saw him waving at the bus. It was apparent to Mr. Goddard that the pedestrian was running to catch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the pedestrian got closer to the bus, Mr. Goddard said that the bus closed its doors and started to pull forward. The pedestrian put his hand out which came into contact with the bus. Mr. Goddard believes that the pedestrian's hand touched the front window of the bus. He said it was almost like the pedestrian was trying to hit the front of the bus with an open hand to get it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Goddard said that the contact with the bus caused the pedestrian to spin around and fall down, with his torso on the sidewalk and his legs off the curb in the street. The back of the bus ran over the pedestrian's leg. According to Mr. Goddard, at no time prior to the contact did the pedestrian leave the sidewalk and enter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Goddard put the point of contact as just past the driveway into the parking lot right before the Five Guys restaurant. While no specific measurements were provided, from the photos entered into evidence that spot appears to be at least some 20 feet from the sign marking the Five Guys bus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Goddard testified that he did not hear the bus sound its horn nor did he see the bus take any evasive action. He agreed in cross-examination that the road is quite narrow in front of the bus stop and that there is not much room for anything else other than the bus in that east 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Donna Sharpe also testified. Ms. Sharpe is an insurance broker who works at the insurance agency located just east of the Booster Juice store. Ms. Sharpe testified that on the morning of April 26, 2010, she was parking her car in the parking lot across the street from the agency and the Booster Juice store. As she was getting out of her car, she saw a pedestrian across the street running along the sidewalk towards the Five Guys bus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bus, which had been stopped at the bus stop, started to move forward. She says that she then saw the pedestrian put his hand up and take a small jump towards the bus in an attempt, as she described it, to knock on the side of the bus. She testified that she recalls thinking at the time how foolish that was and that the pedestrian could be struck by the bus and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bus then crossed in front of her line of sight and she did not actually see the pedestrian fall and get run over by the bus. Ms. Sharpe could not estimate how far the bus had moved from the bus stop to the point of contact but, consistent with Mr. Goddard's evidence, she placed the point of contact down the street somewhat from the bus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Findings Concerning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One of the key issues in determining liability is where the contact between Mr. Heyman and the bus occurred and how far the bus had moved away from the bus stop when it struck Mr. Heyman.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Goddard put the point of contact just past the driveway adjacent to the Five Guys restaurant. This evidence was supported by Ms. Sharpe. As noted, that is likely some 20 feet down the block from the bus stop. Neither Mr. Heyman nor Mr. Cooper were certain about the point of contact although Mr. Cooper described it as occurring a "split second" after the bus pulled away from the stop. On balance, I accept the evidence that it occurred where Mr. Goddard says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That is relevant because it suggests that the bus was well in motion when Mr. Heyman came into contact with it and is inconsistent with Mr. Heyman's evidence that the bus was still stationary right until the point that he arrived at the bus stop. The force of the contact with Mr. Heyman, which caused him to spin around and fall, is also more consistent with him having reached out to flag or strike the bus when it was well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do not accept that Mr. Heyman somehow leaped into the bus or jumped up to strike it, but I do accept that he was waving at the bus trying to get the driver's attention and that he came into contact with the bus which ultimately caused him to fall. Mr. Heyman testified that after running towards the bus and then seeing it leave without him, he was stunned. I find that he was frustrated and that in his frustration he reached out to bang on the bus in hopes of making it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Governing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Both parties refer to s. 181 of the BC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provides that the driver of a vehicle must:</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Section 179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deals with the rights of way as between vehicles and pedestrians. Section 179 (2)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Section 180 then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pedestrian is crossing a highway at a point not in a crosswalk, the pedestrian must yield the right of way to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None of these sections apply directly to the circumstances of this case because it is common ground that Mr. Heyman was not in the roadway at the time of the accident. Nonetheless, the legislative provisions reflect the fact that both drivers and pedestrians have duties when on or in the vicinity of public roadways to keep a proper look out and to take reasonable precautions.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courts have recognized these mutual duties as well. For example, in </w:t>
      </w:r>
      <w:r>
        <w:rPr>
          <w:rFonts w:ascii="arial" w:eastAsia="arial" w:hAnsi="arial" w:cs="arial"/>
          <w:i/>
          <w:color w:val="000000"/>
          <w:sz w:val="20"/>
          <w:lang w:val="en-US" w:eastAsia="en-US" w:bidi="ar-SA"/>
        </w:rPr>
        <w:t>Nelson (Public Trustee Of) v. Shinske</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[1992] 2 W.W.R. 547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Mr. Justice Fraser at para. 19 cited Cartwright J. of the Supreme Court of Canada in </w:t>
      </w:r>
      <w:r>
        <w:rPr>
          <w:rFonts w:ascii="arial" w:eastAsia="arial" w:hAnsi="arial" w:cs="arial"/>
          <w:i/>
          <w:color w:val="000000"/>
          <w:sz w:val="20"/>
          <w:lang w:val="en-US" w:eastAsia="en-US" w:bidi="ar-SA"/>
        </w:rPr>
        <w:t>Johnson National Storage Ltd. v. Mathieson,</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[1953] 2 D.L.R. 604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Johnson National Storage</w:t>
      </w:r>
      <w:r>
        <w:rPr>
          <w:rFonts w:ascii="arial" w:eastAsia="arial" w:hAnsi="arial" w:cs="arial"/>
          <w:color w:val="000000"/>
          <w:sz w:val="20"/>
          <w:lang w:val="en-US" w:eastAsia="en-US" w:bidi="ar-SA"/>
        </w:rPr>
        <w:t>] at 613 to the effect that: "There is a duty upon motorists and pedestrians alike to be vigilant for a reasonably apparent potential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Counsel for Mr. Heyman cited a number of authorities that support the proposition that the standard of care applicable to public carriers is higher than for other motorists.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Perhaps the most often cited source for that principle is the Supreme Court of Canada decision in </w:t>
      </w:r>
      <w:r>
        <w:rPr>
          <w:rFonts w:ascii="arial" w:eastAsia="arial" w:hAnsi="arial" w:cs="arial"/>
          <w:i/>
          <w:color w:val="000000"/>
          <w:sz w:val="20"/>
          <w:lang w:val="en-US" w:eastAsia="en-US" w:bidi="ar-SA"/>
        </w:rPr>
        <w:t>Day v. Toronto Transportation Commission,</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[1940] SCR 433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where Mr. Justice Hudson said at 441: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carrier of passengers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degree...In an old case of </w:t>
      </w:r>
      <w:r>
        <w:rPr>
          <w:rFonts w:ascii="arial" w:eastAsia="arial" w:hAnsi="arial" w:cs="arial"/>
          <w:i/>
          <w:color w:val="000000"/>
          <w:sz w:val="20"/>
          <w:lang w:val="en-US" w:eastAsia="en-US" w:bidi="ar-SA"/>
        </w:rPr>
        <w:t>Jackson v. Tollett</w:t>
      </w:r>
      <w:r>
        <w:rPr>
          <w:rFonts w:ascii="arial" w:eastAsia="arial" w:hAnsi="arial" w:cs="arial"/>
          <w:color w:val="000000"/>
          <w:sz w:val="20"/>
          <w:lang w:val="en-US" w:eastAsia="en-US" w:bidi="ar-SA"/>
        </w:rPr>
        <w:t>, the rule was stated by Lord Ellenborough, at p. 38,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Every person who contracts for the conveyance of others, is bound to use the utmost care and skill, and if, through any erroneous judgment on his part, any mischief is occasioned, he must answer for the consequences.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That principle has been endorsed in a number of British Columbia authorities. In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xml:space="preserve"> at para. 18, Madam Justice Dardi said this with respect to </w:t>
      </w:r>
      <w:r>
        <w:rPr>
          <w:rFonts w:ascii="arial" w:eastAsia="arial" w:hAnsi="arial" w:cs="arial"/>
          <w:i/>
          <w:color w:val="000000"/>
          <w:sz w:val="20"/>
          <w:lang w:val="en-US" w:eastAsia="en-US" w:bidi="ar-SA"/>
        </w:rPr>
        <w:t xml:space="preserve">Day: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articulated in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xml:space="preserve"> have been interpreted by the courts in this province as endorsing the following analytical approach-once a passenger on a public carrier has been injured in an accident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raised and it is for the public carrier to establish that the passenger's injuries were occasioned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or that it resulted from a cause for which the carrier was not responsible: </w:t>
      </w:r>
      <w:r>
        <w:rPr>
          <w:rFonts w:ascii="arial" w:eastAsia="arial" w:hAnsi="arial" w:cs="arial"/>
          <w:i/>
          <w:color w:val="000000"/>
          <w:sz w:val="20"/>
          <w:lang w:val="en-US" w:eastAsia="en-US" w:bidi="ar-SA"/>
        </w:rPr>
        <w:t>Planidin v. Dykes,</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[1984] B.C.J. No. 907</w:t>
        </w:r>
      </w:hyperlink>
      <w:r>
        <w:rPr>
          <w:rFonts w:ascii="arial" w:eastAsia="arial" w:hAnsi="arial" w:cs="arial"/>
          <w:color w:val="000000"/>
          <w:sz w:val="20"/>
          <w:lang w:val="en-US" w:eastAsia="en-US" w:bidi="ar-SA"/>
        </w:rPr>
        <w:t xml:space="preserve"> (Q.L.) (S.C.); </w:t>
      </w:r>
      <w:r>
        <w:rPr>
          <w:rFonts w:ascii="arial" w:eastAsia="arial" w:hAnsi="arial" w:cs="arial"/>
          <w:i/>
          <w:color w:val="000000"/>
          <w:sz w:val="20"/>
          <w:lang w:val="en-US" w:eastAsia="en-US" w:bidi="ar-SA"/>
        </w:rPr>
        <w:t>Visanji v. Eaton and Coast Mountain Bus Co. Ltd.,</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2006 BCSC 656</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Mr. Heyman relies on the </w:t>
      </w:r>
      <w:r>
        <w:rPr>
          <w:rFonts w:ascii="arial" w:eastAsia="arial" w:hAnsi="arial" w:cs="arial"/>
          <w:i/>
          <w:color w:val="000000"/>
          <w:sz w:val="20"/>
          <w:lang w:val="en-US" w:eastAsia="en-US" w:bidi="ar-SA"/>
        </w:rPr>
        <w:t>Prempeh</w:t>
      </w:r>
      <w:r>
        <w:rPr>
          <w:rFonts w:ascii="arial" w:eastAsia="arial" w:hAnsi="arial" w:cs="arial"/>
          <w:color w:val="000000"/>
          <w:sz w:val="20"/>
          <w:lang w:val="en-US" w:eastAsia="en-US" w:bidi="ar-SA"/>
        </w:rPr>
        <w:t xml:space="preserve"> decision as well as the </w:t>
      </w:r>
      <w:r>
        <w:rPr>
          <w:rFonts w:ascii="arial" w:eastAsia="arial" w:hAnsi="arial" w:cs="arial"/>
          <w:i/>
          <w:color w:val="000000"/>
          <w:sz w:val="20"/>
          <w:lang w:val="en-US" w:eastAsia="en-US" w:bidi="ar-SA"/>
        </w:rPr>
        <w:t>Planidin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Visanji</w:t>
      </w:r>
      <w:r>
        <w:rPr>
          <w:rFonts w:ascii="arial" w:eastAsia="arial" w:hAnsi="arial" w:cs="arial"/>
          <w:color w:val="000000"/>
          <w:sz w:val="20"/>
          <w:lang w:val="en-US" w:eastAsia="en-US" w:bidi="ar-SA"/>
        </w:rPr>
        <w:t xml:space="preserve"> decisions cited by Madam Justice Dardi and the decision of the Court of Appeal in </w:t>
      </w:r>
      <w:r>
        <w:rPr>
          <w:rFonts w:ascii="arial" w:eastAsia="arial" w:hAnsi="arial" w:cs="arial"/>
          <w:i/>
          <w:color w:val="000000"/>
          <w:sz w:val="20"/>
          <w:lang w:val="en-US" w:eastAsia="en-US" w:bidi="ar-SA"/>
        </w:rPr>
        <w:t>Wang v. Horrod</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48 B.C.L.R. (3d) 199</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[1998] 9 W.W.R. 280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Wong</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noted by counsel for the defendants, each of these cases involves circumstances in which the injured plaintiffs were passengers of the public carrier. In his submission, the shifting onus principle set out in those cases does not apply in this case given that Mr. Heyman was never a passenger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response, counsel for Mr. Heyman cites the decision of this court in </w:t>
      </w:r>
      <w:r>
        <w:rPr>
          <w:rFonts w:ascii="arial" w:eastAsia="arial" w:hAnsi="arial" w:cs="arial"/>
          <w:i/>
          <w:color w:val="000000"/>
          <w:sz w:val="20"/>
          <w:lang w:val="en-US" w:eastAsia="en-US" w:bidi="ar-SA"/>
        </w:rPr>
        <w:t>Lawson v. B.C. Transit et al.,</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2002 BCSC 1438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Lawson</w:t>
      </w:r>
      <w:r>
        <w:rPr>
          <w:rFonts w:ascii="arial" w:eastAsia="arial" w:hAnsi="arial" w:cs="arial"/>
          <w:color w:val="000000"/>
          <w:sz w:val="20"/>
          <w:lang w:val="en-US" w:eastAsia="en-US" w:bidi="ar-SA"/>
        </w:rPr>
        <w:t xml:space="preserve"> ]. There the plaintiff was involved in two separate accidents involving public buses. In the first accident, the plaintiff was attempting to board a bus when she collided with a passenger who was disembarking, causing the plaintiff to fall backwards onto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considering the liability of the bus driver, Madam Justice Humphries cited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xml:space="preserve"> as accurately summarizing the law governing public carriers. However, she went on to find that the driver in </w:t>
      </w:r>
      <w:r>
        <w:rPr>
          <w:rFonts w:ascii="arial" w:eastAsia="arial" w:hAnsi="arial" w:cs="arial"/>
          <w:i/>
          <w:color w:val="000000"/>
          <w:sz w:val="20"/>
          <w:lang w:val="en-US" w:eastAsia="en-US" w:bidi="ar-SA"/>
        </w:rPr>
        <w:t>Lawson</w:t>
      </w:r>
      <w:r>
        <w:rPr>
          <w:rFonts w:ascii="arial" w:eastAsia="arial" w:hAnsi="arial" w:cs="arial"/>
          <w:color w:val="000000"/>
          <w:sz w:val="20"/>
          <w:lang w:val="en-US" w:eastAsia="en-US" w:bidi="ar-SA"/>
        </w:rPr>
        <w:t xml:space="preserve"> did not breach a duty owing to the plaintiff. In her view, to hold the driver liable for the unexpected actions of another passenger would make him an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Counsel for Mr. Heyman says that Mr. Heyman was in a similar position to the plaintiff in </w:t>
      </w:r>
      <w:r>
        <w:rPr>
          <w:rFonts w:ascii="arial" w:eastAsia="arial" w:hAnsi="arial" w:cs="arial"/>
          <w:i/>
          <w:color w:val="000000"/>
          <w:sz w:val="20"/>
          <w:lang w:val="en-US" w:eastAsia="en-US" w:bidi="ar-SA"/>
        </w:rPr>
        <w:t>Lawson</w:t>
      </w:r>
      <w:r>
        <w:rPr>
          <w:rFonts w:ascii="arial" w:eastAsia="arial" w:hAnsi="arial" w:cs="arial"/>
          <w:color w:val="000000"/>
          <w:sz w:val="20"/>
          <w:lang w:val="en-US" w:eastAsia="en-US" w:bidi="ar-SA"/>
        </w:rPr>
        <w:t xml:space="preserve"> in the sense that he was attempting to board the bus when the accident happened. However, as I have found that in fact the bus was well under way when Mr. Heyman's hand came into contact with it, the </w:t>
      </w:r>
      <w:r>
        <w:rPr>
          <w:rFonts w:ascii="arial" w:eastAsia="arial" w:hAnsi="arial" w:cs="arial"/>
          <w:i/>
          <w:color w:val="000000"/>
          <w:sz w:val="20"/>
          <w:lang w:val="en-US" w:eastAsia="en-US" w:bidi="ar-SA"/>
        </w:rPr>
        <w:t>Lawson</w:t>
      </w:r>
      <w:r>
        <w:rPr>
          <w:rFonts w:ascii="arial" w:eastAsia="arial" w:hAnsi="arial" w:cs="arial"/>
          <w:color w:val="000000"/>
          <w:sz w:val="20"/>
          <w:lang w:val="en-US" w:eastAsia="en-US" w:bidi="ar-SA"/>
        </w:rPr>
        <w:t xml:space="preserve"> case is in my view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note that there are other authorities dealing with bus-pedestrian accidents in which the court did not apply the analytical approach flowing out of the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xml:space="preserve"> line of cases, for example </w:t>
      </w:r>
      <w:r>
        <w:rPr>
          <w:rFonts w:ascii="arial" w:eastAsia="arial" w:hAnsi="arial" w:cs="arial"/>
          <w:i/>
          <w:color w:val="000000"/>
          <w:sz w:val="20"/>
          <w:lang w:val="en-US" w:eastAsia="en-US" w:bidi="ar-SA"/>
        </w:rPr>
        <w:t>Mitchell v. Lockhart,</w:t>
      </w:r>
      <w:r>
        <w:rPr>
          <w:rFonts w:ascii="arial" w:eastAsia="arial" w:hAnsi="arial" w:cs="arial"/>
          <w:color w:val="000000"/>
          <w:sz w:val="20"/>
          <w:lang w:val="en-US" w:eastAsia="en-US" w:bidi="ar-SA"/>
        </w:rPr>
        <w:t xml:space="preserve"> 1987 CarswellBC 1500, </w:t>
      </w:r>
      <w:hyperlink r:id="rId949" w:history="1">
        <w:r>
          <w:rPr>
            <w:rFonts w:ascii="arial" w:eastAsia="arial" w:hAnsi="arial" w:cs="arial"/>
            <w:i/>
            <w:color w:val="0077CC"/>
            <w:sz w:val="20"/>
            <w:u w:val="single"/>
            <w:shd w:val="clear" w:color="auto" w:fill="FFFFFF"/>
            <w:lang w:val="en-US" w:eastAsia="en-US" w:bidi="ar-SA"/>
          </w:rPr>
          <w:t>[1987] B.C.J. No. 1466</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Peter v. Anchor Transit Ltd.,</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(1981), 27 B.C.L.R. 138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Peter</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Whelan v. BC Transit,</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2012 BCSC 1397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Whelan</w:t>
      </w:r>
      <w:r>
        <w:rPr>
          <w:rFonts w:ascii="arial" w:eastAsia="arial" w:hAnsi="arial" w:cs="arial"/>
          <w:color w:val="000000"/>
          <w:sz w:val="20"/>
          <w:lang w:val="en-US" w:eastAsia="en-US" w:bidi="ar-SA"/>
        </w:rPr>
        <w:t xml:space="preserve"> ], Mr. Justice Schultes considered a claim brought by a pedestrian who was struck from behind by a bus when he stepped off the curb and onto the road to avoid other pedestrians on the sidewalk. While Mr. Justice Schultes cited the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xml:space="preserve"> decision, he did so for the purpose of identifying the standard of care imposed on a bus driver. He did not otherwise apply the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xml:space="preserve"> approach but rather assessed the bus driver's liability in accordance with what might be described as a more conventional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Specifically, he considered whether the bus driver breached the applicable standard of care, and, having found that the driver did so, he then considered whether the plaintiff was contributorily negligent. In the end, Mr. Justice Schultes apportioned liability 60% to the plaintiff pedestrian and 40% to the bus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my view, a similar analytical approach is warranted in this case. However, before turning to the issue of whether Mr. Cooper breached the standard of care, it must first be determined whether in fact he owed Mr. Heyman a duty of care, given that Mr. Heyman was not in fact his passenger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Madam Justice Rowles provided a useful summary of the distinction between the duty of care and the standard of care, albeit in the context of a passenger case. She said at paras. 25 and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reasonable foreseeability is the basis for establishing a duty of care, is well established.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8th ed. (1992), Fleming supports the view that "duty" is more appropriately reserved for the problem of whether the relation between the parties, such as manufacturer and consumer or occupier and trespasser, warrants the imposition upon one of an obligation of care for the benefit of the other, and that it is more convenient to deal with individual conduct in terms of the legal standard of what is required to meet that obligation.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public carriers owe a duty of care to their passengers based on the reasonable foreseeability test is uncontentious.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She went on to say at paras. 29-29: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unlike the duty of care and remoteness of damages, does not refer to what is reasonably foreseeable. Instead, it is based on what the reasonably prudent person would do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 standard of care imposed on the bus driver is the conduct or behaviour that would be expected of the reasonably prudent bus driver in these circumstances. The test is an objective one and takes into consideration both the experience of the average bus driver and anything the driver knew or should have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Finally, Madam Justice Rowles noted at para. 30 that in considering what a reasonably prudent bus driver would do in the circumstances, the question is whether there is a real risk of harm that could reasonably be avoided: "The "real risk" test involves balancing the seriousness of the potential risk and the likelihood of its occurrence on one side with the ease and consequences of avoiding the risk on the other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While again Madam Justice Rowles' comments were in the context of a passenger case, I think that they are equally applicable to a pedestrian case like the one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terms of the duty of care, I do not understand the defendants to argue that that the driver, Mr. Cooper, owed no duty to Mr. Heyman. In my view, the existence of a duty is clear. As noted, the courts in cases such as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Johnson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National Storage</w:t>
      </w:r>
      <w:r>
        <w:rPr>
          <w:rFonts w:ascii="arial" w:eastAsia="arial" w:hAnsi="arial" w:cs="arial"/>
          <w:color w:val="000000"/>
          <w:sz w:val="20"/>
          <w:lang w:val="en-US" w:eastAsia="en-US" w:bidi="ar-SA"/>
        </w:rPr>
        <w:t xml:space="preserve"> make it clear that both drivers and pedestrians have a duty to be aware of potential hazards. Further, the West Vancouver Transit Policies and Procedures Manual specifically directs drivers to exercise extra caution when entering and leaving a bus zone and to be aware of any pedestrians in the vicinity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Cooper testified that it is not uncommon for people to run towards the bus in an attempt to catch it. Further, he clearly saw Mr. Heyman running towards the bus and understood that he was doing so with a view to catching the bus. As the evidence established, Mr. Heyman is a large man and not terribly athletic and his approach to the bus was undoubtedly awkward, particularly given that he was attempting to run while carrying his laptop bag. In the circumstances, it was reasonably foreseeable that harm might come to Mr. Heyman in the event that Mr. Cooper failed to take reasonable precautions. I therefore find that Mr. Cooper owed Mr. Heyman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analysis then turns to whether Mr. Cooper failed to meet the standard of care of what would be expected of a reasonably prudent bus driver in the circumstances. This questions turns on whether it was reasonable for Mr. Cooper, in compliance with what he understood company policy to be, to simply close the doors of the bus and accelerate away from the bus stop notwithstanding Mr. Heyman's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my view, reliance on this alleged policy is no answer to the claim that Mr. Cooper breached the standard of care. I say alleged policy because it is not set out anywhere in writing, notwithstanding that West Vancouver Transit has in place an extensive policy manual setting out detailed operational practices and policies. That said, I have no reason to question Mr. Cooper's evidence that drivers are instructed to leave once there is no one else waiting at a bus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However, Mr. Cooper's conduct is not to be measured against a general policy, but rather must be considered in light of the circumstances that presented at the time. As noted by Madam Justice Rowles in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the question is whether there was a real risk of harm that could reasonably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my view, Mr. Heyman approaching the bus in an awkward run waving his arms in the air with a view to getting the driver's attention and hopefully having the bus stop so he could board, presented a real risk of harm. I note in particular the fact, as pointed out by counsel for the defendants, that the road on which the bus was situated was quite narrow, in fact not much wider than the bus itself. That put the bus in close proximity to pedestrians on the adjacent sidewalk and heightened the need for vigilance on Mr. Cooper's part. Again, that is particularly so given the manner in which Mr. Heyman was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fact that Mr. Heyman was approaching from the front and that Mr. Cooper saw him, distinguishes this case from </w:t>
      </w:r>
      <w:r>
        <w:rPr>
          <w:rFonts w:ascii="arial" w:eastAsia="arial" w:hAnsi="arial" w:cs="arial"/>
          <w:i/>
          <w:color w:val="000000"/>
          <w:sz w:val="20"/>
          <w:lang w:val="en-US" w:eastAsia="en-US" w:bidi="ar-SA"/>
        </w:rPr>
        <w:t>Peter,</w:t>
      </w:r>
      <w:r>
        <w:rPr>
          <w:rFonts w:ascii="arial" w:eastAsia="arial" w:hAnsi="arial" w:cs="arial"/>
          <w:color w:val="000000"/>
          <w:sz w:val="20"/>
          <w:lang w:val="en-US" w:eastAsia="en-US" w:bidi="ar-SA"/>
        </w:rPr>
        <w:t xml:space="preserve"> cited by the defendants, where the Court of Appeal found that a bus driver was not liable for injuries suffered by a child who approached the bus from the rear and where the driver made reasonable efforts to keep a look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Counsel for the defendants submitted that there was nothing negligent in Mr. Cooper simply continuing on his way when he saw Mr. Heyman approaching. He notes the evidence of Mr. Goddard that people run for the bus all the time. Sometimes they make it and sometimes they don't. He submits that Mr. Heyman did not present a hazard and that accordingly, there was no need for Mr. Cooper to sound his horn pursuant to s. 181 (b)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or to take evasive action, for example by pulling further into the oncoming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That however does not account for the particular manner in which Mr. Heyman approached the bus. For the reasons already discussed, I find that Mr. Heyman did in fact present a real risk or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second aspect of the "real risk" test is whether that risk could reasonably be avoided. In my view the answer to that question is yes. That is not to say that Mr. Cooper was obliged to stop and let Mr. Heyman on the bus in order to avoid the risk. However, the prudent course of action would have been to at least slow down and to maintain awareness of where Mr. Heyman was in relation to the bus. Instead, Mr. Cooper chose to simply accelerate away from the bus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therefore find that Mr. Cooper's conduct fell below what was required of a reasonably prudent bus driver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now turn to the question of whether Mr. Heyman was contributorily negligent. In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25, Mr. Justice Tysoe adopted the description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in John 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9th ed. (Sydney: LBC Information Services, 1998) at 302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plaintiff's failure to meet the standard of care to which he is required to conform for his own protection and which is a legally contributing cause, together with the defendant's default, in bringing about his injury. The term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unfortunately not altogether free from ambiguity. In the first place,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here used in a sense different from that which it bears in relation to a defendant's conduct. It does not necessarily connote conduct fraught with undue risk to </w:t>
      </w:r>
      <w:r>
        <w:rPr>
          <w:rFonts w:ascii="arial" w:eastAsia="arial" w:hAnsi="arial" w:cs="arial"/>
          <w:i/>
          <w:color w:val="000000"/>
          <w:sz w:val="20"/>
          <w:lang w:val="en-US" w:eastAsia="en-US" w:bidi="ar-SA"/>
        </w:rPr>
        <w:t>others</w:t>
      </w:r>
      <w:r>
        <w:rPr>
          <w:rFonts w:ascii="arial" w:eastAsia="arial" w:hAnsi="arial" w:cs="arial"/>
          <w:color w:val="000000"/>
          <w:sz w:val="20"/>
          <w:lang w:val="en-US" w:eastAsia="en-US" w:bidi="ar-SA"/>
        </w:rPr>
        <w:t xml:space="preserve">, but rather failure on the part of the person injured to take reasonable care of himself in his </w:t>
      </w:r>
      <w:r>
        <w:rPr>
          <w:rFonts w:ascii="arial" w:eastAsia="arial" w:hAnsi="arial" w:cs="arial"/>
          <w:i/>
          <w:color w:val="000000"/>
          <w:sz w:val="20"/>
          <w:lang w:val="en-US" w:eastAsia="en-US" w:bidi="ar-SA"/>
        </w:rPr>
        <w:t>own</w:t>
      </w:r>
      <w:r>
        <w:rPr>
          <w:rFonts w:ascii="arial" w:eastAsia="arial" w:hAnsi="arial" w:cs="arial"/>
          <w:color w:val="000000"/>
          <w:sz w:val="20"/>
          <w:lang w:val="en-US" w:eastAsia="en-US" w:bidi="ar-SA"/>
        </w:rPr>
        <w:t xml:space="preserve"> interest. ... Secondly, the term "contributory" might misleadingly suggest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concurring with the defendant's, must have contributed to the </w:t>
      </w:r>
      <w:r>
        <w:rPr>
          <w:rFonts w:ascii="arial" w:eastAsia="arial" w:hAnsi="arial" w:cs="arial"/>
          <w:i/>
          <w:color w:val="000000"/>
          <w:sz w:val="20"/>
          <w:lang w:val="en-US" w:eastAsia="en-US" w:bidi="ar-SA"/>
        </w:rPr>
        <w:t>accident</w:t>
      </w:r>
      <w:r>
        <w:rPr>
          <w:rFonts w:ascii="arial" w:eastAsia="arial" w:hAnsi="arial" w:cs="arial"/>
          <w:color w:val="000000"/>
          <w:sz w:val="20"/>
          <w:lang w:val="en-US" w:eastAsia="en-US" w:bidi="ar-SA"/>
        </w:rPr>
        <w:t xml:space="preserve"> in the sense of being instrumental in bringing it about. Actually, it means nothing more than his failure to avoid getting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Where it is shown that a plaintiff was contributorily negligent, then the court must also consider the proper apportionment of liability as between the parties. In this regard, s. 1(1) of the BC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by the fault of 2 or more persons damage or loss is caused to one or more of them, the liability to make good the damage or loss is in proportion to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2009 BCSC 1105</w:t>
        </w:r>
      </w:hyperlink>
      <w:r>
        <w:rPr>
          <w:rFonts w:ascii="arial" w:eastAsia="arial" w:hAnsi="arial" w:cs="arial"/>
          <w:color w:val="000000"/>
          <w:sz w:val="20"/>
          <w:lang w:val="en-US" w:eastAsia="en-US" w:bidi="ar-SA"/>
        </w:rPr>
        <w:t>, Mr. Justice Cohen described the approach to apportionment in these terms at paras. 106 and 107: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[106]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xml:space="preserve">(1), requires that apportionment of liability must be made on the basis of "the degree to which each person was at fault". As stated in </w:t>
      </w:r>
      <w:r>
        <w:rPr>
          <w:rFonts w:ascii="arial" w:eastAsia="arial" w:hAnsi="arial" w:cs="arial"/>
          <w:i/>
          <w:color w:val="000000"/>
          <w:sz w:val="20"/>
          <w:lang w:val="en-US" w:eastAsia="en-US" w:bidi="ar-SA"/>
        </w:rPr>
        <w:t>Cempel v. Harrison Hot Springs</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[1998] 6 W.W.R. 233</w:t>
        </w:r>
      </w:hyperlink>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43 B.C.L.R. (3d) 219</w:t>
        </w:r>
      </w:hyperlink>
      <w:r>
        <w:rPr>
          <w:rFonts w:ascii="arial" w:eastAsia="arial" w:hAnsi="arial" w:cs="arial"/>
          <w:color w:val="000000"/>
          <w:sz w:val="20"/>
          <w:lang w:val="en-US" w:eastAsia="en-US" w:bidi="ar-SA"/>
        </w:rPr>
        <w:t xml:space="preserve"> at para. 19 (C.A.), the assessment to be made is of degrees of fault, not degrees of causation, with "fault" meaning blameworthiness. Courts must gauge the amount by which each proximate and effective causative agent fell short of the standard of care that was required of that person in all of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In assessing the respective fault and blameworthiness of the parties as contemplated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courts are to evaluate the extent or degree to which each party departed from the standard of care each party owed under the circumstances: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 46. Finch J.A. (as he then was) described the range of blameworthiness,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While each case must be decided on the basis of its own unique facts, it is useful to consider the apportionment of liability in other cases with somewhat similar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Whelan,</w:t>
      </w:r>
      <w:r>
        <w:rPr>
          <w:rFonts w:ascii="arial" w:eastAsia="arial" w:hAnsi="arial" w:cs="arial"/>
          <w:color w:val="000000"/>
          <w:sz w:val="20"/>
          <w:lang w:val="en-US" w:eastAsia="en-US" w:bidi="ar-SA"/>
        </w:rPr>
        <w:t xml:space="preserve"> where the pedestrian was struck by a bus when he stepped off the curb into the road to avoid other pedestrians on the sidewalk, the court apportioned liability 60% to the plaintiff pedestrian and 40% to the driver on the basis that the driver had a momentary lapse of care whereas the conduct of the pedestrian reflected a much higher degree of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Yip v. Melton,</w:t>
      </w:r>
      <w:r>
        <w:rPr>
          <w:rFonts w:ascii="arial" w:eastAsia="arial" w:hAnsi="arial" w:cs="arial"/>
          <w:color w:val="000000"/>
          <w:sz w:val="20"/>
          <w:lang w:val="en-US" w:eastAsia="en-US" w:bidi="ar-SA"/>
        </w:rPr>
        <w:t xml:space="preserve"> 1995 CanLII 1624, </w:t>
      </w:r>
      <w:hyperlink r:id="rId957" w:history="1">
        <w:r>
          <w:rPr>
            <w:rFonts w:ascii="arial" w:eastAsia="arial" w:hAnsi="arial" w:cs="arial"/>
            <w:i/>
            <w:color w:val="0077CC"/>
            <w:sz w:val="20"/>
            <w:u w:val="single"/>
            <w:shd w:val="clear" w:color="auto" w:fill="FFFFFF"/>
            <w:lang w:val="en-US" w:eastAsia="en-US" w:bidi="ar-SA"/>
          </w:rPr>
          <w:t>[1995] B.C.J. No. 1293</w:t>
        </w:r>
      </w:hyperlink>
      <w:r>
        <w:rPr>
          <w:rFonts w:ascii="arial" w:eastAsia="arial" w:hAnsi="arial" w:cs="arial"/>
          <w:color w:val="000000"/>
          <w:sz w:val="20"/>
          <w:lang w:val="en-US" w:eastAsia="en-US" w:bidi="ar-SA"/>
        </w:rPr>
        <w:t xml:space="preserve"> (S.C.), the plaintiff was standing at the front of a crowd of people at a bus stop. The evidence was that he was standing very close to the curb, with one foot over the curb and he was struck by the bus when it pulled into the bus stop. The plaintiff was looking away when 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court found that the plaintiff had failed to take reasonable care for his own safety and was primarily at fault for the accident. Liability was apportioned 75% to the plaintiff and 25% to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case at bar, I find that, as between Mr. Heyman and Mr. Cooper, Mr. Heyman bears a greater degree of responsibility for the accident. On the evidence, I have found that Mr. Heyman struck a moving bus after it had left the bus stop. That contact was deliberate and demonstrates a failure on Mr. Heyman's part to take reasonable care for his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Cooper's conduct was also deliberate in the sense that he accelerated away from the bus stop even though he saw Mr. Heyman approaching the bus. Nonetheless, I would characterize that conduct as more of a lapse in judgment in failing to recognize or acknowledge a hazard that presented which, in my view, attracts a lower degree of fault or blameworthiness than the person who created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circumstances, I find that Mr. Heyman was 60% responsible for the accident and Mr. Cooper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Unless there are circumstances that I am not aware of, costs should be apportioned in accordance with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such that Mr. Heyman is entitled to receive 40% of his costs at Scale B from the defendants: </w:t>
      </w:r>
      <w:r>
        <w:rPr>
          <w:rFonts w:ascii="arial" w:eastAsia="arial" w:hAnsi="arial" w:cs="arial"/>
          <w:i/>
          <w:color w:val="000000"/>
          <w:sz w:val="20"/>
          <w:lang w:val="en-US" w:eastAsia="en-US" w:bidi="ar-SA"/>
        </w:rPr>
        <w:t>Whelan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Rimmer v. Township of Langley,</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2007 BCSC 340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026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9"/>
          <w:headerReference w:type="default" r:id="rId960"/>
          <w:footerReference w:type="even" r:id="rId961"/>
          <w:footerReference w:type="default" r:id="rId962"/>
          <w:headerReference w:type="first" r:id="rId963"/>
          <w:footerReference w:type="first" r:id="rId9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5" w:history="1">
        <w:r>
          <w:rPr>
            <w:rFonts w:ascii="arial" w:eastAsia="arial" w:hAnsi="arial" w:cs="arial"/>
            <w:b/>
            <w:bCs/>
            <w:i/>
            <w:color w:val="0077CC"/>
            <w:kern w:val="32"/>
            <w:sz w:val="28"/>
            <w:szCs w:val="32"/>
            <w:u w:val="single"/>
            <w:shd w:val="clear" w:color="auto" w:fill="FFFFFF"/>
            <w:lang w:val="en-US" w:eastAsia="en-US" w:bidi="ar-SA"/>
          </w:rPr>
          <w:t>Matheson v. Fichten, [2012] I.L.R. para. M-2633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September 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M096264</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[2012] I.L.R. para. M-2633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[2012] B.C.J. No. 1936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2012 BCSC 1370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Suzanne Marie Matheson Plaintiff v. Kenneth Fichten, Harmandeep Singh Bahniwal and BMW Canada Inc. Defendants and Insurance Corporation Of British Columbia Third Party</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0" w:name="Keywords_39"/>
      <w:bookmarkEnd w:id="280"/>
      <w:r>
        <w:rPr>
          <w:rFonts w:ascii="arial" w:eastAsia="arial" w:hAnsi="arial" w:cs="arial"/>
          <w:b/>
          <w:color w:val="000000"/>
          <w:sz w:val="20"/>
          <w:lang w:val="en-US" w:eastAsia="en-US" w:bidi="ar-SA"/>
        </w:rPr>
        <w:t xml:space="preserve">Liability — Motor vehicle accident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Reopening trial — Applicants were two of three defendants at trial on liability — Reasons for judgment had been issued but order not yet entered — Defendants conceded they made oversight in not addressing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at trial - - Plaintiff admitted at examination that she has not been wearing seat belt — Defendant's pleadings contained allegation of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Court found it had discretion, after judgment but before order was entered, to reopen trial, but defendants had opportunity at trial to raise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Defendants failed to show miscarriage of justice if trial not reopened — Unfair to plaintiff to reopen trial on liability at this point — Defendants' application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1" w:name="Case Summary_37"/>
            <w:bookmarkEnd w:id="281"/>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sought damages for injuries sustained in a motor vehicle accident. The issues of liability and quantum were severed. The Court issued reasons for judgment on liability on April 23, 2012, after a three-day trial; liability was apportioned 90% to the defendant Fichten and 10% to the defendant Bahniwal. The order had not yet been entered when counsel for the defendants submitted that there had been an oversight and that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have been addressed at trial. In this regard, they produced evidence that at the plaintiff's examination for discovery, she admitted that she had not been wearing a seat belt. The plaintiff did not testify at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2" w:name="Holdings of Court_28"/>
            <w:bookmarkEnd w:id="282"/>
            <w:r>
              <w:rPr>
                <w:rFonts w:ascii="arial" w:eastAsia="arial" w:hAnsi="arial" w:cs="arial"/>
                <w:color w:val="000000"/>
                <w:sz w:val="20"/>
                <w:lang w:val="en-US" w:eastAsia="en-US" w:bidi="ar-SA"/>
              </w:rPr>
              <w:t>HELD: The defendants'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reasons for judgment stated that there was no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but Bahniwal did in fact allege in his pleadings that the plaintiff was contributorily negligent in failing to use her seat belt. The Court found that it had discretion, after the judgment but before an order was entered, to permit reopening a trial. However, the Court found that the defendants had their opportunity at trial to raise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failed to show that there would be a miscarriage of justice if the trial was not reopened. Although the plaintiff had admitted she was not wearing her seat belt, there was no evidence regarding her injuries before the Court that could possibly change the result of the trial. The Court also found that it was likely the trial would have been conducted differently if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been pursued, and it would be unfair to the plaintiff to re-open the trial on liability at this point. The Court noted an additional complication: a different judge would have to hear the matter, as the judge had now retired from the court.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3" w:name="Counsel_41"/>
      <w:bookmarkEnd w:id="2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6"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J-M. Hébert for the plaintiff; E. Lyszkiewicz for the defendants Bahniwal and BMW Canada Inc.; J. Marquardt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4" w:name="Judgment_40"/>
      <w:bookmarkEnd w:id="284"/>
      <w:r>
        <w:pict>
          <v:line id="_x0000_s1227" style="position:absolute;z-index:2518036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on Application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5" w:name="C. LYNN SMITH J."/>
            <w:bookmarkEnd w:id="285"/>
            <w:r>
              <w:rPr>
                <w:rFonts w:ascii="arial" w:eastAsia="arial" w:hAnsi="arial" w:cs="arial"/>
                <w:b/>
                <w:color w:val="000000"/>
                <w:sz w:val="30"/>
                <w:lang w:val="en-US" w:eastAsia="en-US" w:bidi="ar-SA"/>
              </w:rPr>
              <w:t>C. LYNN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claims damages for personal injuries and loss suffered as a result of a motor vehicle accident on September 3, 2009. On February 10, 2012, Master Baker ordered that the issues of liability and quantum be severed for the purposes of trial. Counsel advised that this severance arose in the context of the plaintiff's application for an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 issued Reasons for Judgment on liability (reported at </w:t>
      </w:r>
      <w:hyperlink r:id="rId967" w:history="1">
        <w:r>
          <w:rPr>
            <w:rFonts w:ascii="arial" w:eastAsia="arial" w:hAnsi="arial" w:cs="arial"/>
            <w:i/>
            <w:color w:val="0077CC"/>
            <w:sz w:val="20"/>
            <w:u w:val="single"/>
            <w:shd w:val="clear" w:color="auto" w:fill="FFFFFF"/>
            <w:lang w:val="en-US" w:eastAsia="en-US" w:bidi="ar-SA"/>
          </w:rPr>
          <w:t>2012 BCSC 565</w:t>
        </w:r>
      </w:hyperlink>
      <w:r>
        <w:rPr>
          <w:rFonts w:ascii="arial" w:eastAsia="arial" w:hAnsi="arial" w:cs="arial"/>
          <w:color w:val="000000"/>
          <w:sz w:val="20"/>
          <w:lang w:val="en-US" w:eastAsia="en-US" w:bidi="ar-SA"/>
        </w:rPr>
        <w:t>) on April 23, 2012, after a three-day trial, apportioning liability 90% to the defendant Kenneth Fichten and 10% to the defendant Harmandeep Bahniwal. The Order has not yet been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for the plaintiff and for the defendants Harmandeep Bahniwal and BMW Canada Inc. appeared on September 7, 2012, on an application to settle the terms of the Order and for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Although the Reasons for Judgment state (at para. 5) that there is no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in fact, the defendant Harmandeep Singh Bahniwal did allege in his pleadings that the plaintiff was contributorily negligent in that she failed to use her seat belt or failed to have her head rest properly adjusted.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Further, the defendants produced evidence on the application that at the plaintiff's examination for discovery on November 3, 2011, she admitted that at the time of the accident she was not wearing the lap and shoulder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Despite the pleadings and that admission, the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pursued at the trial. During the three-day trial, neither counsel led any evidence bearing on possible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nor did counsel for either side refer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his submissions. The plaintiff did not testify and her testimony at the examination for discovery was not tendered. There was no medical evidence with respect to her injuries or with respect to the consequences of her having failed to utilize the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Counsel for the defendants conceded that there had been an oversight, and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have been addressed at the trial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Court has discretion, after judgment but before an Order has been entered, to permit re-opening of a trial. In </w:t>
      </w:r>
      <w:r>
        <w:rPr>
          <w:rFonts w:ascii="arial" w:eastAsia="arial" w:hAnsi="arial" w:cs="arial"/>
          <w:i/>
          <w:color w:val="000000"/>
          <w:sz w:val="20"/>
          <w:lang w:val="en-US" w:eastAsia="en-US" w:bidi="ar-SA"/>
        </w:rPr>
        <w:t>Zhu v. Li</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2007 BCSC 1467</w:t>
        </w:r>
      </w:hyperlink>
      <w:r>
        <w:rPr>
          <w:rFonts w:ascii="arial" w:eastAsia="arial" w:hAnsi="arial" w:cs="arial"/>
          <w:color w:val="000000"/>
          <w:sz w:val="20"/>
          <w:lang w:val="en-US" w:eastAsia="en-US" w:bidi="ar-SA"/>
        </w:rPr>
        <w:t xml:space="preserve">, Mr. Justice Ehrcke provided a useful summary of the legal principles governing the exercise of that discretion, at para. 14-20. He referred to the leading cases of </w:t>
      </w:r>
      <w:r>
        <w:rPr>
          <w:rFonts w:ascii="arial" w:eastAsia="arial" w:hAnsi="arial" w:cs="arial"/>
          <w:i/>
          <w:color w:val="000000"/>
          <w:sz w:val="20"/>
          <w:lang w:val="en-US" w:eastAsia="en-US" w:bidi="ar-SA"/>
        </w:rPr>
        <w:t>Clayton v. British American Securities Ltd.</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(1934), 49 B.C.R. 28</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Hodgkinson v. Hodgkinson</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2006 BCCA 158</w:t>
        </w:r>
      </w:hyperlink>
      <w:r>
        <w:rPr>
          <w:rFonts w:ascii="arial" w:eastAsia="arial" w:hAnsi="arial" w:cs="arial"/>
          <w:color w:val="000000"/>
          <w:sz w:val="20"/>
          <w:lang w:val="en-US" w:eastAsia="en-US" w:bidi="ar-SA"/>
        </w:rPr>
        <w:t>, and summarized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cases, I conclude that the following principles apply to an application to re-open a trial to adduce fresh evidence:</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entry of the formal order, a trial judge has a wide discretion to re-open the trial to hear new evidence.</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discretion should be exercised sparingly and with the greatest care so as to prevent fraud and abuse of the court's process.</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applicant to show first that a miscarriage of justice would probably occur if the trial is not re-opened and second that the new evidence would probably change the result.</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the proposed fresh evidence is a relevant consideration in deciding whether its admission would probably change the result.</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question of whether the evidence could have been presented at trial by the exercise of due diligence is not necessarily determinative, it may be an important consideration in deciding whether a miscarriage of justice would probably occur if the trial is not re-opened.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my view, the defendants had their opportunity at the trial to raise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to lead evidence in that regard. They have not satisfied me that there would be a miscarriage of justice if the trial is not re-opened. While the plaintiff has admitted that she was not wearing her seatbelt, there is no material before me to suggest that medical or other evidence regarding her injuries is available that would possibly change the result of the trial. Finally, it is likely that the trial would have been conducted differently if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been pursued, and it would be unfair to the plaintiff to require the trial on liability to be re-opened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An added complication is that although I was the trial judge, I would not be able to hear further evidence, having now retired from the Court; the matter would have to be heard by a different Judge of this Court. However, even without that complication, in the circumstances of this case I would not exercise my discretion to permit the trial to be re-opened in order to hear evidence and submissions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Accordingly, the Order should be entered in the form attached to the affidavit of Yin S. Murray made on August 28,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LYNN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8"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9"/>
          <w:headerReference w:type="default" r:id="rId970"/>
          <w:footerReference w:type="even" r:id="rId971"/>
          <w:footerReference w:type="default" r:id="rId972"/>
          <w:headerReference w:type="first" r:id="rId973"/>
          <w:footerReference w:type="first" r:id="rId9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5" w:history="1">
        <w:r>
          <w:rPr>
            <w:rFonts w:ascii="arial" w:eastAsia="arial" w:hAnsi="arial" w:cs="arial"/>
            <w:b/>
            <w:bCs/>
            <w:i/>
            <w:color w:val="0077CC"/>
            <w:kern w:val="32"/>
            <w:sz w:val="28"/>
            <w:szCs w:val="32"/>
            <w:u w:val="single"/>
            <w:shd w:val="clear" w:color="auto" w:fill="FFFFFF"/>
            <w:lang w:val="en-US" w:eastAsia="en-US" w:bidi="ar-SA"/>
          </w:rPr>
          <w:t>McIntosh v. Insurance Corp. of British Columbia, [2003] B.C.J. No. 1169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Smithers,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9 and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Smithers Registry No. 12179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775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M.V.R. (4th) 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1170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775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Judy Lorraine McIntosh, plaintiff, and Insurance Corporation of British Columbia and Robert Maurer and Judy Maurer,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9"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6" w:name="Keywords_40"/>
      <w:bookmarkEnd w:id="286"/>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 Burden of proof — Animals — On highway — Motor vehicle, standard of care of driver — Driving at night — Motor vehicle, speed — Where reduced speed required — Motor vehicle, evidence and burden of proof — Emergencies or imminent danger — Single vehicle accident — Arising out of loss of control.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7" w:name="Case Summary_38"/>
            <w:bookmarkEnd w:id="2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McIntosh for damages for personal injuries she sustained in an accident in a vehicle driven by Maurer. The parties agreed that a summary trial procedure was appropriate to determine Maurer's liability. Maurer was driving McIntosh and three other passengers in her van on a paved rural two-lane highway shortly after dark. They encountered a wolf standing on the highway. Maurer gently braked, the back end of the van swerved on black ice, and the van skidded off the road, eventually rolling over and coming to a stop. The evidence indicated that Maurer was travelling at 90 kilometres per hour, which was below the posted speed limit of 100 kilometres per hour. They had not encountered any snow or ice on the road in the previous 170 kilometres. They had not seen any other animals on the road, and there were no signs posted warning of animals on the road. McIntosh argued that the accident gave rise to an inference that Maurer was driving too fast under the circumstances,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8" w:name="Holdings of Court_29"/>
            <w:bookmarkEnd w:id="28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presence of black ice caused the vehicle to skid and caused Maurer to lose control of the vehicle. She was keeping a proper lookout and was not travelling too fast for the conditions. The evidence proved only that Maurer was aware of a possibility that she might encounter slippery sections or an animal. She was exercising a degree of care that was commensurate with the risk that would have been apparent to an objectively reasonable driver. Maurer succeeded in rebutting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showing that there was at least an equal probability that a reasonable driver would have been driving at 90 kilometres per hour in the circumstances. Even assuming that a reasonable driver would have been proceeding more slowly, there was at least an equal probability that the accident would have occurred in any event. The facts established an explanation for the accident that was equally 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inference sought by McIntosh could not be drawn.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9" w:name="Legislation Cited_26"/>
      <w:bookmarkEnd w:id="2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0"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0" w:name="Counsel_42"/>
      <w:bookmarkEnd w:id="29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1"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Zak, for plaintiff. J.L. Perry, for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1" w:name="Judgment_41"/>
      <w:bookmarkEnd w:id="291"/>
      <w:r>
        <w:pict>
          <v:line id="_x0000_s1232" style="position:absolute;z-index:25185382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August 26, 2003.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2" w:name="HALFYARD J."/>
            <w:bookmarkEnd w:id="292"/>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by Judy Lorraine McIntosh for damages for personal injuries allegedly sustained by the plaintiff as a result of the negligent operation of a motor vehicle by the defendant Judy Maurer. The accident from which the lawsuit arose was a single vehicle accident which occurred on November 26, 1999 on Highway 16, approximately 30 kilometres east of Terrace,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have applied for an order that the issue of liability be severed and tried separately from the issue of damages and, if that order be granted, for an order that the issue of liability be tried summarily under Rule 18A. The defendant seeks an order dismissing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does not object to severance of the issue of liability, or to the summary trial procedure, and seeks judgement in her favour on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my opinion, there is no significant issue of the credibility of witnesses. The dispute relates mainly to the inferences that should or should not be drawn from the facts asserted in the evidence. I conclude that I am able to find the facts necessary to decide the issues of fact and law, and that it would not be unjust to decide the issue of liability by way of summary trial. Accordingly, I order that the issue of liability be tried before the issue of damages, and I find that the issue of liability is suitable for determination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the Insurance Corporation of British Columbia was sued as a defendant, no cause of action is alleged against it. With the consent of the plaintiff, I order that the action be dismissed as against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essential facts of the accident are not seriously disputed, and I find them to be as follows: On November 26, 1999, the defendant Judy Maurer was driving a 1992 Dodge Caravan in a westerly direction on Highway 16, between Smithers and Terrace. The plaintiff was riding in the front passenger seat. Norma Johnson was sitting in the seat behind the plaintiff, and Leslie Bush was seated behind the defendant. The women were travelling together, and had departed from Smithers at about 3:30 p.m., bound for Terrace. They intended to participate in a meeting related to Girl Guides later that evening, stay overnight in Terrace, and return to Smithers the following day. They had made this trip together many times before, with the defendant driving, in both summer and winter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approximately 5:30 p.m., when it was dark, and when they were at a location about 30 kilometres east of Terrace, they encountered a wolf standing on the highway, some distance ahead of the van, near the centre of the road. Some part of the wolf was in the defendant's lane. There was no oncoming traffic. The defendant took her foot off the gas pedal, and pumped the brakes lightly. The exact sequence of events after this is in dispute to some extent. But very soon after the defendant applied the brakes, the back end of the van began to move toward the centre line, and across it. That movement was caused by the tires sliding on black ice on the surface of the roadway. The defendant lost control of the vehicle, and the back end continued to move around and forward, as the van slid westward, until the front end was facing back towards Smithers. The van then travelled off the highway on the north side, and rolled over, before coming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and Norma Johnson were injured. The defendant and Leslie Bush were shaken up and perhaps bruised. Passing motorists stopped to help, and eventually an ambulance and the R.C.M.P. came to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alleges that the occurrence of this accident gives rise to the inference that the defendant was negligent in driving at a speed that was excessive in the circumstances that existed, and that the accident was caused by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accept that the law requires them to advance an explanation for the occurrence of the accident which is as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it is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say they have established such an explanation, whereas the plaintiff says they have not. Therein lies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considerable body of evidence was presented by the parties. The evidence relied on by the plaintiff included the following:</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of the plaintiff sworn April 3, 2003;</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Selected parts of the testimony given by the defendant Judy Maurer on her examination for discovery on March 4, 2003;</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booklet of photographs of Highway 16, including photographs in the area where the accident occurred;</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reports of Harvey West, Professional Engineer, dated March 14, 2003, and March 27, 2003; and</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Viva voce evidence of the defendant Judy Maurer given in cross-examination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relied on by the defendants included the following:</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affidavits of the defendant Judy Maurer sworn January 9, 2003, and April 2, 2003;</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Selected parts of the testimony given by the plaintiff on her examination for discovery on March 4, 2003;</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report of Kurt Ising, Professional Engineer, dated April 1, 2003;</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affidavits of Norma Johnson sworn October 22, 2002 and April 3, 2003;</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of Leslie Bush sworn October 9, 2002;</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booklet of photographs previously referred to;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Viva voce evidence of the plaintiff given at the hearing, in cross-examination on her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affidavit evidence incorporated statements which had been given to ICBC by all occupants of the defendant's van, on the following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Judy Maurer</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29, 1999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Judy McIntosh</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November 30, 1999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(signed January 14, 2000)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Norma Johnson</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 2 (or 22), 1999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(signed December 22, 1999)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Leslie Bush</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11, 2002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expert opinion evidence, while helpful in some respects, is of limited assistance because there was insufficient evidence to enable any meaningful accident reconstruction by the experts. The distance between the van and the wolf when the wolf was first seen by the defendant, and the time it took the van to reach it, are unknown. Moreover, the headlights on the defendant's van were not tested so as to permit an opinion as to the distance at which those headlights would make a wolf visible to a driver in circumstances similar to those prevailing at the time of this accident. The expert evidence does indicate that some objects on a roadway, might have become visible at a distance of 100 metres. In this case, if the wolf became visible to the defendant at a distance of 100 metres, then it would have taken the van 4 seconds to travel to the wolf's location at a speed of 90 kph, and 4.5 seconds at a speed of 80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make the following further findings of fact, which again were not really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Highway 16 is a paved two-lane highway which runs in a general east-west direction across British Columbia from Prince Rupert on the west coast, to the Alberta border and beyond. The highway runs between Terrace and Smithers, which is a distance in excess of 200 kilometres, and takes approximately 2 1/2 hours driving time. At the place where the accident occurred, there were two lanes for vehicle traffic, and the shoulders were paved. The width of the paved shoulder to the right of the westbound lane appears to be about 5 or 6 feet outside the painted line which defines the right side of the westbound lane. The highway is fairly level. There is a gentle curve to the left, as westbound motorists approach the location where the wolf was standing. That precise location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area where the accident occurred is a rural area. There are trees on both sides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posted speed limit in the area where the accident occurred is 100 kph. There were no signs posted between New Hazelton (which is approximately 70 km or so west of Smithers) and Terrace, which cautioned motorists to keep a lookout for wildlife.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did not rain or snow at any time during the trip. There was no snow on the road surface, including the shoulders, but there was some snow on the ground in the areas off the roadway. The evidence does not disclose whether the temperature was above or below freezing.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vehicle was in reasonably good mechanical condition, and was equipped with snow tires that were in reasonably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Before reaching the accident scene, the defendant had generally been driving at speeds between 90 and 100 kph, but mainly at about 90 kph. Traffic was light, and when there was no oncoming traffic, the defendant used her high-beam headlights, and had them on at the time she encountered the wolf.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did not see or feel any ice on the highway in the more than 170 kilometres she had driven before reaching the accident location, nor was any ice seen or felt by any other occupant of the defendant's vehicle. They saw no sand trucks, or any other indication that there were slippery sections on the highway. No one in the van saw any animal on or adjacent to the highway, before they saw the wolf.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were several issues of fact raised in the evidence and argument. The first issue is the speed at which the defendant was driving, at the time she saw the wolf. The defendant told the ICBC claims adjuster on November 29, 1999, that she was trying to keep her speed at 90 kph, and in her affidavit sworn January 9, 2003, she said that her statement was true. The defendant also testified on her examination for discovery that her speed was 90 kph. However, in her affidavit sworn April 2, 2003, the defendant said she had a habit of driving at 80 kph "in the winter or in the dark". But she acknowledged that she did not know what her exact speed was when she encountered the wolf.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her statement to the ICBC claims adjuster signed December 22, 1999, Norma Johnson stated that she had looked at the speedometer in the van "just a few minutes before" the accident happened, and the defendant was driving at 80 kph. Then in her second affidavit sworn April 3, 2003, Norma Johnson said this: "I distinctly recall looking at the speedometer just before we went around the corner and saw the wolf and it said 80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Leslie Bush did not see the wolf, and did not know what their speed was, but was not concerned about it. The plaintiff saw the wolf at the same time as the defendant, but she did not know how fast they were travelling. She accepted that the speed was likely about 90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on the balance of probabilities that the defendant was driving at about 90 kph when she encountered the wolf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second issue was the distance between the van and the wolf, when the defendant first saw the wolf (and therefore, the time available to the defendant to react and take avoiding action). None of the witnesses was able to estimate that distance. As to the time available, the defendant said she had only a second or a split second, whereas the plaintiff thought she had several seconds to react, and then get past the wolf. I have already mentioned the general evidence given by the experts in connection with this issue. On the whole of the evidence, I find on the balance of probabilities that the distance in question was between 60 metres and 100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an issue of fact about how this accident happened, which I must now consider. It is undisputed, and I have found as a fact, that it was the presence of black ice on the highway which caused the defendant's vehicle to skid, and which caused her to lose control of the vehicle. But the issue which arises from the evidence, as I see it, is whether it was the defendant's application of the brakes upon seeing the wolf, or the defendant's steering back into the westbound lane after having passed the wolf, which caused the skid to occur. The decision of this issue requires an assessment of the evidence given by all of the witnesses, in describing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Judy Maurer gave the first written statement concerning the accident. I extract the following description she gave in her statement to the ICBC adjuster on November 29, 1999: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was a wolf standing still on the road on my side. I think I was on a bit of a corner because there was no advance warning of the wolf's presence. I had been watching the sides of the road for the reflection of my lights off the eyes of any wildlife. The first indication the wolf was on the road was when the headlights on the van picked it up. At that time I braked. I don't think there was any immediate oncoming traffic. The back of the van swung out toward the middle of the road while I was braking, and the next thing I knew we were facing down the bank into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gave her statement to the claims adjuster on November 30, 1999, and her statement included this description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we turned the corner there was a wolf straddling the sort of in our lane but his back legs were kinda on the centre line so there was enough room to just kinda veer off a little bit on to the shoulder or just veer off to the very end of our lane and pass him cause he wasn't moving he was stunned so we did that and ah I saw Judy's leg go up and down a couple of times just testing the brake. You just lift your leg up and try the brake and try it again and it it seemed a little bit slippery or something something didn't seem right but um as we were coming back or as we passed the wolf I don't think we had hit it as we had passed the wolf the back end of the van turned into the middle of the road turning us around and I think that's when we went on our side and then we kept skidding around so that we faced Smithers so that we faced west again and that's when I believe we rolled down the embankment... I don't think we hit that wolf."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her statement to the ICBC adjuster on December 2, 1999, Norma Johnson described the accident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were travelling in a van to Terrace and um it was dark and we had come around a corner in the dark and as soon as we had come around the corner there was a big grey wolf standing in our path. Judy Maurer who was driving the van um lightly braked to avoid the wolf and we must of hit black ice because all of a sudden we started going over the bank. Um there was a lot of crashing and banging going on and I don't remember a lot of what was going on except that there was a lot of um motion and banging and the next thing I remember was that one of the other passengers Leslie told me that I was hanging from my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Leslie Bush was apparently not asked to provide a statement to ICBC until more than two and one-half years after the accident. In her statement of July 11, 2002, she described the accident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were driving toward Terrace. We had just come off of a spot that had a rock wall then down to the river. We had come around a gentle corner. Judy all the sudden touched the brakes and moved into the oncoming lane. As she moved into the oncoming lane the back end of the van broke away as we were going over the centre line. We turned around 180 and came back into our lane facing the other way. We went off the highway and rolled off the highway.... I didn't know until after the fact why Judy had braked. Then everyone else said there had been a wolf on the road. When Judy hit the brakes it was not that she hammered the brakes and then it was a smooth move over into the oncoming lane. I know my side of the van was in the oncoming lane of travel before the back end broke away, but I don't know whether we were fully in the oncoming lane before that happened.... I know she corrected when the back of the van broke away. She corrected, braked, corrected and braked. She kept the van upright as long as possible and steered down the embankment to prevent us rolling front to back. It could have been a lot worse in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Each of the four witnesses has sworn that her statement to the ICBC claims adjuster was true. The plaintiff's confirmation of her statement was given in questions 113 to 118 of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However, in her affidavit sworn April 3, 2003, the plaintiff gave a different version of how the accident happened. Paragraph 17 of her affidavit reads in this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Once the wolf was spotted I recall the accident unfolded as follows: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driver pumped her brakes;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then veered the van slightly to our right and on to the paved shoulder of the highway;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then passed the wolf while the van was straddling our lane and the paved shoulder;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then started to turn the van back into our lane of travel - there were no oncoming vehicles to impede this manoeuvre;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back end of the van then started to swing to the left and into the oncoming lane - it was apparent that the road was slippery due to icy conditions;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lost control completely and the van ended up tipped over in our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Leaving aside the plaintiff's recent affidavit evidence, the statements given to ICBC by all four witnesses are consistent with the skidding of the vehicle on black ice being caused by the application of the brakes by the defendant. However, in her recent affidavit evidence, the plaintiff says, in effect, that the defendant's initial application of the brakes had nothing whatever to do with the loss of control. She says that the loss of control occurred after the defendant had moved over partly onto the right shoulder to pass the wolf, and when she started to steer (or while she was steering) the van back fully into the westbound lane. In her examination for discovery, the plaintiff described that steering manoeuvre to be a gradual one (see questions 176 - 181).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am not persuaded that the defendant lost control of her vehicle in the manner now alleged by the plaintiff. It seems improbable to me that the plaintiff could now reconstruct the events of the accident with such professed certainty, when she was not even sure they had not hit the wolf, a few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the defendant lost control as the result of a skid that began during her application of the brakes after she first saw the wolf. I find it likely that the back end of the van began to skid to the left before the van reached the wolf's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has raised the issue that the defendant may have panicked and become unable to deal with the situation, when she saw the wolf. This allegation is based on the defendant's own evidence, to the effect that after she saw the wolf and pumped her brakes lightly, she has no recollection of what she did, or what motions the vehicle made until they were going down into the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discovery, the defendant testified she did not know whether or not: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wolf was straddling the centre line;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steered to the right to pass the wolf;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steered to her left after passing the wolf;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loss of control began with the back end of the vehicle sliding towards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(See Questions 237; 241-242; 252; 253-254; 271)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addition, in paragraph 9 of her affidavit sworn April 2, 2003, the defendant said, in part: "I did feel I gave up control of the situation." At the hearing, Mr. Perry noticed this and, believing it to be a typing error that had been missed by both him and Ms. Maurer, sought leave to call her to testify and correct the error. I permitted this, and she testified that she meant to say: "I did not feel I gave up control of the situation." However, on cross-examination, Ms. Maurer said she did not know if she gave up control or not. She said she was relying on what the other occupants of the van told her she did, in saying that she did not feel that she gave up control of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in her statement to the ICBC adjuster, in referring to her assessment of the defendant's driving in response to the presence of the wolf on the highway, said "... she did the right thing. There was no panic. She had the sense about her to try the brake softly a couple of times and she just did the right thing." However, in her affidavit sworn April 3, 2003, the plaintiff sought to confine her favourable opinion of the defendant's driving, to the point where the van had passed by the wolf. The plaintiff repeated that evidence on her cross-examination during the hearing. She also said she didn't know what the defendant had done to cause her to lose control, after they passed the wolf, and she speculated that the defendant may have applied the brakes too hard, or steered too sharply, or hit the gas pedal.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findings I have made as to how and when the skid occurred, virtually eliminate the argument that the defendant "panicked" or "gave up control of the situation", during a series of driving manoeuvres that allegedly occurred as they approached, and after they had passed by the wolf without incident. All of the events happened within a matter of seconds, and I do not think there is any significant gap in the defendant's recollection of these events. When the plaintiff's version of events was put to her on discovery, the defendant said she was unable to deny them. But in my view, she was equally unable to accept them as being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law requires the plaintiff to prove on a balance of probabilities that the defendant was negligent,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in which the plaintiff was injured. It is not seriously contended that the defendant was not keeping a proper lookout, or that she should have seen the wolf before she did see it, or that she ought to have seen the black ice on the roadway, before her vehicle began to skid. The case for the plaintiff, as I understand it, is that the defendant was driving her motor vehicle on a highway at a speed that was excessive relative to the road and weather conditions of which she was (or ought to have been) aware. It is argued that the defendant ought to have known there was a significant risk that black ice would be present on the highway in the area where the accident occurred. It is further contended that the defendant ought to have known there was a significant risk that an animal of some kind might be on the roadway in that particular area. The argument proceeds that, had the defendant known what she should have known, she (like an objectively reasonable driver) would have reduced her speed more than just 10 kph below the speed limit, and if she had done so, she would have been able to avoid the accident which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On behalf of the plaintiff, Mr. Zak referred me to many authorities in support of his submission that the facts relating to the accident raised the inference that the accident was caused by driving at an excessive speed, and that the defendant had failed to rebut that inference. Counsel relied heavily on the statements made by the court of appeal in Redlack v. Vekved </w:t>
      </w:r>
      <w:hyperlink r:id="rId890" w:history="1">
        <w:r>
          <w:rPr>
            <w:rFonts w:ascii="arial" w:eastAsia="arial" w:hAnsi="arial" w:cs="arial"/>
            <w:i/>
            <w:color w:val="0077CC"/>
            <w:sz w:val="20"/>
            <w:u w:val="single"/>
            <w:shd w:val="clear" w:color="auto" w:fill="FFFFFF"/>
            <w:lang w:val="en-US" w:eastAsia="en-US" w:bidi="ar-SA"/>
          </w:rPr>
          <w:t>[1996] B.C.J. No. 3040</w:t>
        </w:r>
      </w:hyperlink>
      <w:r>
        <w:rPr>
          <w:rFonts w:ascii="arial" w:eastAsia="arial" w:hAnsi="arial" w:cs="arial"/>
          <w:color w:val="000000"/>
          <w:sz w:val="20"/>
          <w:lang w:val="en-US" w:eastAsia="en-US" w:bidi="ar-SA"/>
        </w:rPr>
        <w:t xml:space="preserve"> (October 15,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the Redlack case, the defendant driver had lost control of her motor vehicle while driving in winter conditions on Highway 97 near Prince George, on a long downhill grade. There was black ice on the road, which caused the defendant to lose control of the vehicle, and it went off the road, injuring the plaintiff. The trial judge found that "there were slippery spots along the stretch of highway she had traversed prior to the crash", but concluded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not been proved, and dismissed the action. From the case authority he cited (Phillips v. Lyle </w:t>
      </w:r>
      <w:hyperlink r:id="rId976" w:history="1">
        <w:r>
          <w:rPr>
            <w:rFonts w:ascii="arial" w:eastAsia="arial" w:hAnsi="arial" w:cs="arial"/>
            <w:i/>
            <w:color w:val="0077CC"/>
            <w:sz w:val="20"/>
            <w:u w:val="single"/>
            <w:shd w:val="clear" w:color="auto" w:fill="FFFFFF"/>
            <w:lang w:val="en-US" w:eastAsia="en-US" w:bidi="ar-SA"/>
          </w:rPr>
          <w:t>[1990] B.C.J. No. 212</w:t>
        </w:r>
      </w:hyperlink>
      <w:r>
        <w:rPr>
          <w:rFonts w:ascii="arial" w:eastAsia="arial" w:hAnsi="arial" w:cs="arial"/>
          <w:color w:val="000000"/>
          <w:sz w:val="20"/>
          <w:lang w:val="en-US" w:eastAsia="en-US" w:bidi="ar-SA"/>
        </w:rPr>
        <w:t>), it is apparent that the trial judge found that the defendant had "no reason to anticipate that there would be ice at that particular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court of appeal held that the trial judge had erred in concluding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not been proved. The court stated that the facts of the accident raised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the defendant had failed to rebut that inference. Speaking for the court, Southin, J.A. said this at paragraph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motor vehicle goes off the road or into the oncoming line of traffic, there arises a prima facie case that the driver was negligent which the driver must rebut. See Hackman v. Vecchio </w:t>
      </w:r>
      <w:hyperlink r:id="rId889" w:history="1">
        <w:r>
          <w:rPr>
            <w:rFonts w:ascii="arial" w:eastAsia="arial" w:hAnsi="arial" w:cs="arial"/>
            <w:i/>
            <w:color w:val="0077CC"/>
            <w:sz w:val="20"/>
            <w:u w:val="single"/>
            <w:shd w:val="clear" w:color="auto" w:fill="FFFFFF"/>
            <w:lang w:val="en-US" w:eastAsia="en-US" w:bidi="ar-SA"/>
          </w:rPr>
          <w:t>(1969), 4 D.L.R. (3d) 444</w:t>
        </w:r>
      </w:hyperlink>
      <w:r>
        <w:rPr>
          <w:rFonts w:ascii="arial" w:eastAsia="arial" w:hAnsi="arial" w:cs="arial"/>
          <w:color w:val="000000"/>
          <w:sz w:val="20"/>
          <w:lang w:val="en-US" w:eastAsia="en-US" w:bidi="ar-SA"/>
        </w:rPr>
        <w:t xml:space="preserve"> (B.C.C.A.) ... Savinkoff v. Seggewiss, </w:t>
      </w:r>
      <w:hyperlink r:id="rId977" w:history="1">
        <w:r>
          <w:rPr>
            <w:rFonts w:ascii="arial" w:eastAsia="arial" w:hAnsi="arial" w:cs="arial"/>
            <w:i/>
            <w:color w:val="0077CC"/>
            <w:sz w:val="20"/>
            <w:u w:val="single"/>
            <w:shd w:val="clear" w:color="auto" w:fill="FFFFFF"/>
            <w:lang w:val="en-US" w:eastAsia="en-US" w:bidi="ar-SA"/>
          </w:rPr>
          <w:t>[1996] B.C.J. No. 1328</w:t>
        </w:r>
      </w:hyperlink>
      <w:r>
        <w:rPr>
          <w:rFonts w:ascii="arial" w:eastAsia="arial" w:hAnsi="arial" w:cs="arial"/>
          <w:color w:val="000000"/>
          <w:sz w:val="20"/>
          <w:lang w:val="en-US" w:eastAsia="en-US" w:bidi="ar-SA"/>
        </w:rPr>
        <w:t xml:space="preserve"> ... and Gauthier &amp; Co. v. The King, </w:t>
      </w:r>
      <w:hyperlink r:id="rId978" w:history="1">
        <w:r>
          <w:rPr>
            <w:rFonts w:ascii="arial" w:eastAsia="arial" w:hAnsi="arial" w:cs="arial"/>
            <w:i/>
            <w:color w:val="0077CC"/>
            <w:sz w:val="20"/>
            <w:u w:val="single"/>
            <w:shd w:val="clear" w:color="auto" w:fill="FFFFFF"/>
            <w:lang w:val="en-US" w:eastAsia="en-US" w:bidi="ar-SA"/>
          </w:rPr>
          <w:t>[1945] 2 D.L.R. 48</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my opinion, the court of appeal implicitly held that the proper inference to be drawn was that the defendant driver ought reasonably to have foreseen the risk that the particular stretch of highway would be icy. And since the defendant could not innocently explain why her vehicle skidded on the ice, the inference that excessive speed was the cause, had not been rebutted. Simply to prove that loss of control was caused by a skid, and that the skid was caused by ice on the roadway, without more, would not be a sufficient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Hackman v. Vecchio </w:t>
      </w:r>
      <w:hyperlink r:id="rId889" w:history="1">
        <w:r>
          <w:rPr>
            <w:rFonts w:ascii="arial" w:eastAsia="arial" w:hAnsi="arial" w:cs="arial"/>
            <w:i/>
            <w:color w:val="0077CC"/>
            <w:sz w:val="20"/>
            <w:u w:val="single"/>
            <w:shd w:val="clear" w:color="auto" w:fill="FFFFFF"/>
            <w:lang w:val="en-US" w:eastAsia="en-US" w:bidi="ar-SA"/>
          </w:rPr>
          <w:t>(1969), 4 D.L.R. (3d) 444</w:t>
        </w:r>
      </w:hyperlink>
      <w:r>
        <w:rPr>
          <w:rFonts w:ascii="arial" w:eastAsia="arial" w:hAnsi="arial" w:cs="arial"/>
          <w:color w:val="000000"/>
          <w:sz w:val="20"/>
          <w:lang w:val="en-US" w:eastAsia="en-US" w:bidi="ar-SA"/>
        </w:rPr>
        <w:t>, the court of appeal described the nature of the explanation that a defendant driver must provide. In that case, the defendant had lost control of his car on a downhill grade in the city of Vancouver, and slid across the centre line into the path of an oncoming vehicle, when the road was covered with slush. At pp 447 - 448, Davey, C.J.B.C.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jury should have been told ... that the collision of respondent's car with the truck on the wrong side of the road as a result of the skid was evidence that the respondent was careless, unless he could explain </w:t>
      </w:r>
      <w:r>
        <w:rPr>
          <w:rFonts w:ascii="arial" w:eastAsia="arial" w:hAnsi="arial" w:cs="arial"/>
          <w:color w:val="000000"/>
          <w:sz w:val="20"/>
          <w:u w:val="single"/>
          <w:lang w:val="en-US" w:eastAsia="en-US" w:bidi="ar-SA"/>
        </w:rPr>
        <w:t>the skid</w:t>
      </w:r>
      <w:r>
        <w:rPr>
          <w:rFonts w:ascii="arial" w:eastAsia="arial" w:hAnsi="arial" w:cs="arial"/>
          <w:color w:val="000000"/>
          <w:sz w:val="20"/>
          <w:lang w:val="en-US" w:eastAsia="en-US" w:bidi="ar-SA"/>
        </w:rPr>
        <w:t xml:space="preserve"> reasonably by showing how it may have happened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but in order to do that respondent would be obliged to show that </w:t>
      </w:r>
      <w:r>
        <w:rPr>
          <w:rFonts w:ascii="arial" w:eastAsia="arial" w:hAnsi="arial" w:cs="arial"/>
          <w:color w:val="000000"/>
          <w:sz w:val="20"/>
          <w:u w:val="single"/>
          <w:lang w:val="en-US" w:eastAsia="en-US" w:bidi="ar-SA"/>
        </w:rPr>
        <w:t>he did not expect ice at that point, and that he had no reason to expect it</w:t>
      </w:r>
      <w:r>
        <w:rPr>
          <w:rFonts w:ascii="arial" w:eastAsia="arial" w:hAnsi="arial" w:cs="arial"/>
          <w:color w:val="000000"/>
          <w:sz w:val="20"/>
          <w:lang w:val="en-US" w:eastAsia="en-US" w:bidi="ar-SA"/>
        </w:rPr>
        <w:t>, for if he ought to have foreseen it he was bound to drive slowly enough to avoid skidding upon it." (Citations of authorities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short, the respondent's evidence did not provide any explanation of how his car may have skidded without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He did not know what caused his car to skid; he considered his speed of 25 to 30 mph at that point safe under the prevailing conditions. It is clear that he was simply driving too fast to keep control of the car </w:t>
      </w:r>
      <w:r>
        <w:rPr>
          <w:rFonts w:ascii="arial" w:eastAsia="arial" w:hAnsi="arial" w:cs="arial"/>
          <w:color w:val="000000"/>
          <w:sz w:val="20"/>
          <w:u w:val="single"/>
          <w:lang w:val="en-US" w:eastAsia="en-US" w:bidi="ar-SA"/>
        </w:rPr>
        <w:t>on the ice that he ought to have expected</w:t>
      </w:r>
      <w:r>
        <w:rPr>
          <w:rFonts w:ascii="arial" w:eastAsia="arial" w:hAnsi="arial" w:cs="arial"/>
          <w:color w:val="000000"/>
          <w:sz w:val="20"/>
          <w:lang w:val="en-US" w:eastAsia="en-US" w:bidi="ar-SA"/>
        </w:rPr>
        <w:t>." (The underlining 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may be that the rule set out by the court of appeal at paragraph 17 of Redlack v. Vekved is stated too broadly. See Fontaine v. British Columbia </w:t>
      </w:r>
      <w:hyperlink r:id="rId979" w:history="1">
        <w:r>
          <w:rPr>
            <w:rFonts w:ascii="arial" w:eastAsia="arial" w:hAnsi="arial" w:cs="arial"/>
            <w:i/>
            <w:color w:val="0077CC"/>
            <w:sz w:val="20"/>
            <w:u w:val="single"/>
            <w:shd w:val="clear" w:color="auto" w:fill="FFFFFF"/>
            <w:lang w:val="en-US" w:eastAsia="en-US" w:bidi="ar-SA"/>
          </w:rPr>
          <w:t>(1997), 46 B.C.L.R. (3d) 1</w:t>
        </w:r>
      </w:hyperlink>
      <w:r>
        <w:rPr>
          <w:rFonts w:ascii="arial" w:eastAsia="arial" w:hAnsi="arial" w:cs="arial"/>
          <w:color w:val="000000"/>
          <w:sz w:val="20"/>
          <w:lang w:val="en-US" w:eastAsia="en-US" w:bidi="ar-SA"/>
        </w:rPr>
        <w:t xml:space="preserve"> (S.C.C.) per Major, J. at paragraphs 20 and 35. However, that potential anomaly in the law does not affect the present case, because it is common ground that an innocent explanation is called for. I think Mr. Perry was right in conceding that the facts of this accident, if not otherwise explained, could yield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It is my opinion that, in order to succeed in rebutting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the defendant must show that she could not reasonably have foreseen a significant risk that black ice would be present on the highway in the area where the accident occurred. I do not mean that she has to prove on a balance of probabilities that a reasonably skilled driver exercising reasonable care would not have foreseen a significant risk of black ice, in the same circumstances. However, I think the defendant must prove that fact to a 50% probability of truth. In other words, the defendant must establish that the probabilities that an objectively reasonable driver would not have foreseen a significant risk of black ice being at the accident location, are equal to the probabilities that a reasonable driver would have foreseen such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To the extent that the plaintiff alleges that the defendant ought to have foreseen the risk that an animal of some kind might be on the roadway at the location where the accident occurred, the same reasoning applies,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Zak maintained, in effect, that the admissions made by the defendant on her examination for discovery were sufficient to justify a finding against her on this issue. He referred me to various portions of the evidence in support of this submission. However, in my opinion, this evidence proves only that the defendant knew there was a possibility that she might encounter slippery sections or an animal on the highway, on the last part of the trip between Smithers and Terrace and that she was keeping a lookout for these two possible risks. (For example, see questions 191 - 193 of the defendant's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my view, it must be remembered that the defendant had not seen or felt any slippery sections, and had not seen an animal of any kind on or near the road, in the 170 kilometres or so that she had driven up to the point where the accident occurred. Nor had there been any noticeable change in weather or road conditions throughout that distance. In my opinion, the defendant was exercising a degree of care that was commensurate with the risk that would have been apparent to an objectively reasonable driver. I think Mr. Zak is contending for a standard of care which is higher than the law requires. In this regard, see Rajacich v. Potter et al </w:t>
      </w:r>
      <w:hyperlink r:id="rId895" w:history="1">
        <w:r>
          <w:rPr>
            <w:rFonts w:ascii="arial" w:eastAsia="arial" w:hAnsi="arial" w:cs="arial"/>
            <w:i/>
            <w:color w:val="0077CC"/>
            <w:sz w:val="20"/>
            <w:u w:val="single"/>
            <w:shd w:val="clear" w:color="auto" w:fill="FFFFFF"/>
            <w:lang w:val="en-US" w:eastAsia="en-US" w:bidi="ar-SA"/>
          </w:rPr>
          <w:t>(1976), 21 B.C.L.R. (2d) 314</w:t>
        </w:r>
      </w:hyperlink>
      <w:r>
        <w:rPr>
          <w:rFonts w:ascii="arial" w:eastAsia="arial" w:hAnsi="arial" w:cs="arial"/>
          <w:color w:val="000000"/>
          <w:sz w:val="20"/>
          <w:lang w:val="en-US" w:eastAsia="en-US" w:bidi="ar-SA"/>
        </w:rPr>
        <w:t xml:space="preserve"> (B.C.C.A.) per McFarlane,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satisfied that there is at least an equal probability that a reasonable driver would have been driving at 90 kph in the circumstances that prevailed.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Even if I had found that driving at 90 kph was negligent in the circumstances, I would have further found that causation had not been proved. In my opinion, even assuming that a reasonable driver would have been proceeding at 75 or 80 kph in the circumstances, I find there is at least an equal probability that the accident would have occurred in any event. The defendant applied her brakes lightly, on a stretch of highway that was straight and level, in proper response to the appearance of a wolf on the roadway. I see nothing in the evidence that could lead to the conclusion that if a reasonable driver was travelling at 75 or 80 kph, and applied the brakes lightly on seeing the wolf, the vehicle would not have skidded on the black ice and gone out of control. Nor is there anything in the evidence to suggest that a reasonable driver, having lost control at that speed, would have regained control and prevented the vehicle from going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the result, I find that the proven facts establish an explanation for the accident which is equally 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inference sought by the plaintiff therefore cannot be drawn. The onus of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remains with the plaintiff, and that onus has not been met. Accordingly, the plaintiff's case fails, and the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appears to be no reason why costs should not follow the event. However, no specific submissions were made as to costs, and if the parties cannot settle that issue,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26,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dated May 16,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It has been brought to my attention since signing the Reasons for Judgment on May 16, 2003, that the date of hearing was incomplete. The dates of hearing were April 9 and 10,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The Reasons for Judgment are hereby amended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3"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0"/>
          <w:headerReference w:type="default" r:id="rId981"/>
          <w:footerReference w:type="even" r:id="rId982"/>
          <w:footerReference w:type="default" r:id="rId983"/>
          <w:headerReference w:type="first" r:id="rId984"/>
          <w:footerReference w:type="first" r:id="rId9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6" w:history="1">
        <w:r>
          <w:rPr>
            <w:rFonts w:ascii="arial" w:eastAsia="arial" w:hAnsi="arial" w:cs="arial"/>
            <w:b/>
            <w:bCs/>
            <w:i/>
            <w:color w:val="0077CC"/>
            <w:kern w:val="32"/>
            <w:sz w:val="28"/>
            <w:szCs w:val="32"/>
            <w:u w:val="single"/>
            <w:shd w:val="clear" w:color="auto" w:fill="FFFFFF"/>
            <w:lang w:val="en-US" w:eastAsia="en-US" w:bidi="ar-SA"/>
          </w:rPr>
          <w:t>Peters v. Bird, [2020] B.C.J. No. 169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L.W. Bernard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25-29, April 1-5, May 29,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5,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M163531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130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Patricia Anne Peters, Plaintiff, and Insurance Corporation of British Columbia, Glen Bird and T. Clark &amp; Son Trucking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4"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3" w:name="Keywords_41"/>
      <w:bookmarkEnd w:id="29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Pedestrians — Action by plaintiff for damages for personal injuries sustained in motor vehicle accident in 2013 allowed — Plaintiff, pedestrian, was struck by motor vehicle — Driver left scene without stopping — There were no independent witnesses — Plaintiff had no recollection of accident — Defendant Bird's former girlfriend testified that Bird told her he had killed man while driving logging truck — Plaintiff had established Bird was driver of vehicle that struck her — Bird breached duty of care by speeding and failing to keep proper lookout — Bird and truck owner were 75 per cent liable for plaintiff's damages — Motor Vehicle Act, s. 181.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Care and control of vehicle — Proper lookout — Crossing road — Pedestrians — Speed limits — Rate of speed — Liability — Civil actions — Breach of rules of the road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for personal injuries sustained in motor vehicle accident in 2013 allowed — Plaintiff, pedestrian, was struck by motor vehicle — Driver left scene without stopping — There were no independent witnesses — Plaintiff had no recollection of accident — Defendant Bird's former girlfriend testified that Bird told her he had killed man while driving logging truck — Plaintiff had established Bird was driver of vehicle that struck her — Bird breached duty of care by speeding and failing to keep proper lookout — Bird and truck owner were 75 per cent liable for plaintiff's damages — Motor Vehicle Act, s. 181.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4" w:name="Case Summary_39"/>
            <w:bookmarkEnd w:id="2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38-year-old plaintiff for damages for personal injuries sustained in a motor vehicle accident in 2013. The plaintiff, a pedestrian, was struck by a motor vehicle. The driver left the scene without stopping. There were no independent witnesses to the collision. The plaintiff was found prone, semi-conscious and seriously injured. She had no recollection of the accident. The defendant Bird's former girlfriend Harris testified that on the night in question, Bird confessed to her that he had killed a man while driving his logging truck, owned by the defendant T. Clark &amp; Son Trucking, because he had been speeding while arguing with her on the phone. She further testified she observed Bird washing the truck the following morning and that he later indicated he was washing off hair, skin and bones from under the truck. Harris's sister testified that Harris disclosed Bird's confession to her. Bird confirmed he was driving his logging truck on the night of the accident but denied hitting the plaintiff and denied confessing to Harris. The plaintiff acknowledged she was very intoxicated on the night in question and agreed she was 25 per cent contributorily negligent. Damages had been severed from the issue of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5" w:name="Holdings of Court_30"/>
            <w:bookmarkEnd w:id="29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Bird's evidence differed from that of Harris, the evidence of Harris was preferred. The plaintiff had established Bird was the driver of the vehicle that struck her. Bird breached the duty of care he owed to the plaintiff when he negotiated his turn in the dark at more than twice the speed limit. He had failed to keep a proper lookout or take reasonable precautions. Bird and the defendant Clark were 75 per cent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plaintiff's damages as Bird was primarily responsible for the accident. The plaintiff's concession of fault was fair and reasonable. The plaintiff was 25 per cent contributorily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6" w:name="Legislation Cited_27"/>
      <w:bookmarkEnd w:id="2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5"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987" w:history="1">
        <w:r>
          <w:rPr>
            <w:rFonts w:ascii="arial" w:eastAsia="arial" w:hAnsi="arial" w:cs="arial"/>
            <w:i/>
            <w:color w:val="0077CC"/>
            <w:sz w:val="20"/>
            <w:u w:val="single"/>
            <w:shd w:val="clear" w:color="auto" w:fill="FFFFFF"/>
            <w:lang w:val="en-US" w:eastAsia="en-US" w:bidi="ar-SA"/>
          </w:rPr>
          <w:t>R.S.B.C. 1996, c. 318, s. 179</w:t>
        </w:r>
      </w:hyperlink>
      <w:r>
        <w:rPr>
          <w:rFonts w:ascii="arial" w:eastAsia="arial" w:hAnsi="arial" w:cs="arial"/>
          <w:color w:val="000000"/>
          <w:sz w:val="20"/>
          <w:lang w:val="en-US" w:eastAsia="en-US" w:bidi="ar-SA"/>
        </w:rPr>
        <w:t>(2), s. 180,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7" w:name="Counsel_43"/>
      <w:bookmarkEnd w:id="29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6"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Hanson, D. Fai, N. Kohan.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Glen Bird and T. Clark &amp; Son Trucking Ltd.: S. Katalinic, A. Schleichkorn.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S. Laudadio, A. Ligali.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8" w:name="Judgment_42"/>
      <w:bookmarkEnd w:id="298"/>
      <w:r>
        <w:pict>
          <v:line id="_x0000_s1237"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EVIDENTIARY SYNOPSIS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Patricia Peters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Brandy Wallace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Lisa Peters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Darlene Leo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Rattray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Hoekstra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Cst. Dunlap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Patricia Harris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Frances Deane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David Bunch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Donald McKamey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Glen Bird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 Witnesses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Admissions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Exhibits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for Discovery "read-ins"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Mr. Bird the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Mr. Bird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what extent was Ms. Peters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9" w:name="L.W. BERNARD J."/>
            <w:bookmarkEnd w:id="299"/>
            <w:r>
              <w:rPr>
                <w:rFonts w:ascii="arial" w:eastAsia="arial" w:hAnsi="arial" w:cs="arial"/>
                <w:b/>
                <w:color w:val="000000"/>
                <w:sz w:val="30"/>
                <w:lang w:val="en-US" w:eastAsia="en-US" w:bidi="ar-SA"/>
              </w:rPr>
              <w:t>L.W. BERNARD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hours of October 16, 2013, Patricia Peters was struck by a motor vehicle on Highway 99 where it passes through the town of Mt. Currie, B.C. Ms. Peters was a pedestrian, and the driver left the scene without stopping to render assistance or reporting the incident. There were no independent witnesses to the collision and Ms. Peters, who was found prone, semi-conscious, and seriously injured on the roadway, has no recollection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the defendant Glen Bird was the driver. On the night in question, Mr. Bird was driving a logging truck between Squamish and a logging area ("cut-block") north of Mt. Currie, for the defendant T. Clark &amp; Son Trucking Ltd.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consent order dated November 26, 2018, the issues of liability and damages were severed from one another, and the instant trial was for the purpose of determining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 "no evidence" motion at the close of the plaintiff's case, the claim against the defendant Insurance Corporation of British Columbia ("ICBC")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the trial's conclusion the principal live issues were: (a) whether Ms. Peters had proved that the defendant Mr. Bird was the driver of the vehicle that struck her; (b) if Mr. Bird was the driver, whether Ms. Peters had proved that he was negligent; and, (c) to what extent was Ms. Peters contributorily negligent. The liability of the defendant Clark was not in question if Mr. Bird's liability was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Proof of the identity of Mr. Bird as the driver,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rested primarily on the evidence of Mr. Bird's former girlfriend Patricia Harris, who testified that on the night in question, Mr. Bird confessed to her that he had killed a man while driving the route from Squamish to the cut-block.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closing submissions, Ms. Peters invited the court to find her 25% contributorily negligent. She was very intoxicated on the night in question and has no memory of the collision, where she was, or what she was doing, when she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For reasons that follow, I am satisfied that the plaintiff has proved: (a) that the defendant Bird was the driver of the motor vehicle that struck her; and, (b) that the defendants Bird and Clark are 75%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Evidentiary Synopsis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Patricia Peters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Peters is a First Nations woman, mother of two, and resident of D'Arcy, B.C. D'Arcy is a small community just north of the town of Mt. Currie. In October 2013, Ms. Peters was 32 years old. In her testimony, she frankly acknowledged a long history of alcohol abuse, albeit with periods of sobriety. In 2013, she was drinking approximately two times a month; the evening of October 25 was one of those times. She added that when she drank she also "dabbled" in cocaine and liked to smoke cigarettes.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Peters recalled that on October 25, 2013, she drank at her cousin Margaret's house in D'Arcy, before going to a house party in nearby Mt. Currie. Ms. Peters said she drank, smoked cigarettes, played foosball, and listened to music at the party. She recalled that the cigarettes she smoked were from a red pack of du Maurier cigarettes that Matthew Peters had given to her at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Peters described herself as being "pretty intoxicated" that night, and said she does not recall leaving the party. She estimated that she drank at least eight Busch beers and a Smirnoff Ice cooler that night. When questioned as to whether she had cigarettes with her when she left the party, she said she did not know; however, she said that if she did, she would have put them in the pouch pocket of the hoodie-style jacket she was wearing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Peters believed she blacked out between 11:45pm and midnight. She cannot recall being on the highway or being struck. She said her next memory after the party was of waking up at Vancouver General Hospital with broken bones on the left side of her body, and an inability to walk. She now uses a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absence of a memory of what she did after she left the party, Ms. Peters said that she had, in the past, walked home from Mt. Currie (north along Pemberton Portage Road/Highway 99) and been picked up and driven to D'Arcy by a passing northbound driver. For this reason, she thought it was likely she would have been on the east side of the highway (i.e., walking with, rather than against, northbound vehicular traffic) on the night in question. Ms. Peters also said she was, at the time, very familiar with the junction where Highway 99 becomes Pemberton Portage Road through Mt. Currie, and knew that logging trucks drove through Mt. Currie along this road.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Brandy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Wallace is a close friend of Ms. Peters. She recalled picking up Ms. Peters and Matthew Peters in D'Arcy, on the evening of October 25, 2013, to drive them to a party in Mt. Currie hosted by her. She recalled that at the party Ms. Peters drank beer and went outdoors from time to time to smoke a cigarette from a red pack. She estimated that between 1:45am and 2:15am, Ms. Peters went outside for a smoke and did not return. Ms. Wallace then learned the next day that Ms. Peters had been in an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Lisa Peters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approximately 2:30am - 2:40am Lisa Peters was a passenger in a car driven by Darlene Leo, travelling southbound along Highway 99/Pemberton Portage Road in Mt. Currie, when she and Ms. Leo spotted Ms. Peters lying face down in the northbound lane near the bus shelter. She said Darlene Leo stopped the car, and she (Lisa Peters) went up to Ms. Peters, who was conscious but unable to speak. Ms. Peters was wearing blue jeans, a brown and white sweater with the hood up over her head, and one running shoe; Lisa Peters saw the other shoe north of Ms. Peters, on the roadway. Lisa Peters said she immediately called 9-1-1; an ambulance attended and took Ms. Peters away on a stretcher.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Shortly before encountering Ms. Peters, Lisa Peters and Darlene Leo were westbound on Lillooet Lake Road. Lisa Peters said she recalled that three eastbound vehicles passed them on Lillooet Lake Road: a dark-coloured SUV, a silver grey pick-up truck, and a blue logging truck with the trailer up and a company name that started with the letter "T". Lisa Peters estimated that the logging truck passed them five minutes before she and Ms. Leo came across Ms. Peters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Lisa Peters identified the blue logging truck shown in photograph #4 (Exhibit #1, tab 6) as similar to the logging truck that had passed her on Lillooet Lake Road. She said that she recognized the truck in the photo by its colour and company name. She added that while she was at the hit-and-run scene with the police, another blue logging truck with the same logo passed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Lisa Peters was cross-examined on inconsistencies between her trial testimony and a prior statement given to an ICBC adjuster. The statement had been type-written by the adjuster, and was corrected in several places by Lisa Peters before she signed it on December 13, 2013. One of the non-corrected sentences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logging truck had at least six bright lights shining at the front, making it impossible for me to see it well enough to make any determination of the colour, make, model or any identifying marks, other than I saw a partial name on it, "Thomson".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Lisa Peters agreed this is what her statement said, but said it was not true that she could not see the colour of the truck. She said the adjuster put words into her mouth. She said that when a similar blue logging truck passed by while she was at the scene, she turned to one of the police officers present and told him that the truck she passed on Lillooet Lake Road looked similar or the same. She added that she did not recall seeing anything more than the letter "T" on the truck that passed her on Lillooet Lake Road, and did not know why she would have said "Thompson" to the adjuster; she could not say anything more about the trucking company's name other than it started with a "T".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Darlene Leo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Leo said she was with Lisa Peters when they came across Ms. Peters lying on Pemberton Portage Road, adjacent to the bus shelter.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Prior to encountering Ms. Peters, Ms. Leo said she passed three eastbound vehicles along Lillooet Lake Road: a dark-coloured SUV, a dark coloured pick-up truck, and a logging truck with very bright lights and no load. She said she could not recall anything more about the logging truck, including its colour, but she estimated that she and Lisa Peters came across Ms. Peters three-to-five minutes after they passed the logging 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Cst. Rattray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October 26, 2013, Cst. Rattray was a member of the Statlin Tribal Police Force, in Mt. Currie. Between 2:40am and 2:43am he was dispatched to attend the scene where Ms. Peters had been found by Lisa Leo and Darlene Yeo. He said he arrived at the scene within five minutes of the call, and found Ms. Peters prone and semi-conscious in the northbound lane of Pemberton Portage Road, in a dark area of the road opposite the bus shelter. Darlene Leo and Patricia Peters were present. Cst. Rattray said an ambulance arrived within four-to-five minutes of his arrival, and transported Patricia Peters to the Pemberton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Cst. Rattray noted that one of Ms. Peters' shoes was 20 feet north of her on the roadway; he seized this shoe after it was photographed by RCMP Cst. Hoekstra. He said he then attended to the Pemberton Clinic where he seized Ms. Peters' jacket and a cell-phone adapter. He said he did not recall seeing a package of cigarettes either at the scene or among Ms. Peters' effects at the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Cst. Rattray described the weather and road conditions as clear, cold (two degrees Celsius), and dry. He said he saw no skid marks, vehicular debris, or vehicular fluids on the road. He described the shoulder of the road as gravel, quite wide, and typically used by pedestrians as a walkway. He said the lighting where Ms. Peters was found was poor because of the absence of nearby street-lights.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Cst. Hoekstra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Cst. Hoekstra is the forensic identification officer who attended the scene to take measurements and photographs. His photographs depict,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Ms. Peters lying prone in the northbound lane, clad in blue jeans, a brown and white hoodie-style jacket (with the hood up and covering her hair), and one white-soled running shoe. In another photograph, the matching shoe is shown approximately 20 feet north of Ms. Peters, in the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scene photographs show the roadway where Ms. Peters was found as a paved two-lane highway with poor street lighting; a yellow double line separates the north and south lanes of travel. Cst. Hoekstra measured the paved part of the shoulder adjacent to the northbound lane as 1.6 metres wide. Photographs show that the shoulder is demarcated by a painted white line and has a flat gravel portion beyond the paving.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Cst. Hoekstra found no skid marks or vehicle debris at the scene. He said the roadway was dry and the ambient temperature was three degrees Celsius.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Cst. Dunlap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Cst. Dunlap was the lead RCMP investigator into the hit-and-run of Ms. Peters. He was also an initial responder, arriving at the scene at 2:41am. He assisted with first aid, searched for evidence, and controlled traffic. In his search, he found no evidence of the vehicle that struck Ms. Peters. He set up a by-pass to divert traffic from Pemberton Portage Road while the hit-and-run scene was under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Cst. Dunlap said the ensuing police investigation to determine the identity of the driver went nowhere until October 25, 2014, when Ms. Harris informed the police of Mr. Bird's past admissions to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Patricia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Harris resides in Squamish, B.C., where she works as a house painter and cleaner. In October 2013, she was dating the defendant Glen Bird. This relationship ended on October 25, 2014, when Ms. Harris called the police to report that Mr. Bird had assaulted her that day. During a police interview regarding the alleged assault, she informed the police that a year earlier, Mr. Bird told her that he had run over and killed a man as he was driving his logging truck from Squamish to a cut-block north of Mt. Currie.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Harris testified regarding Mr. Bird's alleged confession to her. She said that earlier on the night in question, she had driven Mr. Bird to his truck in Squamish, for the start of his work-shift as a logging truck driver; she then went home and to bed. Ms. Harris said she and Mr. Bird exchanged a series of angry text messages and telephone calls through the night. She estimated that this exchange started at 3:30 - 4:00am, or earlier. Ms. Harris said that at one point in these communications, Mr. Bird said he had just killed a person because of her. She said he explained that he should not have been "doing 70 in a 30", and provided the following details: that the collision occurred at an intersection; that the man he struck and killed was lying off to the side of the road and sat up just before he ran over him; and, that the man had a package of du Maurier cigarettes in his pocket.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Harris said she next heard from Mr. Bird when he called to ask her to pick him up at 8:30am - 9:00am on October 26, at the log sort in Squamish. She said she had never done this before, and when she arrived at the log sort she saw Mr. Bird "washing down the truck like a crazy person, under the front and back". She said when she honked to get Mr. Bird's attention he said "What the fuck are you doing here? I meant for you to pick me up at the shop. I'll be there in ten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Harris testified that she did not know whether to believe Mr. Bird's confession to having killed a man with his truck, or not; thus, she made some inquiries to determine if anyone had, in fact, been struck and killed that night along Mr. Bird's route. She said she was unable to find anything in an online search of the Pemberton newspaper or from her questioning of another driver who had worked the same route on October 26. Thereafter, Ms. Harris said she never discussed the matter with anyone other than her sister. She said that a few months later, Mr. Bird explained to her that on the morning she had come to pick him up at the log sort, he was washing off hair, skin, and bones from under the truck. She added that at this time he deleted text messages of the night in question from her cellphone, because he said it was "bad karma" to keep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late 2013 or early 2014, Ms. Harris and Mr. Bird moved to Grand Prairie, Alberta. Ms. Harris said that on one occasion while they were together in Grand Prairie, Mr. Bird was so angry with her that he said he was afraid he would kill her. In this context, she said he told her that he was not afraid of killing again, and referred to the "native man" he had killed in D'Arcy. Ms. Harris said she broke up with Mr. Bird after this threat, and returned to Squamish; however, when Mr. Bird subsequently returned to Squamish, she resumed her relationship with him for a short time (until the October 25, 2014 report of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Harris said October 25, 2014 was the final time Mr. Bird mentioned killing a "native man" in D'Arcy. She said Mr. Bird had, once again, threatened to kill her and it was in this context that he reminded her of what he claimed to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Ms. Harris was extensively cross-examined, particularly as to inconsistencies between her trial testimony and her police statement. In relation to the confession, Ms. Harris agreed that in her police statement she said Mr. Bird had told her he had been travelling 70 </w:t>
      </w:r>
      <w:r>
        <w:rPr>
          <w:rFonts w:ascii="arial" w:eastAsia="arial" w:hAnsi="arial" w:cs="arial"/>
          <w:color w:val="000000"/>
          <w:sz w:val="20"/>
          <w:u w:val="single"/>
          <w:lang w:val="en-US" w:eastAsia="en-US" w:bidi="ar-SA"/>
        </w:rPr>
        <w:t>mph</w:t>
      </w:r>
      <w:r>
        <w:rPr>
          <w:rFonts w:ascii="arial" w:eastAsia="arial" w:hAnsi="arial" w:cs="arial"/>
          <w:color w:val="000000"/>
          <w:sz w:val="20"/>
          <w:lang w:val="en-US" w:eastAsia="en-US" w:bidi="ar-SA"/>
        </w:rPr>
        <w:t xml:space="preserve"> (as opposed to km/h). She also agreed that she had said that it was she who deleted the text messages of the night in question and that this occurred "right away". She explained that she meant to say that it was Mr. Bird who had deleted the messages, and that this occurred a few days after the night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Harris agreed that she was very upset with Mr. Bird at the time she told the police of his confession. She said that she had warned Mr. Bird that if he did not stop threatening her, she would tell the police about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Harris agreed that after she gave her police statement, she tried to withdraw it by saying she had been "high" at the time. She explained that while what she said about Mr. Bird to the police was true, she had wanted to recant at that time because she was fearful of Mr. Bird and the consequences of making the disclosure to the police.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Frances Deane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Deane is Patricia Harris's sister. She lives in Squamish and is married to David Bunch. She knows Mr. Bird as the man who was in an "on and off" relationship with her sister for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Deane testified to recalling a time when her sister was "under a lot of stress" and informed her that Mr. Bird had claimed to have run over and killed someone while he was working. Ms. Deane said Ms. Harris's disclosure was made to her during a dinner at her home. Ms. Deane said she later asked her husband (who also worked in the logging industry) if he had heard of any such deaths "because Glen told Patsy that he killed someone". She said both she and her husband tried, through social media, to determine if a person had been run over and killed, without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Deane said she does not recall, specifically, the timing of Ms. Harris's disclosure to her, but it was her impression that it was close in time to Mr. Bird's purported confession to Ms. Harris.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David Bunch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Bunch testified that his wife, Frances Deane, reported to him that Mr. Bird had told Ms. Harris that he had run over someone. He said he could not recall when his wife made this disclosure to him, but he thought it was before Mr. Bird and Ms. Harris moved to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Bunch said he shared a shop with the owner of the defendant Clark; however, he said he never discussed Mr. Bird's disclosure to Ms. Harris with anyone other than his wife. He said "we never heard that anyone got run over, and I assumed it wasn't true".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Donald McKamey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October 2013, Mr. McKamey was a supervisor for Southview Forestry Products Ltd., a logging contractor. He said his responsibilities included the removal of logs from a cut-block north of Mt. Currie, and either he or his brother arranged for three trucking companies to transport logs from this cut-block to Squamish on October 26, 2013. Mr. McKamey said he retained only three trucking companies because it was late in the logging season; one of these companies was the defendant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One year later, on October 26, 2014, inquiries from the police prompted him to access and review his business records. These records included two load slips dated October 26, 2013, showing the driver as Glen Bird. He said these load slips showed that Mr. Bird picked up two loads of logs on October 26, 2013, from "block W200" and delivered them to "West Barr". The trucking company for both loads was identified on the load slips as "T. Clark and Son", and the specific truck as number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McKamey explained that load slips are used to document the movement of timber and to pay trucking companies which, in turn, pay their drivers. Mr. McKamey said that load slips bear no time-of-day entries and no other time records are kept; however, Mr. McKamey said it was likely that the logs for Mr. Bird's first run on October 26, 2013 would have been loaded at approximately 4:00am. Mr. McKamey explained that loading at the cut-block would have begun at 3:30am, but as the order of loading trucks is based on trucker seniority, the Clark truck was likely third in line that night.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Glen Bird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Bird is a heavy equipment/truck operator. He is 53 years old and said he has been "hauling" since he was 19 years of age, mostly as a logging-truck driver. He said he suffers from dyslexia and left school after grade six. (He commented that he does not "text" much because of his dyslexia.)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October 2013, Mr. Bird was living in Squamish, working for the defendant Clark as a logging-truck driver, and in an "on-and-off" intimate relationship with Ms. Harris. He said this relationship spanned approximately 2.5 years, and ended in October 2014. Mr. Bird described his relationship with Ms. Harris as "toxic, to put it mildly". He elaborated: "We did not get along, at all. We were always arguing about everything. We would argue about me being faithful - she was very insecure - and this was often the subject." When asked why he would have stayed in such a relationship, Mr. Bird described Ms. Harris as "like gum on a suit; she wouldn't go away", although he agreed that it was Ms. Harris who obtained a "no contact" peace bond against him after their break-up in October 2014. He said he moved to Dease Lake, "200 kilometres from the Yukon border" after the break-up.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Bird was unsure of the precise dates of his time in Squamish, but said he worked for the defendant Clark for approximately three months before he moved to Grand Prairie, Alberta, where he worked as a heavy equipment operator and truck driver; approximately six months later he returned to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Bird said he "hauled logs to the Squamish log sort from Pemberton, through the reserve and up Lillooet Lake Road" while he lived in Squamish. He said the drive to the cut-block, once he turned onto Lillooet Lake Road from Highway 99, took approximately1.5-to-2 hours. Mr. Bird said he worked as a "spare" for Clark and, therefore, he drove various trucks: a blue one, a brown one, and the owner's dark green truck. He said these trucks varied both in configuration and colour, but all bore the same Clark logo. Mr. Bird said the start-times for his work-shifts ranged from 11pm to 2am, they ended no later than 5pm, and he transported two loads on each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Bird said he owned a "flip phone" in October 2013, which he would place in the truck's dashboard holder while he was driving. To communicate by telephone while driving, he said he wore an earpiece with a wireless Bluetooth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Bird testified that the only route to the log sort from Squamish was along Highway 99, through Whistler and Pemberton, and then down Lillooet Lake Road. He said he traveled this route twice a day, four or five days per week, for approximately three months. As a result, he said he was very familiar with the intersection north of Pemberton where Highway 99 turns into Pemberton Portage Road through Mt. Currie. He described the intersection as presenting a "hairpin" curve for northbound vehicles continuing along Highway 99 through Mt .Currie, and said that a logging truck with its trailer up (i.e., unloaded) could not negotiate this turn at a speed greater than 30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Bird said that the speed limit is 30km/h for northbound traffic approaching the intersection, and added that there are traffic signs warning approaching drivers of a sharp curve ahead. He said he was very familiar with the road through Mt. Currie, and agreed that it was common for pedestrians to be on the road during the daytime, and less so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Bird testified to having a memory of October 26, 2013, but only because it had been brought to his attention many times as a result of this case. More specifically, he said he recalls driving his boss's new dark green Kenworth truck for his work-shift that day. He said the only memorable event for him during that shift was a traffic back-up on Lillooet Lake Road he encountered as he approached Highway 99, and the detour he, therefore, had to take with his first load of logs from the cut-block. He said he recalled that it was "just before daylight" when he was stopped for 15-30 minutes on Lillooet Lake Road before being re-directed along a back road that circumvented Highway 99 through Mt. Currie.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for the drive from Squamish to the cut-block for the first run of his work-shift, Mr. Bird said he could recall nothing of it, including the time he started his shift. More specifically, in relation to the hit-and-run of Ms. Peters, he said: "I absolutely didn't hit anyone or see any pedestrians on Main Street." When asked if it was possible that he could have struck someone and been unaware of it, he said: "No. I am a good driver. I've hit animals, and even hitting a little animal or a bird you can feel it in a logging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Bird said that during his wait on Lillooet Lake Road, he learned from a taxicab driver who was also in the line-up, that someone - possibly a man - had been hit and killed approximately 500 yards around the corner from where traffic was stopped. Mr. Bird said he was too far from Highway 99 to see what had happened or the person who had been hit, and was not given any other information. Mr. Bird said his only concern at this time was whether his truck would make it through the detour route, which he described as a "little goat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Bird said that he "imagined" he talked to Ms. Harris as he waited in the detour line, because she called him constantly. He explained that he had "steady" phone calls from Ms. Harris "all the time, wherever he was"; however, he added that if she called him while he was driving he would, usually, "just hang up". Mr. Bird testified that while he was waiting to take the detour he was in communication with Ms. Harris; he told her that someone had been hit and killed and that she should quit calling him or he could end up in an accident,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Bird said he was unsure if this communication with Ms. Harris was by text message or telephone conversation, but he thought it was probably by text because "we were fighting and I didn't like to talk to her". When it was suggested that it would have been very onerous for him to send such a lengthy text message on a flip-phone, he said: "I could have phoned - I'm not sure", but whether text or call, Mr. Bird said he would not have said anything about his driving speed to Ms. Harris because he was stopped in a line-up.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cross-examination, it was suggested that Mr. Bird said he had texted rather than spoken with Ms. Harris while waiting to take the detour, because he now knew that a Telus printout of October 26, 2013, showed that Ms. Harris neither received nor made any calls on her cellphone from 2:41am to 11:00am. He denied this suggestion, but agreed that at his Examination for Discovery he had said that he remembered, specifically, talking to - not texting - Ms. Harris. In the face of this inconsistency, he said the truth was that he really had no memory of whether he had communicated by text or call, and did not know why he had not simply given that as his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Bird said the detour added approximately half an hour to his drive back to Squamish. He said he then returned to the cut-block for a second load, and after delivery of that load he sprayed down the truck with a firehose at the sort yard, as he always did. He said he did not see Ms. Harris after he delivered his first load, and did not ask her to meet him at the log sort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Bird said he does not recall telling anyone about being delayed due to a road death that day, but he said that within days of October 26, a man at the shop next to Clark's shop questioned him as to whether he had run over someone "because Patsy told him" that he had. He said he informed the man that he had not, and then confronted Ms. Harris about the accusation; however, she denied questioning the man or telling him anything, and Mr. Bird left it at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Bird said that while he and Ms. Harris were in Grand Prairie, he never said anything about a hit-and-run to Ms. Harris, and he denied that he ever used it as a threat against her, on October 25, 2014 or at any other time. He also denied that he ever deleted text messages from Ms. Harris's phone, or that he told Ms. Harris he had hosed down the underside of the truck to get rid of bodily substances such as hair and skin.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cross-examination, Mr. Bird was shown the load slips testified to by Mr. McKamey, and said he was unsure if it was he who had filled them out; he said he did not recognize the writing as his, and added that in most places it was the loader operator who filled out the load slips. When he was shown photograph #4 (tab 6 of Exhibit #2) depicting a blue Clark logging truck, Mr. Bird said the truck in the photo was not the one he drove on the night in question. He added that the number "5" on the load slips was his truck number for payroll purposes; it was not necessarily the truck he drove for any given shift. He said he had driven number "5" until it was either sold or being prepared for sale, but by this point in time he was a "spare" driver who drove various Clark trucks while continuing to use the number "5" for payroll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Bird agreed that he was on the telephone with Ms. Harris as he drove through the Mt. Currie area on the night in question, but he denied that he told her that he had committed a hit-and-run, or any of the particulars of the event she attributed to him. He acknowledged that he was familiar with du Maurier cigarettes and that they came in a red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Finally, Mr. Bird agreed to a record of criminal convictions put to him in cross-examination. The convictions include crimes of dishonesty and deceit. While such a record is admissible for the limited purpose of assessing his credibility as a witness, reliance on it was not needed for that purpose in this case. It was, therefore, neither expressly nor tacitly considered in this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Nizar Shajani is a Forensic Toxicologist who was asked to calculated Ms. Peters' blood alcohol level at 2:40am on October 26, 2013, based on the following assumptions: a weight of 110 lbs; an evenly spaced drinking pattern for eight-to-ten cans of Busch beer (4.7 v/v alcohol);, and, a drinking pattern that fell between 8:00pm and 11:45pm of October 25,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Based on the foregoing, his calculations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9"/>
        <w:gridCol w:w="2405"/>
        <w:gridCol w:w="261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Elimination rate</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BAC at 2:40 a.m.</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BAC at 2:40 a.m.</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mg%/hr</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 cans of beer)</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 cans of beer)</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307 mg% (0.307%)</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 mg% (0.400%)</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274 mg% (0.274%)</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367 mg% (0.367%)</w:t>
            </w:r>
          </w:p>
        </w:tc>
        <w:tc>
          <w:tcPr>
            <w:tcW w:w="266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243 mg% (0.243%)</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334 mg% (0.334%)</w:t>
            </w:r>
          </w:p>
        </w:tc>
        <w:tc>
          <w:tcPr>
            <w:tcW w:w="266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As for the effect upon Ms. Peters', he said,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Blackouts or loss of memory can occur at alcohol level of 200 mg% and over. Individual with prior history of blackouts are more likely to suffer from blackouts.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aspect of judgement affected by alcohol is risk assessment. Each person has the ability to determine what risks are acceptable to him/her and to understand the consequences of his/her actions. An impaired individual may accept risks which would be unacceptable when alcohol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Notably, Ms. Peters' evidence that she was very drunk on the night in question and cannot recall anything from the time she left a party in Mt. Currie to the time she awoke in the hospital, was not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Kurt Ising is a mechanical engineer with an expertise in accident reconstruction. He was retained by the plaintiff to give opinions regarding stopping distance, visibility, and where Ms. Peters was when she was struck, based upon the distance she was thrown. He was asked to assume,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Ms. Peters was "struck squarely"; moreover, in order to reach his opinions, he said he assumed that Ms. Peters was standing when she was struck. Mr. Ising said these two assumptions were essential to his opinions, particularly as they related to the distance Ms. Peters was thrown when she was struck. As there was no evidence that Ms. Peters was struck squarely or on her feet when she was hit, Mr. Ising's opinions regarding how far Ms. Peters had been thrown were of virtually no probative value; no one suggested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Ising said the factors determining "stopping distance" are: (a) driver response time upon detection of a hazard; (b) the lag before applying the brakes; (c) road friction (a function of speed and road conditions); and (d) the vehicle (a logging truck decelerates more slowly than a car). He prepared a table showing a range of stopping distances at various speeds: a logging truck travelling 30 km/h could come to a stop within 14-24 metres, and at 70 km/h that distance would increase to 49-77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for drivers' "detection distances", Mr. Ising said these are a function of driver age, pedestrian location, and pedestrians' visibility based upon their clothing. As Mr. Ising was not given the age of Mr. Bird, he elected to consider detection data for young (18-30 year-old) drivers. Similarly, regarding Ms. Peters' clothing, he opted to use the data for darkly clad pedestrians (having mistakenly construed Ms. Peters' clothing as dark jeans and a dark pink hoodie). As Mr. Ising's factual assumptions were inaccurate, his opinions regarding detection distance were of no probative value; again, no one suggested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relation to speed, Mr. Ising's report stated that a logging truck could not navigate the curve in Highway 99 onto Pemberton Portage Road at "more than about 60 km/h". In his trial testimony, he qualified this opinion by stating that he meant that if a logging truck were to take the turn at a speed greater than "about 60 km/h" then he would expect there to be some loss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cross-examination, Mr. Ising conceded that he could not rule out the possibility that Ms. Peters' was struck by a southbound vehicle and ended up in the northbound lane. He also said it was possible that the shoe on the roadway was the point of impact, but added that "it is hard to make much of the shoe,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Craig Good was the defendants' expert in relation to accident reconstruction and injury biomechanics. He provided a response to Mr. Ising's report and concluded that the assumptions Mr. Ising was asked to make could not be determined from the available physical, engineering or biomechanical engineering evidence. In particular, assumptions about the direction of the striking vehicle, the type of striking vehicle, and that Ms. Peters was struck squarely and not carried by the vehicle, could not be grounded in the evidence available.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By Reply to a Notice to Admit, the defendants admitted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 are consistent with being struck by one or more unknown vehicles in the early morning hours of October 26, 2013, at or near Main Street, the "Spirit Circle" in the city of Mount Currie, in the Province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Exhibits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 large "to scale" map depicts Highway 99 where it passes through Mt. Currie, and various surrounding landmarks. This map was used by witnesses as a testimonial aid and accepted by the parties as an accurate representation of the area where Ms. Peters was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map shows Highway 99/Pemberton Portage Road as a two-lane roadway with a yellow painted double line separating northbound and southbound traffic, and a single white painted line separating each lane from its paved shoulder. For traffic travelling northbound through Mt. Currie, the 30 km/h speed limit is posted approximately 400 feet before a junction where Highway 99 meets Main Street, and becomes Pemberton Portage Road through Mt. Currie. (N.B.: Although the map identifies the road through Mt. Currie as Pemberton Portage Road, all witnesses familiar with Mt. Currie and this section of the road referred to it as Main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For northbound drivers approaching Mt. Currie on Highway 99, the junction presents a curve (approximately 120 to 140 degree) to the left. Two hundred feet north of the junction is a bus shelter on the west side of Pemberton Portage Road. Lillooet Lake Road is approximately 600 feet north of the bus shelter, and the community of D'Arcy is north of Lillooet Lake Road along Highway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Telus subscriber information and call detail records show the cell-phone numbers for Ms. Harris and Mr. Bird as of October 26, 2013. The call detail records for Ms. Harris's cellphone show that Ms. Harris made ten calls to Mr. Bird between 23:51:45 on October 25, 2013 and 00:04:27 on October 26, 2013. This was a series of short calls ranging from six to 112 seconds, and corresponds to a period preceding Mr. Bird's October 26, 2013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next series of calls on October 26, 2013 was from Mr. Bird to Ms. Harris: at 01:19:18 for 118 seconds; at 01:27:00 for 9 seconds; at 02:02:38 for 39 seconds; at 02:08:58 for 8 seconds; at 02:09:25 for 43 seconds; and at 02:26:52 for 7 seconds. This series corresponds to a period during Mr. Bird's first run to the cut-block.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next call was at 02:40:04: a 43-second call from Ms. Harris to Mr. Bird. This corresponds closely to the time Ms. Peters' was found injured on the roadway by Lisa Peters and Darlene Leo.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After the 02:40:04 call, the records show there were no incoming or outgoing calls on Ms. Harris's cellphone until a 35-second call from Ms. Harris to Mr. Bird at 11:14:13, on October 26,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For the balance of the day, the records show that Ms. Harris and Mr. Bird communicated by telephone nine times. Between 13:03:40 and 14:46:03 Ms. Harris called Mr. Bird four times, and these calls ranged in duration from 41 to 87 seconds. This corresponds to the period of Mr. Bird's second run. Finally, from 20:25:51 to 01:21:28 on October 27, Mr. Bird called Ms. Harris five times, and the duration of these calls was from 10 to 364 seconds. This final series corresponds to a period following the end of Mr. Bird's October 26 work shift.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Examination for Discovery "read-ins"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Trevor Clark, the owner of the defendant Clark, did not testify at the trial; instead, portions of his Examination for Discovery evidence were "read in" as his trial evidence, by agreement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Clark said that on October 26, 2013 Mr. Bird was driving one of Clark's trucks, transporting logs from the Southview logging site to the West Barr log drop in Squamish. He identified load slips (subsequently entered as trial exhibits) as showing that on October 26, 2013, operator Glen Bird moved two loads for Clark in truck number 5: a 2007 Kenworth. He identified this truck as the blue truck depicted in a photograph dated April 3, 2011, shown to him at his Examination for Discovery. (At trial, it was agreed this photo is photo #1, at tab 6 of trial Exhibit #2). Mr. Clark distinguished truck number 5 from the one he personally drove, which he described as a pumice-coloured 2011 Kenworth, bearing the number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Clark said he had no personal recollection of the truck Mr. Bird drove on October 26, 2013. He noted that mistakes are occasionally made on the load slips regarding the truck number; however, he agreed that the load slips indicate that Mr. Bird was operating truck number 5 when he transported two loads on October 26, 2013. Mr. Clark explained that he receives payment from contractors on the basis of load slips provided by the "loader operator" at the logging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By the trial's end, the following was not in dispute:</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Peters was struck and injured by a motor vehicle in a hit-and-run in the early morning hours of October 26, 2013, on Pemberton Portage Road in Mt. Currie, B.C.;</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dry, clear, and cool (2-3 degrees Celsius) night;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northbound lane through Mt. Currie was dry, clearly marked with painted lines, and intermittently lit by overhead street lamps;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approximately 2:40 AM, Ms. Peters was found prone, seriously injured and semi-conscious in the middle of the northbound lane, in a poorly lit section of Pemberton Portage Road approximately 200 feet north of the junction where Highway 99 turns into Pemberton Portage Road;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posted speed limit for northbound Highway 99 traffic approaching Mt. Currie drops from 70 km/h to 30 km/h approximately 400 feet before the junction where northbound traffic must negotiate a left-hand curve as Highway 99 becomes Pemberton Portage Road through Mt. Currie, and remains 30 km/h to a point well past where the hit-and-run occurred;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Ms. Peters was struck, she was very intoxicated by alcohol and has no recollection of being struck, of who or what struck her, of where she was when she was struck, and of what she was doing at the time she was struck;</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Peters was wearing jeans, running shoes, and a brown and white "hoodie" style jacket with the hood up and covering her hair at the time of the hit-and-run;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independent eyewitnesses to the hit-and-run and no evidence was found at the scene as to the identity of the driver or the vehicle that struck Ms. Peters, or how the hit-and-run occurred;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early morning hours of October 26, 2013, Mr. Bird drove a logging truck for Clark, from Squamish to a cut-block north of Mt. Currie;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Bird was in an intimate relationship with Patricia Harris on October 26, 2013, and in communication with her by cellphone as he drove to the cut-block to pick up his first load;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Soon after Mr. Bird's October 26 shift, Ms. Harris inquired of another driver as to whether he knew anything about a fatal hit-and-run on the road between Squamish and the cut-block, for which Mr. Bird might have been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What remained very much in contention by the trial's end was whether the plaintiff had proved that Mr. Bird was the driver of the motor vehicle that struck Ms. Peters, and if so, whether the plaintiff had proved that Mr. Bird was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Mr. Bird the driver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this question, I am satisfied that the plaintiff has proved, on a balance of probabilities, that Mr. Bird was the driver. This conclusion rests principally on Ms. Harris's testimony, as supported in material aspects by other reliable evidence. Where Mr. Bird's evidence differs from Ms. Harris, I prefer the evidence of Ms.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Although Ms. Harris's memory was quite poor in relation to dates and times, and there were inconsistencies between her testimony and prior statements, I am satisfied that these shortcomings were not fatal to her credibility. Notably, one year had passed before Ms. Harris related, to the police, the story of Mr. Bird's admissions to her, at which point she was still uncertain as to whether Mr. Bird's disclosure to her was true. In these circumstances, it is not surprising that her memory of dates and times on various matters would have been shaky then, and would not have improved by the time of trial. I also accept, as true, her explanation for attempting to retract her police statement, and I am not persuaded her credibility was undermined by her reference to Mr. Bird's claimed speed as being in "miles per hour". I am satisfied this was an inconsequential slip. There is no question that the posted speed limits were in kilometres per hour; it is the speed numbers ("70 in a 30") attributed to Mr. Bird that are germane.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Critical to the assessment of Ms. Harris's testimonial credibility and reliability in relation to Mr. Bird's alleged confession to her, is its consistency with reliable evidence from the victim, with the hit-and-run scene, with telephone records, and with the absence of any evidence or suggestion of a source other than Mr. Bird for the details she attributes to him. Moreover, while Ms. Harris's inquiry of another driver concerning Mr. Bird's involvement in a fatal hit-and-run was fruitless, the timing and nature of that inquiry is consistent with Mr. Bird having made admissions to her on the night in question, and inconsistent with fabricating these admissions a year later out of anger, hurt, vengeance, or any other ill motive.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Harris testified that after Mr. Bird told her he had killed a man during his October 26 shift, she unsuccessfully searched for any information that might confirm it. Her evidence in this regard was unchallenged, and I accept it as true. Notably, there was no evidence that the hit-and-run of Ms. Peters was ever reported but, even if it had been, such reports would not have stated that a man was killed, as it was known from the moment Ms. Peters was discovered on the road that the victim was a woman and she had not been killed. Moreover, if such reports were Ms. Harris's source, it would make little sense for her to fabricate a confession by Mr. Bird to this hit-and-run and change two salient features of it. These reports could also not have been the source for details of the event that, in this instance, only the unidentified driver would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Accordingly, when Ms. Harris made her disclosure to the police on October 25, 2014, I am satisfied that she had no independent source for any of the following information:</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a </w:t>
      </w:r>
      <w:r>
        <w:rPr>
          <w:rFonts w:ascii="arial" w:eastAsia="arial" w:hAnsi="arial" w:cs="arial"/>
          <w:color w:val="000000"/>
          <w:sz w:val="20"/>
          <w:u w:val="single"/>
          <w:lang w:val="en-US" w:eastAsia="en-US" w:bidi="ar-SA"/>
        </w:rPr>
        <w:t>hit-and-run</w:t>
      </w:r>
      <w:r>
        <w:rPr>
          <w:rFonts w:ascii="arial" w:eastAsia="arial" w:hAnsi="arial" w:cs="arial"/>
          <w:color w:val="000000"/>
          <w:sz w:val="20"/>
          <w:lang w:val="en-US" w:eastAsia="en-US" w:bidi="ar-SA"/>
        </w:rPr>
        <w:t xml:space="preserve"> of a </w:t>
      </w:r>
      <w:r>
        <w:rPr>
          <w:rFonts w:ascii="arial" w:eastAsia="arial" w:hAnsi="arial" w:cs="arial"/>
          <w:color w:val="000000"/>
          <w:sz w:val="20"/>
          <w:u w:val="single"/>
          <w:lang w:val="en-US" w:eastAsia="en-US" w:bidi="ar-SA"/>
        </w:rPr>
        <w:t>pedestrian</w:t>
      </w:r>
      <w:r>
        <w:rPr>
          <w:rFonts w:ascii="arial" w:eastAsia="arial" w:hAnsi="arial" w:cs="arial"/>
          <w:color w:val="000000"/>
          <w:sz w:val="20"/>
          <w:lang w:val="en-US" w:eastAsia="en-US" w:bidi="ar-SA"/>
        </w:rPr>
        <w:t xml:space="preserve"> occurred in the early morning hours of October 26, 2013, along the route Mr. Bird drove that night;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the hit-and-run, the pedestrian was struck near an intersection;</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speed limit was 30 km/h where the pedestrian was struck, having dropped from 70 km/h to 30 km/h for northbound traffic approaching the intersection;</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pedestrian had smoked cigarettes from a red pack, earlier that night;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identity of the driver remained unknown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Bird's version of events is that he knew virtually nothing about the hit-and run other than that the road through Mt. Currie had been closed in the early morning of October 26 due to a person's death; accordingly, if he is being truthful then he could not have been Ms. Harris's information source. He said he informed Ms. Harris of the little he knew in a telephone communication with her, as he waited on Lillooet Road to take the back-road detour. He explained that the incident prompted him to caution Ms. Harris to stop her persistent distractive calling while he was driving. It is significant that Mr. Bird's version of events does not allow for any misunderstanding by Ms. Harris to the effect that Mr. Bird had killed a man and left the scene that night, let alone account for the details Ms. Harris subsequently reported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relation to Mr. Bird's version, it is noteworthy that the telephone records do not support his evidence of a call with Ms. Harris as he waited to take the detour. The records do not show any telephone communication between Mr. Bird and Ms. Harris between 4:41am and 11:00am; moreover, Ms. Harris was not cross-examined on this alleged communication. (In regard to this failure, if this communication were an important aspect of Mr. Bird's case then not confronting Ms. Harris with it would have offended the long-standing rule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(1893), 6 R. 67 (U.K.H.L.) and would likely have resulted in affording it little weight; however, as the alleged communication could not have been Ms. Harris's information source, it has virtually no probative value to the live issues,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the other hand, the telephone records are consistent with Ms. Harris's version of events. They show that she was in telephone conversation with Mr. Bird at 2:40am - a time that closely corresponds to reliable evidence of when the injured Ms. Peters was found on the roadway. The duration of this call was 43 seconds - a period sufficient for Mr. Bird to blame Ms. Harris for causing the hit-and-run and provide the particulars Ms. Harris attributes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If there is relevance to Mr. Bird's evidence of his alleged communication with Ms. Harris as he waited to take the detour, it is to his credibility. When Mr. Bird testified that this communication must have been by text message rather than telephone call, he was cornered by a prior materially inconsistent statement and unable to extricate himself with his credibility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telephone records also show a calling pattern that is inconsistent with the "toxic" relationship Mr. Bird described, and with his unflattering characterization of Ms. Harris as a jealous woman who stuck to him "like gum to a suit" and called him incessantly. The accuracy of these records was not in question, and they show that Mr. Bird initiated six of the seven calls between the couple during his first trip to the cut-block. Mr. Bird's six calls fell within the 1:19am to 2:26am period, and Ms. Harris's single call to Mr. Bird followed at 2:40am.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Bird's credibility was further compromised by his deliberately misleading description of the curve (where Highway 99 becomes Pemberton Portage Road through Mt. Currie), as "hairpin". His apparent objective was to bolster his evidence that he was neither "doing 70 in a 30" nor would he have ever said such to Ms. Harris. Mr. Bird relied upon his familiarity with the route to the cut-block, but was apparently unaware that the maps and photographs in evidence showed, unequivocally, that the curve did not even approximate a "hairpin"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turn next to the plaintiff's evidence tendered to establish that Mr. Bird was driving blue truck number 5 on the night in question, and that he passed Darlene Leo and Lisa Peters on Lillooet Lake Road shortly before they came across Ms. Peters on Pemberton Portage Road. The evidence in this regard was problematic and I am unable to accept this evidence as proof of the facts asserted. The inconsistencies between Lisa Peters' testimony and her ICBC statement were material and undermined her reliability as a witness; moreover, one's ability to discern the colour of a logging truck passing in complete darkness other than the blaze of headlights, is inherently dubious.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plaintiff's case regarding the identity of the driver as Mr. Bird does not, however, rest upon whether Mr. Bird was the driver of truck number 5. Similarly, I am satisfied that it does not turn on: (a) the fact that Ms. Peters was neither a man nor killed in the hit-and-run; or, (b) the absence of evidence of a pack of du Maurier cigarettes at the hit-and-run scene or among Ms. Peters' personal effects at the Pemberton Clinic. In relation to the former, given the darkness, Ms. Peters' manner of dress, and Ms. Peters' hoodie covering her hair, the driver might well have mistaken her for a man, and given the force of the collision and Ms. Peters' prone and motionless state on the roadway, the driver might well have believed she had been killed by the impact. As for the latter, given the apparent force with which Ms. Peters was struck, it is likely that she would have been separated from a pack of cigarettes protruding from her pocket. Moreover, the scene investigators would have had no reason to search for a pack of cigarettes, let alone photograph or seize any that might have been off the paved and gravel portions of the road. The strength of the du Maurier cigarettes as one of the hit-and-run details, is that Ms. Peters testified that she had been smoking from a pack of du Maurier cigarettes she had been given that night. She frankly said that she did not know if she took the pack with her when she left the party, but added that if she did she would have put it into her jacket pocket. Notably, her evidence regarding the cigarettes was not challenged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summary, I conclude that the plaintiff has proved, on a balance of probabilities, that Mr. Bird was the driver who struck and injured Ms. Peters on October 26, 2013, in Mt. Currie.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Mr. Bird negligent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is common ground that the plaintiff must prove that Mr. Bird owed a duty of care to Ms. Peters, that he breached that duty by failing to meet the requisite standard of care, and that his breach caused damage to Ms. Peters. In the case at bar, the live issue is whether the plaintiff has proved on a balance of probabilities, that Mr. Bird breached the duty of care he owed to Ms. Peters.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concerning the operation of a motor vehicle, it is well settled that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is not a complete code; breaches of both statutory and common law duties are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Rights of way between vehicle and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179</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Crossing at other than crosswalk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When a pedestrian is crossing a highway at a point not in a crosswalk, the pedestrian must yield the right of way to a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of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Despite sections 178, 179 and 180, a driver of a vehicle must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Hmaied (Litigation Guardian of) v. Wilkinson</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xml:space="preserve">, Madam Justice Dickson made the following apposite remarks regarding the relationship between provisions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common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These provisions do not amount to an exclusive code relating to the rights of way between pedestrians and vehicles. Rather, they supplement the common law duty of all highway users to exercise what constitutes, in all of the circumstances, due care: Cook v. Teh, </w:t>
      </w:r>
      <w:hyperlink r:id="rId989" w:history="1">
        <w:r>
          <w:rPr>
            <w:rFonts w:ascii="arial" w:eastAsia="arial" w:hAnsi="arial" w:cs="arial"/>
            <w:i/>
            <w:color w:val="0077CC"/>
            <w:sz w:val="20"/>
            <w:u w:val="single"/>
            <w:shd w:val="clear" w:color="auto" w:fill="FFFFFF"/>
            <w:lang w:val="en-US" w:eastAsia="en-US" w:bidi="ar-SA"/>
          </w:rPr>
          <w:t>[1990] B.C.J. No. 776</w:t>
        </w:r>
      </w:hyperlink>
      <w:r>
        <w:rPr>
          <w:rFonts w:ascii="arial" w:eastAsia="arial" w:hAnsi="arial" w:cs="arial"/>
          <w:color w:val="000000"/>
          <w:sz w:val="20"/>
          <w:lang w:val="en-US" w:eastAsia="en-US" w:bidi="ar-SA"/>
        </w:rPr>
        <w:t xml:space="preserve"> (B.C.C.A.). As Anderson J.A. stated in Cook, quoting from the judgment of Estey J. in British Columbia Electric Company v. Ernest Farrer, </w:t>
      </w:r>
      <w:hyperlink r:id="rId990"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Legislative bodies have, for many years, been enacting provisions intended to facilitate and make safer the movement of pedestrians and vehicular traffic on the highways and public streets. The general rule is that these provisions and regulations are supplementary, or in addition, to the common law duty that rests upon all persons using the highways to exercise due care. Swartz Bros. Ltd. v. Wills, </w:t>
      </w:r>
      <w:hyperlink r:id="rId991"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xml:space="preserve">, Royal Trust Co. v. Toronto Transportation Commssn., </w:t>
      </w:r>
      <w:hyperlink r:id="rId992" w:history="1">
        <w:r>
          <w:rPr>
            <w:rFonts w:ascii="arial" w:eastAsia="arial" w:hAnsi="arial" w:cs="arial"/>
            <w:i/>
            <w:color w:val="0077CC"/>
            <w:sz w:val="20"/>
            <w:u w:val="single"/>
            <w:shd w:val="clear" w:color="auto" w:fill="FFFFFF"/>
            <w:lang w:val="en-US" w:eastAsia="en-US" w:bidi="ar-SA"/>
          </w:rPr>
          <w:t>[1935] S.C.R. 671</w:t>
        </w:r>
      </w:hyperlink>
      <w:r>
        <w:rPr>
          <w:rFonts w:ascii="arial" w:eastAsia="arial" w:hAnsi="arial" w:cs="arial"/>
          <w:color w:val="000000"/>
          <w:sz w:val="20"/>
          <w:lang w:val="en-US" w:eastAsia="en-US" w:bidi="ar-SA"/>
        </w:rPr>
        <w:t>. In the latter case Mr. Justice Davis, with whom the majority of the court agreed, stated at p. 674: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Generally speaking, a motorman on a street car is entitled to assume that a pedestrian or a motorist approaching the street car tracks will stop to permit the street car to pass by and there was in this case a statutory right of way in favour of the street car. But the existence of a right of way does not entitle the motorman on the street to disregard an apparent danger that confronts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When an accident occurs on a highway, the starting point for analysis is a determination of who had the right of way. Generally speaking, the party with the right of way is entitled to assume that other highway users will obey the rules of the road: Enright v. Marwick, </w:t>
      </w:r>
      <w:hyperlink r:id="rId993" w:history="1">
        <w:r>
          <w:rPr>
            <w:rFonts w:ascii="arial" w:eastAsia="arial" w:hAnsi="arial" w:cs="arial"/>
            <w:i/>
            <w:color w:val="0077CC"/>
            <w:sz w:val="20"/>
            <w:u w:val="single"/>
            <w:shd w:val="clear" w:color="auto" w:fill="FFFFFF"/>
            <w:lang w:val="en-US" w:eastAsia="en-US" w:bidi="ar-SA"/>
          </w:rPr>
          <w:t>2004 BCCA 259</w:t>
        </w:r>
      </w:hyperlink>
      <w:r>
        <w:rPr>
          <w:rFonts w:ascii="arial" w:eastAsia="arial" w:hAnsi="arial" w:cs="arial"/>
          <w:color w:val="000000"/>
          <w:sz w:val="20"/>
          <w:lang w:val="en-US" w:eastAsia="en-US" w:bidi="ar-SA"/>
        </w:rPr>
        <w:t xml:space="preserve"> at para. 22. In particular, drivers are ordinarily entitled to expect that adult pedestrians will not jump out directly in front of them as they are proceeding lawfully along their way: Enright, supra at para. 35; Ibaraki v. Bamford, </w:t>
      </w:r>
      <w:hyperlink r:id="rId994" w:history="1">
        <w:r>
          <w:rPr>
            <w:rFonts w:ascii="arial" w:eastAsia="arial" w:hAnsi="arial" w:cs="arial"/>
            <w:i/>
            <w:color w:val="0077CC"/>
            <w:sz w:val="20"/>
            <w:u w:val="single"/>
            <w:shd w:val="clear" w:color="auto" w:fill="FFFFFF"/>
            <w:lang w:val="en-US" w:eastAsia="en-US" w:bidi="ar-SA"/>
          </w:rPr>
          <w:t>[1996] B.C.J. No. 724</w:t>
        </w:r>
      </w:hyperlink>
      <w:r>
        <w:rPr>
          <w:rFonts w:ascii="arial" w:eastAsia="arial" w:hAnsi="arial" w:cs="arial"/>
          <w:color w:val="000000"/>
          <w:sz w:val="20"/>
          <w:lang w:val="en-US" w:eastAsia="en-US" w:bidi="ar-SA"/>
        </w:rPr>
        <w:t xml:space="preserve"> at para. 12-13.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Regardless of who has the right of way, however, there is a duty upon drivers and pedestrians alike to keep a proper lookout and take reasonable precautions in response to apparent potential hazards: Nelson (Guardian ad litem of) v. Shinske </w:t>
      </w:r>
      <w:hyperlink r:id="rId941"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xml:space="preserve"> (B.C.S.C.); Karran v. Anderson, </w:t>
      </w:r>
      <w:hyperlink r:id="rId953" w:history="1">
        <w:r>
          <w:rPr>
            <w:rFonts w:ascii="arial" w:eastAsia="arial" w:hAnsi="arial" w:cs="arial"/>
            <w:i/>
            <w:color w:val="0077CC"/>
            <w:sz w:val="20"/>
            <w:u w:val="single"/>
            <w:shd w:val="clear" w:color="auto" w:fill="FFFFFF"/>
            <w:lang w:val="en-US" w:eastAsia="en-US" w:bidi="ar-SA"/>
          </w:rPr>
          <w:t>2009 BCSC 1105</w:t>
        </w:r>
      </w:hyperlink>
      <w:r>
        <w:rPr>
          <w:rFonts w:ascii="arial" w:eastAsia="arial" w:hAnsi="arial" w:cs="arial"/>
          <w:color w:val="000000"/>
          <w:sz w:val="20"/>
          <w:lang w:val="en-US" w:eastAsia="en-US" w:bidi="ar-SA"/>
        </w:rPr>
        <w:t xml:space="preserve">. Depending on the circumstances, from a driver's perspective one such hazard may be a jaywalking pedestrian: Ashe v. Werstiuk, </w:t>
      </w:r>
      <w:hyperlink r:id="rId995" w:history="1">
        <w:r>
          <w:rPr>
            <w:rFonts w:ascii="arial" w:eastAsia="arial" w:hAnsi="arial" w:cs="arial"/>
            <w:i/>
            <w:color w:val="0077CC"/>
            <w:sz w:val="20"/>
            <w:u w:val="single"/>
            <w:shd w:val="clear" w:color="auto" w:fill="FFFFFF"/>
            <w:lang w:val="en-US" w:eastAsia="en-US" w:bidi="ar-SA"/>
          </w:rPr>
          <w:t>2003 BCSC 184</w:t>
        </w:r>
      </w:hyperlink>
      <w:r>
        <w:rPr>
          <w:rFonts w:ascii="arial" w:eastAsia="arial" w:hAnsi="arial" w:cs="arial"/>
          <w:color w:val="000000"/>
          <w:sz w:val="20"/>
          <w:lang w:val="en-US" w:eastAsia="en-US" w:bidi="ar-SA"/>
        </w:rPr>
        <w:t xml:space="preserve">, upheld </w:t>
      </w:r>
      <w:hyperlink r:id="rId996" w:history="1">
        <w:r>
          <w:rPr>
            <w:rFonts w:ascii="arial" w:eastAsia="arial" w:hAnsi="arial" w:cs="arial"/>
            <w:i/>
            <w:color w:val="0077CC"/>
            <w:sz w:val="20"/>
            <w:u w:val="single"/>
            <w:shd w:val="clear" w:color="auto" w:fill="FFFFFF"/>
            <w:lang w:val="en-US" w:eastAsia="en-US" w:bidi="ar-SA"/>
          </w:rPr>
          <w:t>2004 BCCA 75</w:t>
        </w:r>
      </w:hyperlink>
      <w:r>
        <w:rPr>
          <w:rFonts w:ascii="arial" w:eastAsia="arial" w:hAnsi="arial" w:cs="arial"/>
          <w:color w:val="000000"/>
          <w:sz w:val="20"/>
          <w:lang w:val="en-US" w:eastAsia="en-US" w:bidi="ar-SA"/>
        </w:rPr>
        <w:t xml:space="preserve">; Claydon v. Insurance Corp. of British Columbia, </w:t>
      </w:r>
      <w:hyperlink r:id="rId997" w:history="1">
        <w:r>
          <w:rPr>
            <w:rFonts w:ascii="arial" w:eastAsia="arial" w:hAnsi="arial" w:cs="arial"/>
            <w:i/>
            <w:color w:val="0077CC"/>
            <w:sz w:val="20"/>
            <w:u w:val="single"/>
            <w:shd w:val="clear" w:color="auto" w:fill="FFFFFF"/>
            <w:lang w:val="en-US" w:eastAsia="en-US" w:bidi="ar-SA"/>
          </w:rPr>
          <w:t>2009 BCSC 1077</w:t>
        </w:r>
      </w:hyperlink>
      <w:r>
        <w:rPr>
          <w:rFonts w:ascii="arial" w:eastAsia="arial" w:hAnsi="arial" w:cs="arial"/>
          <w:color w:val="000000"/>
          <w:sz w:val="20"/>
          <w:lang w:val="en-US" w:eastAsia="en-US" w:bidi="ar-SA"/>
        </w:rPr>
        <w:t xml:space="preserve">. If it is reasonably foreseeable or apparent that a pedestrian will disregard the law and thus create a hazardous situation, a driver is obliged to take all reasonable steps to avoid a collision. In such circumstances, if the driver has a sufficient opportunity to avoid the collision, but does not take appropriate evasive action, the driver will be found negligent: Karran, supra; Beauchamp v. Shand, </w:t>
      </w:r>
      <w:hyperlink r:id="rId998" w:history="1">
        <w:r>
          <w:rPr>
            <w:rFonts w:ascii="arial" w:eastAsia="arial" w:hAnsi="arial" w:cs="arial"/>
            <w:i/>
            <w:color w:val="0077CC"/>
            <w:sz w:val="20"/>
            <w:u w:val="single"/>
            <w:shd w:val="clear" w:color="auto" w:fill="FFFFFF"/>
            <w:lang w:val="en-US" w:eastAsia="en-US" w:bidi="ar-SA"/>
          </w:rPr>
          <w:t>2004 BCSC 272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McDonald v. Klassen</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2005 BCSC 1188</w:t>
        </w:r>
      </w:hyperlink>
      <w:r>
        <w:rPr>
          <w:rFonts w:ascii="arial" w:eastAsia="arial" w:hAnsi="arial" w:cs="arial"/>
          <w:color w:val="000000"/>
          <w:sz w:val="20"/>
          <w:lang w:val="en-US" w:eastAsia="en-US" w:bidi="ar-SA"/>
        </w:rPr>
        <w:t>, Mr. Justice Macaulay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Sections 180 and 181 apply in the case at bar. As well, both the pedestrian and driver owed common law duties: the plaintiff, as a pedestrian had a duty to take reasonable care for her own safety and the defendant, as driver had a duty to exercise due care to avoid a collision with a visible pedestrian. The duties owed by one are not greater than those owed by the other. The question of degrees of fault if these duties are breached can only be resolved based on the evidence as a whole. See Liston v. Striegler, </w:t>
      </w:r>
      <w:hyperlink r:id="rId1000" w:history="1">
        <w:r>
          <w:rPr>
            <w:rFonts w:ascii="arial" w:eastAsia="arial" w:hAnsi="arial" w:cs="arial"/>
            <w:i/>
            <w:color w:val="0077CC"/>
            <w:sz w:val="20"/>
            <w:u w:val="single"/>
            <w:shd w:val="clear" w:color="auto" w:fill="FFFFFF"/>
            <w:lang w:val="en-US" w:eastAsia="en-US" w:bidi="ar-SA"/>
          </w:rPr>
          <w:t>[1996] B.C.J. No. 1408</w:t>
        </w:r>
      </w:hyperlink>
      <w:r>
        <w:rPr>
          <w:rFonts w:ascii="arial" w:eastAsia="arial" w:hAnsi="arial" w:cs="arial"/>
          <w:color w:val="000000"/>
          <w:sz w:val="20"/>
          <w:lang w:val="en-US" w:eastAsia="en-US" w:bidi="ar-SA"/>
        </w:rPr>
        <w:t xml:space="preserve"> (C.A.),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To prove Mr. Bird breached his duty of care, the plaintiff relies principally on Mr. Bird's excessive speed and the distraction caused by his "phone fight" with Ms. Harris that night. More specifically, the plaintiff says the evidence establishes: (a) that Mr. Bird was travelling at more than twice the speed limit; (b) that his speed was excessive in all the circumstances, including the driving conditions (limited visibility due to night darkness and poor lighting) and his knowledge that he was entering a community where pedestrians used the road; and, (c) that Mr. Bird was distracted by a "phone fight" and failed to keep a proper lookout for other users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support of its position, the plaintiff quoted extensively from </w:t>
      </w:r>
      <w:r>
        <w:rPr>
          <w:rFonts w:ascii="arial" w:eastAsia="arial" w:hAnsi="arial" w:cs="arial"/>
          <w:i/>
          <w:color w:val="000000"/>
          <w:sz w:val="20"/>
          <w:lang w:val="en-US" w:eastAsia="en-US" w:bidi="ar-SA"/>
        </w:rPr>
        <w:t>Wilson v. Potter</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2005 BCSC 807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the plaintiff was drunk, darkly clad, and crossing the highway on foot when he was hit by a car driven by the defendant. The plaintiff was struck in the defendant's lane of travel, near the centre line. The two-lane highway where the collision occurred passed through the Sliammon Reserve; there were no sidewalks or marked crosswalks, and the road shoulders were dirt and gravel. The court found that the presence of pedestrian traffic was common knowledge and, therefore, drivers ought to be concerned with pedestrian presence and take the precaution of driving slowly. The speed limit was 30 km/h and the defendant's speed was 35 km/h. Visibility and lighting were poor at the time of the collision. The court said the defendant was "faced with a real difficulty in detecting and avoiding pedestrians, and in observing and reacting to the presence of a darkly clad pedestrian, in particular", but this was "all the more reason" for the defendant to have slowed down and adjusted her speed for the driving conditions. The plaintiff was more than halfway across the highway when he was struck; the court found that "he was there to be seen" and that the defendant's failure to keep a proper look-out was the primary cause of the collision. The court concluded that the defendant breached her duty of care by not seeing the plaintiff, particularly given her special knowledge of an alcohol and drug problem in the community. The court found that a reasonable person in the circumstances of the defendant ought to have kept a better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focus of the defendants' position in the case at bar, was on the alleged absence of evidence of Mr. Bird's driving, and of Ms. Peters' conduct, at the time of the collision. In support, the defendants cited </w:t>
      </w:r>
      <w:r>
        <w:rPr>
          <w:rFonts w:ascii="arial" w:eastAsia="arial" w:hAnsi="arial" w:cs="arial"/>
          <w:i/>
          <w:color w:val="000000"/>
          <w:sz w:val="20"/>
          <w:lang w:val="en-US" w:eastAsia="en-US" w:bidi="ar-SA"/>
        </w:rPr>
        <w:t>Miles v. Kumar</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2013 BCSC 1688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[Miles]</w:t>
      </w:r>
      <w:r>
        <w:rPr>
          <w:rFonts w:ascii="arial" w:eastAsia="arial" w:hAnsi="arial" w:cs="arial"/>
          <w:color w:val="000000"/>
          <w:sz w:val="20"/>
          <w:lang w:val="en-US" w:eastAsia="en-US" w:bidi="ar-SA"/>
        </w:rPr>
        <w:t xml:space="preserve">, at para. 58; </w:t>
      </w:r>
      <w:r>
        <w:rPr>
          <w:rFonts w:ascii="arial" w:eastAsia="arial" w:hAnsi="arial" w:cs="arial"/>
          <w:i/>
          <w:color w:val="000000"/>
          <w:sz w:val="20"/>
          <w:lang w:val="en-US" w:eastAsia="en-US" w:bidi="ar-SA"/>
        </w:rPr>
        <w:t>Christensen (Litigation Guardian of) v. Gerber</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2007 BCSC 1397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[Christensen]</w:t>
      </w:r>
      <w:r>
        <w:rPr>
          <w:rFonts w:ascii="arial" w:eastAsia="arial" w:hAnsi="arial" w:cs="arial"/>
          <w:color w:val="000000"/>
          <w:sz w:val="20"/>
          <w:lang w:val="en-US" w:eastAsia="en-US" w:bidi="ar-SA"/>
        </w:rPr>
        <w:t xml:space="preserve">, at para. 55; and </w:t>
      </w:r>
      <w:r>
        <w:rPr>
          <w:rFonts w:ascii="arial" w:eastAsia="arial" w:hAnsi="arial" w:cs="arial"/>
          <w:i/>
          <w:color w:val="000000"/>
          <w:sz w:val="20"/>
          <w:lang w:val="en-US" w:eastAsia="en-US" w:bidi="ar-SA"/>
        </w:rPr>
        <w:t>Finlayson v. ICBC</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[1994] B.C.J. No. 2884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[Finlayson]</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Miles</w:t>
      </w:r>
      <w:r>
        <w:rPr>
          <w:rFonts w:ascii="arial" w:eastAsia="arial" w:hAnsi="arial" w:cs="arial"/>
          <w:color w:val="000000"/>
          <w:sz w:val="20"/>
          <w:lang w:val="en-US" w:eastAsia="en-US" w:bidi="ar-SA"/>
        </w:rPr>
        <w:t>, the court found a virtual absence of evidence of the conduct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Similarly, I am not satisfied that the evidence establishes that Ms Kumar drove without due care and attention, or without reasonable consideration for other persons using the highway, or at a speed that was excessive relative to the road, traffic, visibility or weather conditions. There is virtually no evidence in relation to any of the foregoing. The mere fact of collision with Mr. Miles is neither evidence of a breach of any of these statutory duties nor is it support for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Finlayson</w:t>
      </w:r>
      <w:r>
        <w:rPr>
          <w:rFonts w:ascii="arial" w:eastAsia="arial" w:hAnsi="arial" w:cs="arial"/>
          <w:color w:val="000000"/>
          <w:sz w:val="20"/>
          <w:lang w:val="en-US" w:eastAsia="en-US" w:bidi="ar-SA"/>
        </w:rPr>
        <w:t>, the court was faced with a complete absence of evidence as to how the collision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There is no evidence at all upon which the court can determine how the accident occurred, nor any evidence from which inferences can be drawn indicating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unknown driver. Even the point of impact is in doubt considering the fact that the plaintiff was found on the eastern edge of the West Coast Road. He told the attending constable at the time that an eastbound vehicle struck him leading the constable to believe that the plaintiff had been walking west on the eastern edge of the roadway. The plaintiff's evidence that he crawled across the roadway from the west edge to the east edge did not come to light until his examination for discovery two years later. Furthermore, the plaintiff was extremely intoxicated at the time and considering his actions at Buffy's Pub an hour and a half earlier, his actions or movements at the time could have been erratic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Christensen</w:t>
      </w:r>
      <w:r>
        <w:rPr>
          <w:rFonts w:ascii="arial" w:eastAsia="arial" w:hAnsi="arial" w:cs="arial"/>
          <w:color w:val="000000"/>
          <w:sz w:val="20"/>
          <w:lang w:val="en-US" w:eastAsia="en-US" w:bidi="ar-SA"/>
        </w:rPr>
        <w:t>, the court recognized that evidence of more than a mere failure of a defendant to see the plaintiff before the collision is required to prove the defendant breached the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fact that he did not see Joshua, however, is not conclusive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Embury v. Vanderryst, </w:t>
      </w:r>
      <w:hyperlink r:id="rId1005" w:history="1">
        <w:r>
          <w:rPr>
            <w:rFonts w:ascii="arial" w:eastAsia="arial" w:hAnsi="arial" w:cs="arial"/>
            <w:i/>
            <w:color w:val="0077CC"/>
            <w:sz w:val="20"/>
            <w:u w:val="single"/>
            <w:shd w:val="clear" w:color="auto" w:fill="FFFFFF"/>
            <w:lang w:val="en-US" w:eastAsia="en-US" w:bidi="ar-SA"/>
          </w:rPr>
          <w:t>[1997] B.C.J. No. 1427</w:t>
        </w:r>
      </w:hyperlink>
      <w:r>
        <w:rPr>
          <w:rFonts w:ascii="arial" w:eastAsia="arial" w:hAnsi="arial" w:cs="arial"/>
          <w:color w:val="000000"/>
          <w:sz w:val="20"/>
          <w:lang w:val="en-US" w:eastAsia="en-US" w:bidi="ar-SA"/>
        </w:rPr>
        <w:t xml:space="preserve"> (S.C.) at para. 10, Lowry J. as he then was,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Certainly, where as here a pedestrian, who does not have the right of way, ventures on to a street, he and the driver of an approaching vehicle both bear obligations to avoid an accident. Each has a duty to exercise care, and the question of fault where an accident occurs in consequence of a breach of their duties is to be resolved on the evidence as a whole: Liston v. Striegler </w:t>
      </w:r>
      <w:hyperlink r:id="rId1000" w:history="1">
        <w:r>
          <w:rPr>
            <w:rFonts w:ascii="arial" w:eastAsia="arial" w:hAnsi="arial" w:cs="arial"/>
            <w:i/>
            <w:color w:val="0077CC"/>
            <w:sz w:val="20"/>
            <w:u w:val="single"/>
            <w:shd w:val="clear" w:color="auto" w:fill="FFFFFF"/>
            <w:lang w:val="en-US" w:eastAsia="en-US" w:bidi="ar-SA"/>
          </w:rPr>
          <w:t>(1996), 25 B.C.L.R. (3d) 57</w:t>
        </w:r>
      </w:hyperlink>
      <w:r>
        <w:rPr>
          <w:rFonts w:ascii="arial" w:eastAsia="arial" w:hAnsi="arial" w:cs="arial"/>
          <w:color w:val="000000"/>
          <w:sz w:val="20"/>
          <w:lang w:val="en-US" w:eastAsia="en-US" w:bidi="ar-SA"/>
        </w:rPr>
        <w:t xml:space="preserve"> (B.C.C.A.). But, to establish liability, an injured pedestrian must establish a breach of duty on the part of the driver based on the evidence, and the mere fact that the driver has not seen the pedestrian before striking him is not, without more, sufficient to establish an inadequate lookout attributable to the driver: Plett v. Insurance Corp of British Columbia </w:t>
      </w:r>
      <w:hyperlink r:id="rId1006" w:history="1">
        <w:r>
          <w:rPr>
            <w:rFonts w:ascii="arial" w:eastAsia="arial" w:hAnsi="arial" w:cs="arial"/>
            <w:i/>
            <w:color w:val="0077CC"/>
            <w:sz w:val="20"/>
            <w:u w:val="single"/>
            <w:shd w:val="clear" w:color="auto" w:fill="FFFFFF"/>
            <w:lang w:val="en-US" w:eastAsia="en-US" w:bidi="ar-SA"/>
          </w:rPr>
          <w:t>(1987), 12 B.C.L.R. (2d) 336</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principles in these cases are not in question, but the circumstances that trigger their applicability do not exist in the case at bar. Here, there is evidence of the conduct of both Mr. Bird and Ms. Peters, through Mr. Bird's words to Ms. Harris, as well as other evidence informing the question of whether Mr. Bird's speed was excessive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Bird's account to Ms. Harris includes his admissions of how and where the collision occurred, what his speed was ("70 in a 30"), where Ms. Peters was when she came into his view (lying at the side of the road), and what she did just before she was struck (sat up and looked toward his logging truck looming down on her). Mr. Bird testified to his considerable familiarity with the road through Mt. Currie: he knew the speed limit was 30 km/h, that there was a left turn onto Pemberton Portage Road, that the road was used by pedestrians, and that there were no sidewalks for pedestrian traffic. There was also evidence of compromised driver visibility through Mt. Currie from night darkness, poor street lighting, and a curve in the road. Finally, there was evidence from which it may reasonably be inferred that Mr. Bird was agitated and distracted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accept the foregoing as evidence establishing: (a) the conduct and knowledge/state of mind of Mr. Bird at the time he collided with Ms. Peters; and, (b) the conduct and positioning of Ms. Peters immediately prior to being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for Mr. Bird's frank admissions as proof of their assertions, I have taken the following into consideration: (a) the admissions were made very close in time to the event and in the context of blaming Ms. Harris for causing the collision; and (b) the details he provided are consistent with the scene evidence, the telephone records, and Ms. Peters' testimony. Notably, the seemingly irrelevant and innocuous detail of a red cigarette pack protruding from the pocket of the "man" struck, was not something that either Mr. Bird or Ms. Harris would have had any reason to fabricate.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find that the whole of the evidence establishes the following:</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Bird was operating a heavy logging truck on Highway 99 as he approached the community of Mt. Currie on the night of October 26, 2013;</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Bird was in a "phone fight" with Ms. Harris that night and in an agitated state as he approached Mt. Currie from Squamish;</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Mr. Bird neared the community of Mt. Currie, he ignored the posted 40 km/h reduction in the speed limit and continued at approximately 70 km/h, despite: (i) the need to negotiate a left turn onto Pemberton Portage Road; (ii) limited visibility due to night darkness, poor artificial lighting and the curve in the road, and (iii) his knowledge that pedestrians might well be present on or near the roadway beyond the curve;</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Bird could not negotiate the left turn safely (i.e., without some loss of control) at a speed at or near 70 km/h;</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Bird's view down Pemberton Portage Road was restricted by the road's curve and the darkness;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Bird's excessive speed in the turn caused his truck to pull wide to the right;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headlights of Mr. Bird's truck caught Ms. Peters off to the side of the road, in the truck's widened path. Mr. Bird saw Ms. Peters sit up and look in his direction;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Bird's speed was too great, and his observation of Ms. Peters too late, for him to take any evasive action. Similarly, the truck's excessive speed deprived Ms. Peters (who was conscious and responsive to Mr. Bird's looming truck) of any opportunity to move out of its path;</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Peters was struck and thrown or carried northward along Pemberton Portage Road, where she was left semi-conscious and seriously injured in the middle of the northbound lane as Mr. Bird drove off; 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 am satisfied the foregoing proves, on a balance of probabilities, Mr. Bird's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Bird breached the duty of care he owed to Ms. Peters, as a user of the road, when he negotiated the turn onto Pemberton Portage Road in the dark at more than twice the speed limit, and struck her as she sat at the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 conclude that Mr. Bird's conduct was both a serious breach of his statutory duties under s. 181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of his common law duty as a driver to keep a proper lookout and take reasonable precautions in response to apparent potential hazards (see </w:t>
      </w:r>
      <w:r>
        <w:rPr>
          <w:rFonts w:ascii="arial" w:eastAsia="arial" w:hAnsi="arial" w:cs="arial"/>
          <w:i/>
          <w:color w:val="000000"/>
          <w:sz w:val="20"/>
          <w:lang w:val="en-US" w:eastAsia="en-US" w:bidi="ar-SA"/>
        </w:rPr>
        <w:t>Hmaied, supra</w:t>
      </w:r>
      <w:r>
        <w:rPr>
          <w:rFonts w:ascii="arial" w:eastAsia="arial" w:hAnsi="arial" w:cs="arial"/>
          <w:color w:val="000000"/>
          <w:sz w:val="20"/>
          <w:lang w:val="en-US" w:eastAsia="en-US" w:bidi="ar-SA"/>
        </w:rPr>
        <w:t>, para. 22). More specifically, by driving a logging truck at a speed well in excess of what was safe in all the circumstances - including visibility limited by darkness and a curve in the road - Mr. Bird failed in his duty: (a) to exercise due care to avoid colliding with Ms. Peters as a pedestrian on the highway; and, (b) to observe proper precaution upon observing Ms. Peters as an incapacitated person on the highway. The presence of a pedestrian as Mr. Bird turned onto Pemberton Portage Road in the community of Mt. Currie, was reasonably foreseeable. The significantly reduced speed limit (from "70 to 30") through the community of Mt. Currie was well marked and well known to Mr. Bird. It was in place to give some measure of protection to the lives and safety of all users of the road, particularly given the poor lighting at night and an absence of sidewalks to separate pedestrians from vehicular traffic. At a vehicular speed of 30 km/h both drivers and pedestrians are relatively well-positioned to take measures to avoid colliding. Mr. Bird's excessive speed effectively eliminated his ability to take evasion action when he encountered Ms. Peters, and deprived her of any opportunity to do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summary, I am satisfied that the plaintiff has proved that Mr. Bird breached the duty of care he owed to Ms. Peters when he struck and injured her with his logging 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To what extent was Ms. Peters contributorily negligent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plaintiff has conceded her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submits that she should be found 25% at fault. In support of this position, the plaintiff relies upon </w:t>
      </w:r>
      <w:r>
        <w:rPr>
          <w:rFonts w:ascii="arial" w:eastAsia="arial" w:hAnsi="arial" w:cs="arial"/>
          <w:i/>
          <w:color w:val="000000"/>
          <w:sz w:val="20"/>
          <w:lang w:val="en-US" w:eastAsia="en-US" w:bidi="ar-SA"/>
        </w:rPr>
        <w:t>Wilson, supra</w:t>
      </w:r>
      <w:r>
        <w:rPr>
          <w:rFonts w:ascii="arial" w:eastAsia="arial" w:hAnsi="arial" w:cs="arial"/>
          <w:color w:val="000000"/>
          <w:sz w:val="20"/>
          <w:lang w:val="en-US" w:eastAsia="en-US" w:bidi="ar-SA"/>
        </w:rPr>
        <w:t xml:space="preserve">, and submits that Mr. Bird's fault should be assessed as greater than that of the defendant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the court found that both parties breached duties of care they owed to one another, and attributed 40% of the fault to the plaintiff and 60% to the defendant. As in the case at bar, in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the plaintiff was intoxicated by alcohol and had no memory of the event; however, unlike the instant case, the defendant driver was travelling only 5 km/h in excess of the speed limit and Mr. Wilson stepped unexpectedly into her path, in the dark. The court concluded that the defendant failed to keep an adequate lookout in circumstances where it was reasonably foreseeable that intoxicated pedestrians might be on the road; but, in finding Mr. Wilson 40% liable, the court noted that the defendant's car was "there to be seen and avoided" by Mr. Wilson. He had placed himself in a perilous position by crossing the road in the dark, while he was drunk and wearing dark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the case at bar, the defendants' position is that Ms. Peters' conduct was the primary cause of her injuries, and she should be found 90% at fault. In support of this position, the defendants cite, </w:t>
      </w:r>
      <w:r>
        <w:rPr>
          <w:rFonts w:ascii="arial" w:eastAsia="arial" w:hAnsi="arial" w:cs="arial"/>
          <w:i/>
          <w:color w:val="000000"/>
          <w:sz w:val="20"/>
          <w:lang w:val="en-US" w:eastAsia="en-US" w:bidi="ar-SA"/>
        </w:rPr>
        <w:t>inter alia, Iannone v. Hoogenraad</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(1990), 50 B.C.L.R. (2d) 390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O'Connor v. James</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[2009] B.C.J. No. 1639</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Liston v. Striegler</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[1996] B.C.J. No. 1408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Iannone</w:t>
      </w:r>
      <w:r>
        <w:rPr>
          <w:rFonts w:ascii="arial" w:eastAsia="arial" w:hAnsi="arial" w:cs="arial"/>
          <w:color w:val="000000"/>
          <w:sz w:val="20"/>
          <w:lang w:val="en-US" w:eastAsia="en-US" w:bidi="ar-SA"/>
        </w:rPr>
        <w:t xml:space="preserve">, the court identified two elements a defendant must prove to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must prove two elements: first, that the plaintiff's conduct showed a want of reasonable care for his own safety which caused or rendered the injuries more serious and, secondly, that had he conducted himself in a reasonable manner his injuries would have been avoided or lessened (see Irene Humphrey v. Lance Rancier, </w:t>
      </w:r>
      <w:hyperlink r:id="rId1009" w:history="1">
        <w:r>
          <w:rPr>
            <w:rFonts w:ascii="arial" w:eastAsia="arial" w:hAnsi="arial" w:cs="arial"/>
            <w:i/>
            <w:color w:val="0077CC"/>
            <w:sz w:val="20"/>
            <w:u w:val="single"/>
            <w:shd w:val="clear" w:color="auto" w:fill="FFFFFF"/>
            <w:lang w:val="en-US" w:eastAsia="en-US" w:bidi="ar-SA"/>
          </w:rPr>
          <w:t>[1985] B.C.J. No. 835</w:t>
        </w:r>
      </w:hyperlink>
      <w:r>
        <w:rPr>
          <w:rFonts w:ascii="arial" w:eastAsia="arial" w:hAnsi="arial" w:cs="arial"/>
          <w:color w:val="000000"/>
          <w:sz w:val="20"/>
          <w:lang w:val="en-US" w:eastAsia="en-US" w:bidi="ar-SA"/>
        </w:rPr>
        <w:t>, No. B823071 Vancouver Registry, S.C.B.C. September 18, 1985 McLachlin J. p.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O'Connor</w:t>
      </w:r>
      <w:r>
        <w:rPr>
          <w:rFonts w:ascii="arial" w:eastAsia="arial" w:hAnsi="arial" w:cs="arial"/>
          <w:color w:val="000000"/>
          <w:sz w:val="20"/>
          <w:lang w:val="en-US" w:eastAsia="en-US" w:bidi="ar-SA"/>
        </w:rPr>
        <w:t xml:space="preserve">, the plaintiff was drunk and dressed entirely in non-reflective black clothing as he walked on a darkened roadway with his back to vehicular traffic. The court found that Mr. O'Connor breached several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that the defendant was driving only slightly over the speed limit when he struck Mr. O'Connor, who was "difficult, if not impossible to see". The court found the plaintiff 90% at fault. The court cited the above excerpt from </w:t>
      </w:r>
      <w:r>
        <w:rPr>
          <w:rFonts w:ascii="arial" w:eastAsia="arial" w:hAnsi="arial" w:cs="arial"/>
          <w:i/>
          <w:color w:val="000000"/>
          <w:sz w:val="20"/>
          <w:lang w:val="en-US" w:eastAsia="en-US" w:bidi="ar-SA"/>
        </w:rPr>
        <w:t>Iannone</w:t>
      </w:r>
      <w:r>
        <w:rPr>
          <w:rFonts w:ascii="arial" w:eastAsia="arial" w:hAnsi="arial" w:cs="arial"/>
          <w:color w:val="000000"/>
          <w:sz w:val="20"/>
          <w:lang w:val="en-US" w:eastAsia="en-US" w:bidi="ar-SA"/>
        </w:rPr>
        <w:t>, and then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It is clear that the judgment of Mr. O'Connor was somewhat impaired by alcohol. As well, he was dressed entirely in black without reflective clothing. His clothing made it difficult if not impossible for drivers to see him. Contrary to s. 182(2) of the Motor (Vehicle) Act, Mr. O'Connor was not walking facing traffic, and was not walking on the shoulder of No. 6 Road. Mr. James has shown that the conduct of Mr. O'Connor that evening showed a want of reasonable care for his own safety and that this contributed to causing his injuries. Mr. James has proven that Mr. O'Connor did not conduct himself in a reasonable manner so that his injuries could have been avoided or, at least, diminished. In the circumstances, I assess liability at 90% against Mr. O'Connor and 10% against Mr.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Liston</w:t>
      </w:r>
      <w:r>
        <w:rPr>
          <w:rFonts w:ascii="arial" w:eastAsia="arial" w:hAnsi="arial" w:cs="arial"/>
          <w:color w:val="000000"/>
          <w:sz w:val="20"/>
          <w:lang w:val="en-US" w:eastAsia="en-US" w:bidi="ar-SA"/>
        </w:rPr>
        <w:t>, the drunk and darkly clad plaintiff ran into the path of the defendant's motor cycle, in an attempt to cross the street outside of a crosswalk and in a poorly lit area. The defendant driver was travelling at, or close to, the speed limit of 50 km/h and did not see Ms. Liston until she was 20-30 feet away; he braked but was unable to avoid colliding with her. On appeal,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trial judge's findings regarding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each of the parties which contributed to the accident lead inexorably to the conclusion that Ms. Liston was more at fault for the accident than was Mr. Striegler. While it is always difficult to apportion degrees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evidence suffers from the frailties to which I have referred, I conclude that an appropriate apportionment of liability in this case would be 60/40 against Ms. Liston.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Turning to the case at bar, Ms. Peters' concession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from the very vulnerable position in which she placed herself due to her high degree of alcohol intoxication. Ms. Peters acknowledged that she showed a want of reasonable care for her own safety. The only live issue is the apportionment of liability between Mr. Bird and Ms. Peters.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Having due regard for the case law cited and the respective negligent conduct of the parties, I conclude that Ms. Peters' liability should be assessed at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conduct of Mr. Bird and Ms. Peters is materially distinguishable from the parties in </w:t>
      </w:r>
      <w:r>
        <w:rPr>
          <w:rFonts w:ascii="arial" w:eastAsia="arial" w:hAnsi="arial" w:cs="arial"/>
          <w:i/>
          <w:color w:val="000000"/>
          <w:sz w:val="20"/>
          <w:lang w:val="en-US" w:eastAsia="en-US" w:bidi="ar-SA"/>
        </w:rPr>
        <w:t>O'Connor, Liston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In each of these cases, a darkly-clad and intoxicated plaintiff either ran or walked into the path of a defendant whose negligent conduct was far from egregious. In contrast, Ms. Peters was simply lying or sitting on the side of the road when she was struck by Mr. Bird. She was not dressed in black; her jeans were medium blue in colour, her jacket was light brown and white, and her running shoes were white-soled with white toe caps. Ms. Peters would not have been difficult to see in the headlights of an approaching driver; indeed, Mr. Bird did see her but he was travelling at too great a speed to avoid hitting her. I am satisfied it is very likely that an attentive driver travelling at or near 30 km/h would not have struck her. There is no question that Mr. Bird's negligent conduct in driving more than twice the speed limit in all the circumstances identified herein, was a serious breach of his duty of care, and that he should be held primarily responsible for the collision with Ms. Peters. Ms. Peters' concession of 25% fault is more than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defendants Glen Bird and T. Clark &amp; Son Trucking Ltd. are 75%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the damages caused to the plaintiff Patricia Peters.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L.W. BERNARD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8"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0"/>
          <w:headerReference w:type="default" r:id="rId1011"/>
          <w:footerReference w:type="even" r:id="rId1012"/>
          <w:footerReference w:type="default" r:id="rId1013"/>
          <w:headerReference w:type="first" r:id="rId1014"/>
          <w:footerReference w:type="first" r:id="rId10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6" w:history="1">
        <w:r>
          <w:rPr>
            <w:rFonts w:ascii="arial" w:eastAsia="arial" w:hAnsi="arial" w:cs="arial"/>
            <w:b/>
            <w:bCs/>
            <w:i/>
            <w:color w:val="0077CC"/>
            <w:kern w:val="32"/>
            <w:sz w:val="28"/>
            <w:szCs w:val="32"/>
            <w:u w:val="single"/>
            <w:shd w:val="clear" w:color="auto" w:fill="FFFFFF"/>
            <w:lang w:val="en-US" w:eastAsia="en-US" w:bidi="ar-SA"/>
          </w:rPr>
          <w:t>Prempeh v. Boisvert, [2012] I.L.R. para. M-2592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February 29,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M095696</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[2012] I.L.R. para. M-2592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[2012] B.C.J. No. 413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2012 BCSC 304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Margaret Prempeh Plaintiff v. Paul Boisvert also known as Ray Boisvert and Coast Mountain Bus Company Ltd. and South Coast British Columbia Transportation Authority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9"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0" w:name="Keywords_42"/>
      <w:bookmarkEnd w:id="300"/>
      <w:r>
        <w:rPr>
          <w:rFonts w:ascii="arial" w:eastAsia="arial" w:hAnsi="arial" w:cs="arial"/>
          <w:b/>
          <w:color w:val="000000"/>
          <w:sz w:val="20"/>
          <w:lang w:val="en-US" w:eastAsia="en-US" w:bidi="ar-SA"/>
        </w:rPr>
        <w:t xml:space="preserve">Liability — Personal injury damages — Lower back and wrist - - Bus driver's sudden hard stop caused plaintiff to fall to floor of bus — Court concluded bus driver failed to drive in reasonable and careful manner consistent with high duty of care imposed on public transit drivers — Totality of evidence established a prima facie case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bus driver — Plaintiff not contributorily negligent — Plaintiff had physically demanding job as residential care aide and, after accident, required accommodation at work — Court awarded $60,000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1" w:name="Case Summary_40"/>
            <w:bookmarkEnd w:id="301"/>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sustained injuries in a fall on board a transit bus. The bus driver stopped suddenly and the plaintiff fell to the floor, injuring her lower back and right wrist. She worked as a residential care aide and had physically demanding duties; after the accident, she required accommodation at work. The defendant bus driver alleged he stopped suddenly in order to avoid colliding with the two vehicles in front of him that had braked.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2" w:name="Holdings of Court_31"/>
            <w:bookmarkEnd w:id="302"/>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concluded that the bus driver was negligent,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injuries, and that the plaintiff was not contributorily negligent. The Court found that a reasonably prudent bus driver would drive defensively and maintain a safe distance from a vehicle travelling in front of the bus. The Court could not determine the cause of the sudden hard application of the brakes, but the totality of the evidence established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bus driver. The Court concluded that none of the driver's explanations were an answer to the claim. The bus driver did not conduct himself in a reasonable and careful manner consistent with the high duty of care imposed on public transit drivers. Finding the plaintiff credible and accepting her medical evidence, the Court awarded non-pecuniary damages of $60,000. The Court also awarded $45,000 for loss of future earning capacity, because there was a real and substantial possibility the plaintiff's earnings would decrease as a result of her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3" w:name="Counsel_44"/>
      <w:bookmarkEnd w:id="3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0"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R.D. Gibbens and K.R. Hamilton for the plaintiff; G. Chambers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4" w:name="Judgment_43"/>
      <w:bookmarkEnd w:id="304"/>
      <w:r>
        <w:pict>
          <v:line id="_x0000_s1241" style="position:absolute;z-index:2518067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5" w:name="D.J. DARDI J."/>
            <w:bookmarkEnd w:id="305"/>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24, 2007, the plaintiff Margaret Prempeh (also known as Margaret Ekye) sustained injuries when she fell while onboard a transit bus in Vancouver. When the bus stopped suddenly the plaintiff was propelled forward to the floor at the front of the bus from her standing position by the rear door. It is uncontentious that the plaintiff sustained injuries in the fall and that her primary injuries were to her lower back and right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bus was driven by the defendant Paul Boisvert, who is an employee of the defendant Coast Mountain Bus Company Ltd. The bus was owned by the defendant South Coast British Columbia Transportation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deny any responsibility for the incident. They contend that if they bear any degree of responsibility for the incident,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general damages for pain and suffering, loss of past and future earning capacity, loss of housekeeping capacity, future care costs,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for determination are:</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plaintiff's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Boisvert and if so,</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quantum of damages the plaintiff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address these issues separately under the headings of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For the reasons that follow, I conclude that Mr. Boisvert was negligent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injuries. The plaintiff was not contributorily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find that the evidence establishes the following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incident occurred on a sunny Saturday afternoon on November 24, 2007. The plaintiff, who was a regular transit user, was taking the bus to work. At the time of the incident the trolley bus was proceeding westbound on its route down Hastings Street in downtown Vancouver. At this point on the route Hastings Street has two westbound lanes. Mr. Boisvert, who was a bus driver for approximately six years at the time of the incident, described the traffic conditions that day as "Saturday shopping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bus passed through the intersection of Cambie Street and Hastings Street (the "Intersection") just prior to the incident. Mr. Boisvert was driving the bus in the inside or centre lane in order to negotiate the bus through the curve immediately before the Intersection. Mr. Boisvert cannot recall how far he was travelling behind the car in front of him when he crossed the Intersection. After clearing the Intersection, Mr. Boisvert intended to move into the curb lane because he was approaching the next bus stop. However, due to the traffic he was not able to move into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Boisvert vigorously and abruptly applied the brakes to avoid a collision with the two vehicles which had stopped ahead of him. The first car was turning left onto Hamilton Street which caused the car behind it to stop. Mr. Boisvert admitted that the second vehicle did not honk at the first vehicle, nor did he hear any screeching of brakes. In my view it is significant that Mr. Boisvert braked in response to two, rather than one vehicles having stopped in the traffic lane in front of him. Mr. Boisvert described the stop he made as a "hard stop" which he had to make more quickly "than normal". He did not warn the bus passengers that there would be a sudden stop because he himself was surprised.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who routinely rode this route to work, was seated on the aisle seat of a double seat. She was seated across from the rear doors of the bus. She was wearing low-heeled shoes. After the bus had passed through the Intersection, the plaintiff stood up because she intended to disembark at the next bus stop. There were no other passengers standing on the bus. As she got up she held the metal handle on the back of the seat with her right hand in order to support herself. She was holding her purse in her left hand. After the bus braked abruptly the plaintiff found herself in the aisle near the front of the bus. She landed in a sitting position on her hands, buttocks and heels, facing the front of the bus and in close proximity to Mr. Boisvert. A fellow passenger assisted her to her feet and assisted her with disembarking from the front door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Immediately after the application of the brakes, Mr. Boisvert heard a commotion and he realized that a passenger had fallen on his bus. Mr. Boisvert pulled into the curb lane and stopped at the bus stop. He observed the plaintiff getting up off the floor. I accept the plaintiff's evidence that after the incident some of the other bus passengers expressed anger and uttered expletives at Mr. Boisvert. There is a dispute on the evidence as to whether Mr. Boisvert spoke to the plaintiff after the incident. Mr. Boisvert says he asked the plaintiff if she was all right. According to Mr. Boisvert she did not respond. The plaintiff testified that Mr. Boisvert never spoke to her. It is consistent with the probabilities of the situation that the plaintiff never heard Mr. Boisvert's utterance. The essential point here is that Mr. Boisvert was alerted to the possibility of the plaintiff having injured herself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telephoned to report the incident to the bus company within the next few days. Shortly thereafter Mr. Boisvert completed an Employee Incident Report. In the report he did not draw any diagrams nor did he recount in any comprehensive way the details of what had transpired that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principles that govern the disposition of this case are uncontroversial. The reasonable foreseeability test informs the analysis of liability. The standard of care owed to a plaintiff passenger by a defendant bus driver is the conduct or behaviour that would be expected of a reasonably prudent bus driver in the circumstances. This is an objective test that takes into consideration both the experience of the average bus driver and anything the defendant driver knew or should have known: </w:t>
      </w:r>
      <w:r>
        <w:rPr>
          <w:rFonts w:ascii="arial" w:eastAsia="arial" w:hAnsi="arial" w:cs="arial"/>
          <w:i/>
          <w:color w:val="000000"/>
          <w:sz w:val="20"/>
          <w:lang w:val="en-US" w:eastAsia="en-US" w:bidi="ar-SA"/>
        </w:rPr>
        <w:t>Wang v. Horrod</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at para. 39 (C.A.); </w:t>
      </w:r>
      <w:r>
        <w:rPr>
          <w:rFonts w:ascii="arial" w:eastAsia="arial" w:hAnsi="arial" w:cs="arial"/>
          <w:i/>
          <w:color w:val="000000"/>
          <w:sz w:val="20"/>
          <w:lang w:val="en-US" w:eastAsia="en-US" w:bidi="ar-SA"/>
        </w:rPr>
        <w:t>Patoma v. Clarke</w:t>
      </w:r>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2009 BCSC 1069</w:t>
        </w:r>
      </w:hyperlink>
      <w:r>
        <w:rPr>
          <w:rFonts w:ascii="arial" w:eastAsia="arial" w:hAnsi="arial" w:cs="arial"/>
          <w:color w:val="000000"/>
          <w:sz w:val="20"/>
          <w:lang w:val="en-US" w:eastAsia="en-US" w:bidi="ar-SA"/>
        </w:rPr>
        <w:t xml:space="preserv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is well-settled on the authorities that the standard of care imposed on a public carrier is a high one. However the principle to be derived from the authorities is that the standard to be applied to the bus driver is not one of perfection nor is a defendant bus driver effectively to be an insurer for every fall or mishap that occurs on a bus: </w:t>
      </w:r>
      <w:r>
        <w:rPr>
          <w:rFonts w:ascii="arial" w:eastAsia="arial" w:hAnsi="arial" w:cs="arial"/>
          <w:i/>
          <w:color w:val="000000"/>
          <w:sz w:val="20"/>
          <w:lang w:val="en-US" w:eastAsia="en-US" w:bidi="ar-SA"/>
        </w:rPr>
        <w:t>Patoma</w:t>
      </w:r>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Day v. Toronto Transportation Commission</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[1940] S.C.R. 433</w:t>
        </w:r>
      </w:hyperlink>
      <w:r>
        <w:rPr>
          <w:rFonts w:ascii="arial" w:eastAsia="arial" w:hAnsi="arial" w:cs="arial"/>
          <w:color w:val="000000"/>
          <w:sz w:val="20"/>
          <w:lang w:val="en-US" w:eastAsia="en-US" w:bidi="ar-SA"/>
        </w:rPr>
        <w:t>, is the seminal case dealing with the liability of public carriers. The plaintiff, a passenger in a street car owned by the defendant, while standing and picking up a parcel in preparation to disembark, was thrown to the floor and injured by the sudden application of the emergency brake. The articulation of the standard of care was stated as follows by Hudson J. at 441: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carrier of passengers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 4 Hals., p. 60, paras. 92 and 95. In an old case of </w:t>
      </w:r>
      <w:r>
        <w:rPr>
          <w:rFonts w:ascii="arial" w:eastAsia="arial" w:hAnsi="arial" w:cs="arial"/>
          <w:i/>
          <w:color w:val="000000"/>
          <w:sz w:val="20"/>
          <w:lang w:val="en-US" w:eastAsia="en-US" w:bidi="ar-SA"/>
        </w:rPr>
        <w:t>Jackson v. Tollett</w:t>
      </w:r>
      <w:r>
        <w:rPr>
          <w:rFonts w:ascii="arial" w:eastAsia="arial" w:hAnsi="arial" w:cs="arial"/>
          <w:color w:val="000000"/>
          <w:sz w:val="20"/>
          <w:lang w:val="en-US" w:eastAsia="en-US" w:bidi="ar-SA"/>
        </w:rPr>
        <w:t xml:space="preserve"> (1817) 2 Starkie 37, the rule was stated by Lord Ellenborough, at p. 38,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Every person who contracts for conveyance of others, is bound to use the utmost care and skill, and if, through any erroneous judgment on his part, any mischief is occasioned, he must answer for the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principles articulated in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xml:space="preserve"> have been interpreted by the courts in this province as endorsing the following analytical approach - once a passenger on a public carrier has been injured in an accident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raised and it is for the public carrier to establish that the passenger's injuries were occasioned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or that it resulted from a cause for which the carrier was not responsible: </w:t>
      </w:r>
      <w:r>
        <w:rPr>
          <w:rFonts w:ascii="arial" w:eastAsia="arial" w:hAnsi="arial" w:cs="arial"/>
          <w:i/>
          <w:color w:val="000000"/>
          <w:sz w:val="20"/>
          <w:lang w:val="en-US" w:eastAsia="en-US" w:bidi="ar-SA"/>
        </w:rPr>
        <w:t>Planidin v. Dykes</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[1984] B.C.J. No. 907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Visanji v. Eaton and Coast Mountain Bus Co. Ltd.</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2006 BCSC 656</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However it must be noted that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46 B.C.L.R. (3d) 1</w:t>
        </w:r>
      </w:hyperlink>
      <w:r>
        <w:rPr>
          <w:rFonts w:ascii="arial" w:eastAsia="arial" w:hAnsi="arial" w:cs="arial"/>
          <w:color w:val="000000"/>
          <w:sz w:val="20"/>
          <w:lang w:val="en-US" w:eastAsia="en-US" w:bidi="ar-SA"/>
        </w:rPr>
        <w:t xml:space="preserve">, Major J. in discussing the doctrine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in the context of a single car accident, observed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It would appear that the law would be better served if the maxim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After all, it was nothing more than an attempt to deal with circumstantial evidence. That evidence is more sensibly dealt with by the trier of fact, who should weigh the circumstantial evidence with the direct evidence, if any, to determine whether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Visanji</w:t>
      </w:r>
      <w:r>
        <w:rPr>
          <w:rFonts w:ascii="arial" w:eastAsia="arial" w:hAnsi="arial" w:cs="arial"/>
          <w:color w:val="000000"/>
          <w:sz w:val="20"/>
          <w:lang w:val="en-US" w:eastAsia="en-US" w:bidi="ar-SA"/>
        </w:rPr>
        <w:t xml:space="preserve">, the court after canvassing the pertinent authorities provides the following helpful formulation of the principles which govern the determination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public carrier: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Whether the burden upon a public carrier in cases of injury or accident sustained by a passenger can be referred to as the shifting of the burden as in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xml:space="preserve">, or a matter of inferences to be drawn from the evidence once the plaintiff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carrier as articulated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it is for the defendant to present evidence to answer, or be found negligent: </w:t>
      </w:r>
      <w:r>
        <w:rPr>
          <w:rFonts w:ascii="arial" w:eastAsia="arial" w:hAnsi="arial" w:cs="arial"/>
          <w:i/>
          <w:color w:val="000000"/>
          <w:sz w:val="20"/>
          <w:lang w:val="en-US" w:eastAsia="en-US" w:bidi="ar-SA"/>
        </w:rPr>
        <w:t>Nice v. Calgary (City)</w:t>
      </w:r>
      <w:r>
        <w:rPr>
          <w:rFonts w:ascii="arial" w:eastAsia="arial" w:hAnsi="arial" w:cs="arial"/>
          <w:color w:val="000000"/>
          <w:sz w:val="20"/>
          <w:lang w:val="en-US" w:eastAsia="en-US" w:bidi="ar-SA"/>
        </w:rPr>
        <w:t xml:space="preserve"> (2000), </w:t>
      </w:r>
      <w:hyperlink r:id="rId1018" w:history="1">
        <w:r>
          <w:rPr>
            <w:rFonts w:ascii="arial" w:eastAsia="arial" w:hAnsi="arial" w:cs="arial"/>
            <w:i/>
            <w:color w:val="0077CC"/>
            <w:sz w:val="20"/>
            <w:u w:val="single"/>
            <w:shd w:val="clear" w:color="auto" w:fill="FFFFFF"/>
            <w:lang w:val="en-US" w:eastAsia="en-US" w:bidi="ar-SA"/>
          </w:rPr>
          <w:t>83 Alta. L.R. (3d) 1</w:t>
        </w:r>
      </w:hyperlink>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2000 ABCA 221</w:t>
        </w:r>
      </w:hyperlink>
      <w:r>
        <w:rPr>
          <w:rFonts w:ascii="arial" w:eastAsia="arial" w:hAnsi="arial" w:cs="arial"/>
          <w:color w:val="000000"/>
          <w:sz w:val="20"/>
          <w:lang w:val="en-US" w:eastAsia="en-US" w:bidi="ar-SA"/>
        </w:rPr>
        <w:t xml:space="preserve">, at para. 46, leave to appeal to S.C.C. ref'd, </w:t>
      </w:r>
      <w:hyperlink r:id="rId1019" w:history="1">
        <w:r>
          <w:rPr>
            <w:rFonts w:ascii="arial" w:eastAsia="arial" w:hAnsi="arial" w:cs="arial"/>
            <w:i/>
            <w:color w:val="0077CC"/>
            <w:sz w:val="20"/>
            <w:u w:val="single"/>
            <w:shd w:val="clear" w:color="auto" w:fill="FFFFFF"/>
            <w:lang w:val="en-US" w:eastAsia="en-US" w:bidi="ar-SA"/>
          </w:rPr>
          <w:t>[2000] S.C.C.A. No. 483</w:t>
        </w:r>
      </w:hyperlink>
      <w:r>
        <w:rPr>
          <w:rFonts w:ascii="arial" w:eastAsia="arial" w:hAnsi="arial" w:cs="arial"/>
          <w:color w:val="000000"/>
          <w:sz w:val="20"/>
          <w:lang w:val="en-US" w:eastAsia="en-US" w:bidi="ar-SA"/>
        </w:rPr>
        <w:t xml:space="preserve"> (S.C.C. Mar. 29, 2001).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can be no dispute that Mr Boisvert owed the plaintiff a duty of care. This case turns on whether Mr. Boisvert breached the standard of care he owed to the plaintiff. The plaintiff alleges that Mr. Boisvert did not meet the standard of care in the following respects: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provide appropriate distance or a safe cushion between the vehicles ahead;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defective brakes;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 the passengers of the hard stop.</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Did Mr. Boisvert breach the standard of care by failing to keep an appropriate distance or safe cushion between the vehicles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Boisvert was required to brake hard to avoid hitting the two vehicles that had stopped on the roadway in front of the bus he was operating. The first of the vehicles had stopped to turn left on Hamilton Street. The second car stopped behind the left-turning vehicle without a collision and without accompanying honking or screeching of brakes. It can reasonably be inferred that this occurred within a time frame that should have permitted a reasonably prudent user of the road driving behind those vehicles an opportunity to react and brake without incident. The application of the brakes was not a reaction to an emergency or unexpected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Moreover, Mr. Boisvert properly conceded that, regardless of an abrupt or unexpected stop of a vehicle ahead, in order to prevent accidents prudence mandates that at all times a bus driver drive defensively and maintain a safe cushion or certain distance from a vehicle travelling in front of the bus. This is precisely to be able to stop safely in the event of an unexpected manoeuvre by that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cannot find with precision whether the sudden and hard application of the brakes occurred because Mr. Boisvert was travelling too rapidly, not maintaining a diligent look-out or because he failed to maintain a safe distance from the vehicle in front of him. However, in weighing all of the evidence I have concluded that Mr. Boisvert's sudden and vigorous application of the brakes, in the context of all the circumstances in this case, establishes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Boisvert. It is not conduct attributable to a reasonably prudent bus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Having found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onus is upon the defendants to establish that Mr. Boisvert was not negligent or that the incident was attributable to some specific cause consistent with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note that Mr. Boisvert's assertion at his examination for discovery that he could have stopped smoothly but the bus brakes on the new trolley bus "grabbed" and caused a "hard stop" is no answer to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Boisvert was an experienced bus driver. The plaintiff was entitled to expect that he would operate the bus in a safe, proper and prudent manner. The plaintiff cannot be expected to assume any risk associated with the operation of the vehicle which could not reasonably be anticipated by a passenger. The usual braking of a driver as he moves through traffic would not cause a passenger to be thrown to the floor so violently. Moreover it is well established on the authorities that the responsibility of a public carrier extends to ensuring that its modes of conveyance permit the bus to be operated in a safe and proper manner: </w:t>
      </w:r>
      <w:r>
        <w:rPr>
          <w:rFonts w:ascii="arial" w:eastAsia="arial" w:hAnsi="arial" w:cs="arial"/>
          <w:i/>
          <w:color w:val="000000"/>
          <w:sz w:val="20"/>
          <w:lang w:val="en-US" w:eastAsia="en-US" w:bidi="ar-SA"/>
        </w:rPr>
        <w:t>Visanji</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have considered all of the authorities provided by both parties. Though useful as providing guidance on the governing principles, each case turns on its own facts. I note that unlike the circumstances in </w:t>
      </w:r>
      <w:r>
        <w:rPr>
          <w:rFonts w:ascii="arial" w:eastAsia="arial" w:hAnsi="arial" w:cs="arial"/>
          <w:i/>
          <w:color w:val="000000"/>
          <w:sz w:val="20"/>
          <w:lang w:val="en-US" w:eastAsia="en-US" w:bidi="ar-SA"/>
        </w:rPr>
        <w:t>Lalani v. Wilson</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[1988] B.C.J. No. 2408</w:t>
        </w:r>
      </w:hyperlink>
      <w:r>
        <w:rPr>
          <w:rFonts w:ascii="arial" w:eastAsia="arial" w:hAnsi="arial" w:cs="arial"/>
          <w:color w:val="000000"/>
          <w:sz w:val="20"/>
          <w:lang w:val="en-US" w:eastAsia="en-US" w:bidi="ar-SA"/>
        </w:rPr>
        <w:t xml:space="preserve"> (S.C.), upon which the defendant relies, the bus driver here was aware that the plaintiff had fallen - the possibility of injury was self-evident. Mr. Boisvert's attention was drawn to such a possibility at the time of the incident and in compliance with the bus operator training manual he should have recorded all pertinent information regarding the incident. While the court in </w:t>
      </w:r>
      <w:r>
        <w:rPr>
          <w:rFonts w:ascii="arial" w:eastAsia="arial" w:hAnsi="arial" w:cs="arial"/>
          <w:i/>
          <w:color w:val="000000"/>
          <w:sz w:val="20"/>
          <w:lang w:val="en-US" w:eastAsia="en-US" w:bidi="ar-SA"/>
        </w:rPr>
        <w:t>Lalani</w:t>
      </w:r>
      <w:r>
        <w:rPr>
          <w:rFonts w:ascii="arial" w:eastAsia="arial" w:hAnsi="arial" w:cs="arial"/>
          <w:color w:val="000000"/>
          <w:sz w:val="20"/>
          <w:lang w:val="en-US" w:eastAsia="en-US" w:bidi="ar-SA"/>
        </w:rPr>
        <w:t xml:space="preserve"> found it would have been unfair to shift the burden, this is not so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balance I am not satisfied that the defendants have shown that Mr. Boisvert conducted himself in a reasonable and careful manner consistent with the high duty of care imposed on those engaged in public transit. In the result, I conclude that Mr. Boisvert, however fleetingly, breached the standard of care of a reasonably prudent bus driver. I find the defendants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Given my conclusions it is not necessary to make any findings with respect to 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regarding the failure to warn and the defective brakes.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the plaintiff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assert that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essential inquiry is whether the plaintiff failed to take reasonable care for her own safety and whether the failure was one of the causes of the incident: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submit that if the plaintiff had been holding on or seated at the time of the incident, the unfortunate incident could have been avoided. I accept the plaintiff's evidence that at the time of the incident she was holding the metal handle on the back of her seat. I agree with plaintiff's counsel that this is a critical fact. The defendants were unable to point to any authority where a plaintiff was found contributorily negligent in circumstances where the plaintiff was holding a support or stanchion on the bus at the time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the plaintiff acted reasonably in the circumstances. I reject the defendants' submissions that the plaintiff's grip on the support was inadequate or not secure enough. Contrary to the defendants' contention, this was not the usual braking of a bus driver as he moves through traffic. As I stated earlier the movement of the bus that caused the plaintiff to fall was not within the normal range of movement that passengers reasonably ought to expect on buses. On Mr. Boisvert's own evidence it was a "hard stop" and he "had to make a stop quicker than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busy urban traffic the defendants reasonably expect passengers to be at the doors when the doors open at the designated bus stop; otherwise city buses would be delayed. One is expected to stand in a bus which is precisely why the buses are equipped with supports including those handles behind the seat. The plaintiff in this case held onto the metal handle on the back of her seat and through no fault of her own was thrown forward when the bus driver abruptly and vigorously braked.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short on this issue I find nothing in the plaintiff's conduct which departed from that conduct expected of a reasonably prudent able-bodied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Accordingly, I conclude that the plaintiff was not contributorily negligent. The defendants are wholly liable for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is entitled to damages as a result of the injuries she sustained in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Before addressing the damages analysis, I turn to the pertinent facts established on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who is 49 years old, immigrated to Canada from Ghana in 1988. She is a single mother with three children ages 15, 19 and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has been working full-time as a residential care aide at a multi-level care facility in Vancouver for over 17 years. She works eight hours per day five shifts per week on a rotational basis. The plaintiff's patient case load varies depending on the time of the shift she works - for the day shift she is responsible for up to 13 residents, on the evening shift up to 25 residents, and on the night shift up to 36 residents. There is a "floater" available for assistance on the day and evening shifts, but not on the night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residents are primarily males; some have addiction or mental health problems and are very aggressive. As a residential care aide she assists residents with the activities of daily living including dressing, bathing, feeding and personal care. She changes their bed linens. Her duties include lifting, transferring, and ambulating patients as required. Residents who vary in size and weight are required to be pushed in their wheelchairs. For some residents the use of a mechanical lift is required for transfers. The evidence supports a finding that this is a physically demanding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sustained a workplace injury to her neck and lower back on May 19, 2004, when she transferred a resident from a wheelchair to a bed. She was diagnosed with mechanical low back pain. She was off work from May 20, 2004, and after a graduated return to work which commenced on July 20, 2004, she returned to full-time duties on September 24, 2004. As a result of this injury she attended physiotherapy from June 3, 2004 to July 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also injured her lower back at work on November 12, 2005; she was diagnosed with low back strain. She was off work from November 13, 2005, and after a graduated return to work which commenced on December 13, 2005, she returned to full-time duties on February 17, 2006. As a result of this injury she attended physiotherapy from November 29, 2005 to January 16,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the time of the incident the plaintiff had fully recovered from her prior injuries and she was free from any residual back pain symptoms. Prior to the incident her last report of back pain to her family doctor was on February 14,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Incident and post incident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defendants do not dispute that the plaintiff was injured when she fell on the bus because of the sudden and forceful application of the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Immediately after the subject incident, the plaintiff disembarked from the bus at her usual bus stop and walked a short distance - a half-city block - to the care facility where she was employed. She described herself as being in shock. That evening she had difficulty working her full shift as a residential care aide. She was very tired and her whole body ached. She was not able to go to work the next day. She went to see Dr. David her family doctor at the beginning of the week. On her doctor's recommendation she took time off work to recover from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experienced pain in her lower back, neck, heels and right wrist. The predominant injuries were to her lower back and her right wrist. She described her back pain as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rested and underwent 38 sessions of physiotherapy which she found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remained off work until February 21, 2008, at which time she commenced her graduated return to work program. In March 2008, she purchased a lumbar corset to wear at work. By April 28, 2008, she was back to full-time hours but not full-time duties. She was put under the care of an occupational therapist who designed an eight week return to work schedule. In August 2008, upon the completion of the eight week return to work program, she was able to return to her full-time duties and full-time hours as a residential care aide.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During her recovery period the plaintiff found that she had less energy for socializing. She found the isolation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By August 2008, her heel pain had substantially resolved. She continues to experience some residual pain in her heels if she walks long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injury to her right wrist had not completely recovered by August 2008, but the pain had somewhat subsided. She experienced an aggravation of her wrist injury in December 2010, when she banged her wrist. Her family doctor referred her to a hand clinic where she underwent therapy until June 2011. She was prescribed a splint which she continues to utilize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Her low back pain persisted. From August 2008 to March 2009, she attended a local swimming pool and did the recommended aquatic exercise program. She discontinued this in March 2009, when she moved residence.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evidence establishes that although her back pain has improved the plaintiff continues to experience persistent low back pain which varies in intensity. She reports and I find that she experiences episodic flare-ups of her back pain. Her back pain impacts her sleep from time to time. She continues to wear a wrist splint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continues to work full-time. However in order to do so - and in addition to wearing the wrist splint - she requires a lumbar corset for support which she wears for the duration of her shift. According to the medical evidence this permits her to load her muscles. She no longer works the night shift (11:00 p.m. to 7:00 a.m.) because she finds it too strenuous. When the plaintiff experiences flare-ups she takes vacation days. She estimates this at one or two days a month although she has taken up to five days at a time. The evidence supports a finding that she is reluctant to miss work and that for the most part she endures her pain and discomfort at work because she does not want to jeopardize the economic support that she provides to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She no longer attends physiotherapy because of financial constraints. However she continues to do daily stretching exercises for both her back and wrist. She applies heat and liniment to her low back. She takes Tylenol for pain relief. She also runs her wrist under hot water during her work shift to alleviate her discomfort. On medical advice she removes the lumbar corset when she is not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evidence regarding the impact of her injuries on her work life was corroborated by two witnesses - one of the plaintiff's former supervisors who is a registered nurse, and a co-worker. They both worked with the plaintiff before and after the incident and related their observations of the plaintiff's performance as a residential care aide after the incident. I found them both to be credible witnesses. The totality of the evidence establishes that because of the injuries she sustained in the incident the plaintiff takes longer and more frequent breaks than she did prior to the incident and that she is slower at her duties than prior to the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family doctor referred her to Dr. Herschler, a medical doctor who is a specialist in physical medicine and rehabilitation. He assessed the plaintiff on May 24, 2011. Dr. Herschler also provided a medical-legal opinion and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physical examination he found tightness in her back and major pain on extension. At the bottom limits of the squatting position the plaintiff experienced severe pain in the low back and fell on the floor. Examination of the right wrist revealed soft tissue tenderness and weakness in the right hand compared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May 24, 2011, the plaintiff reported to Dr. Herschler that on the pain scale her daily pain levels were at five-six out of ten; her back pain levels were highest at the end of her work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is his opinion that the plaintiff's mechanical low back pain and wrist injury were both caused by the subject incident. His prognosis is set out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Margaret Ekye [the plaintiff] continues to have chronic pain more than 3 1/2 years post-accident. In my own practice 80% of individuals with this type of presentation take 3 years for the symptoms to resolve to a tolerable level which then enables them to return to full functioning. Another 10% take 5 years and 10% have permanent symptoms which limit function on a permanent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this model, it is likely that Margaret Ekye will continue to be symptomatic for at least another 1-2 years if not longer. I cannot be certain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Herschler opined that there is a 50% chance that within two years the plaintiff's pain will become more tolerable and she will return to full functioning, and a 50% chance that her chronic pain will persist indefinitely without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defence called no medical evidence to attempt to rebut Dr. Herschler's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argue that the injuries sustained in the incident are no longer as significant as the plaintiff alleges. The defendants rely on the fact that after the plaintiff's return to work in August 2008, her family doctor recorded only sporadic complaints of lower back pain - namely January 22, 2009; October 19, 2009; and December 20, 2010. This is despite the fact that she saw her doctor on a fairly regular basis throughout that time period due to other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 clearly suffered an exacerbation of her back pain on the occasions that she reported it to her family doctor. I find no fault with the plaintiff for not reporting her chronic pain to her family doctor more frequently. As observed by the Court in </w:t>
      </w:r>
      <w:r>
        <w:rPr>
          <w:rFonts w:ascii="arial" w:eastAsia="arial" w:hAnsi="arial" w:cs="arial"/>
          <w:i/>
          <w:color w:val="000000"/>
          <w:sz w:val="20"/>
          <w:lang w:val="en-US" w:eastAsia="en-US" w:bidi="ar-SA"/>
        </w:rPr>
        <w:t>Crane v. Lee</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2011 BCSC 898</w:t>
        </w:r>
      </w:hyperlink>
      <w:r>
        <w:rPr>
          <w:rFonts w:ascii="arial" w:eastAsia="arial" w:hAnsi="arial" w:cs="arial"/>
          <w:color w:val="000000"/>
          <w:sz w:val="20"/>
          <w:lang w:val="en-US" w:eastAsia="en-US" w:bidi="ar-SA"/>
        </w:rPr>
        <w:t xml:space="preserve"> at para. 25, an absence of a documentary medical record chronicling her pain does not in itself prove an absence of injury. The Court's comments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are apt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 But a plaintiff whose condition neither deteriorates nor improves is not obliged to constantly bother busy doctors with reports that nothing has changed, particularly if the plaintiff has no reason to expect the doctors will be able to offer any new or different treatment. Similarly, a plaintiff who seeks medical attention for unrelated conditions is not obliged to recount the history of the accident and the resulting injury to a doctor who has not been asked to treat the injury and has no reason to be interested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Similarly the Court in </w:t>
      </w:r>
      <w:r>
        <w:rPr>
          <w:rFonts w:ascii="arial" w:eastAsia="arial" w:hAnsi="arial" w:cs="arial"/>
          <w:i/>
          <w:color w:val="000000"/>
          <w:sz w:val="20"/>
          <w:lang w:val="en-US" w:eastAsia="en-US" w:bidi="ar-SA"/>
        </w:rPr>
        <w:t>Myers v. Leng</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2006 BCSC 1582</w:t>
        </w:r>
      </w:hyperlink>
      <w:r>
        <w:rPr>
          <w:rFonts w:ascii="arial" w:eastAsia="arial" w:hAnsi="arial" w:cs="arial"/>
          <w:color w:val="000000"/>
          <w:sz w:val="20"/>
          <w:lang w:val="en-US" w:eastAsia="en-US" w:bidi="ar-SA"/>
        </w:rPr>
        <w:t xml:space="preserve">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 The purpose of seeing a doctor is not to create a chronicle of complaints for the purpose of proving that you have ongoing pain from an injury arising from a motor-vehicle accident.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on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found the plaintiff to be a forthright and credible witness. She answered questions in a responsive manner and did not embellish her evidence or exaggerate her injuries. I am satisfied that she has experienced the pain and discomfort she described. She pursued physiotherapy treatments recommended by her doctor. It is clear on the evidence that she was motivated to return to work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found Dr. Herschler, who is a very experienced physiatrist, to be an objective and professional witness and I accept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summary I find that the November 24, 2007, incident caused the plaintiff to sustain an injury to her low back and right wrist. At the time of the incident she had recovered from her previous work-related back injuries. The chronic mechanical low back pain that she currently experiences was caused by the incident. She experiences varying levels of pain and discomfort on a persistent basis and suffers episodic flare-ups. Her back pain is aggravated by lifting and prolonged sitting and standing. In order to continue working as a residential care aide she is required to wear a lumbar corset for support which, on the medical evidence, will lead to progressive weakness in her core muscles. She is also prone to episodic aggravations of the wrist injury that she sustained in the incident. The defendant remains responsible for those aggravations: </w:t>
      </w:r>
      <w:r>
        <w:rPr>
          <w:rFonts w:ascii="arial" w:eastAsia="arial" w:hAnsi="arial" w:cs="arial"/>
          <w:i/>
          <w:color w:val="000000"/>
          <w:sz w:val="20"/>
          <w:lang w:val="en-US" w:eastAsia="en-US" w:bidi="ar-SA"/>
        </w:rPr>
        <w:t>Kaleta v. McDougall</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2011 BCSC 1259</w:t>
        </w:r>
      </w:hyperlink>
      <w:r>
        <w:rPr>
          <w:rFonts w:ascii="arial" w:eastAsia="arial" w:hAnsi="arial" w:cs="arial"/>
          <w:color w:val="000000"/>
          <w:sz w:val="20"/>
          <w:lang w:val="en-US" w:eastAsia="en-US" w:bidi="ar-SA"/>
        </w:rPr>
        <w:t xml:space="preserve">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appropriate award for damages will be discussed in the following sequence:</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 (including past wage loss and loss of future earning capacity);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seeks an award of $80,000 for non-pecuniary damages. Counsel for the defence concedes that the plaintiff sustained injuries in the incident but submits that if the defendants are liable for her injuries the non-pecuniary damages should be assessed at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Non-pecuniary damages are intended to compensate a plaintiff's pain, suffering, and loss of enjoyment of life. The award should compensate a plaintiff for those damages they have suffered up to the date of the trial and for those they will suffer in the future. The essential principle derived from the authorities is that an award for non-pecuniary damages must be fair and reasonable to both parties and should be measured by the adverse impact of the particular injuries on the individual plaintiff: </w:t>
      </w: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xml:space="preserve"> at para. 55. While fairness is assessed by reference to awards made in comparable cases, it is impossible to develop a "tariff"; each case is decided on its own unique facts: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B.C.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to SCC refused, </w:t>
      </w:r>
      <w:hyperlink r:id="rId1024"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31373 (October 20, 2006), enumerated the factors to be considered in awarding non-pecuniary damages. The non-exhaustive list includes: the age of the plaintiff; the nature of the injury; the severity and duration of pain; the degree of disability; the impairment of family, marital, and social relationships;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have concluded that the injuries the plaintiff sustained in the incident have caused her pain and suffering. Her injuries have affected her functioning. I am satisfied that her enjoyment of life including her work and family life has been significantly impacted and that she finds life more frustrating. She is less active and at times more irritable with her children. She relies on her children more than prior to the incident to manage household matters such as cooking and vacuuming. She has reduced energy levels and on account of her increased levels of fatigue is generally less sociable.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She presents as a motivated and determined individual. Despite her incident-related injuries she has persevered and maintained full-time employment. Her work-life has been rendered significantly more challenging on account of her having to manage her pain with a lumbar corset, wrist splint and Tylenol. This is no doubt stressful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Based on the medical evidence there is an even likelihood that her chronic low back pain will persist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have considered the following cases cited by plaintiff's counsel on the issue of quantum of non-pecuniary damages: </w:t>
      </w:r>
      <w:r>
        <w:rPr>
          <w:rFonts w:ascii="arial" w:eastAsia="arial" w:hAnsi="arial" w:cs="arial"/>
          <w:i/>
          <w:color w:val="000000"/>
          <w:sz w:val="20"/>
          <w:lang w:val="en-US" w:eastAsia="en-US" w:bidi="ar-SA"/>
        </w:rPr>
        <w:t>Whyte v. Morin</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2007 BCSC 1329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Charlebois v. Vandas</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2004 BCCA 356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Harvey v. Yanko</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2007 BCSC 216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Bergman v. Standen</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2010 BCSC 1692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Kaleta v. MacDougall</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2011 BCSC 1259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have also considered the cases cited by defence counsel: </w:t>
      </w:r>
      <w:r>
        <w:rPr>
          <w:rFonts w:ascii="arial" w:eastAsia="arial" w:hAnsi="arial" w:cs="arial"/>
          <w:i/>
          <w:color w:val="000000"/>
          <w:sz w:val="20"/>
          <w:lang w:val="en-US" w:eastAsia="en-US" w:bidi="ar-SA"/>
        </w:rPr>
        <w:t>Sylte v. Rodriguez</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2010 BCSC 207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Sandher v. Hogg</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2010 BCSC 1152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the authorities are instructive, I do not propose to review them in detail as they provide general guidelines only. I have reviewed all of the authorities provided by both counsel and in considering the plaintiff's particular circumstances I conclude a fair and reasonable award for non-pecuniary damages is $60,000.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past earning capacity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missed 155 days of work on account of her incident-related injuries, some of which days she took as unpaid leave. The parties have agreed to compensation of $25,000 for the plaintiff's loss of earning capacity up until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respect to loss of future earning capacity the plaintiff seeks an award of $60,000. The defendants allege that there is no loss of future earning capacity. If such an award is to be made the defendants submit it should be in the $10,000 range as the plaintiff has continued to work full-time at full duties for four years since her return to work in August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An award for future loss of earning capacity represents compensation for a pecuniary loss: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The legal principle that governs this assessment for loss of earning capacity is that, insofar as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to SCC refused, </w:t>
      </w:r>
      <w:hyperlink r:id="rId1033"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 xml:space="preserve">, 33155 (October 29, 2009). Compensation must be made for the loss of earning capacity and not for the loss of earnings: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recent jurisprudence of the B.C.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An assessment of loss of earning capacity necessitates consideration of hypothetical events which are real and substantial possibilities and not mere speculation.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short, the essential task of this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conclude for the reasons that follow that the plaintiff's incident-related injuries have impaired her income earning capacity and that there is a real and substantial possibility that this impairment will harm her earning capacity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was 49 years old as of the date of the trial. As a starting point in my analysis I note that her entire working life in Canada has been as a residential care aide.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has not fully recovered from the injuries she sustained in the incident. While she has continued to work full-time she wears a lumbar corset and wrist splint, takes extra and longer breaks at work and is slower at discharging her duties than before the incident. Her injuries have impacted her efficiency at the workplace. I accept the plaintiff's evidence that she now experiences increased levels of fatigue after completing her shifts. She takes one or two vacation days per month when the pain becomes too much. On account of her condition she no longer works the night shift, which pays a shift differential.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Herschler's evidence supports a finding that because of her chronic pain and the development of associated weakness in her back the plaintiff is more vulnerable to exacerbations. The episodic flare-ups may become more frequent. In his opinion she is at risk of requiring more medical days off and if her chronic pain persists she is at risk of having a shortened work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the totality of the evidence I find that the physical limitations caused by her injuries have impaired the plaintiff's employability in the physically demanding occupation in which she is engaged. On account of her accident-related injuries there is a real and substantial possibility that the plaintiff:</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need to take more time off work for medical reasons and she therefore will work fewer hours,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retire from the workforce earlier than she otherwise would have;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her employment is terminated for any reason she is less likely than before the incident to find alternate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considering the factors listed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I find that the limitations caused by the plaintiff's injuries have rendered her less capable overall from earning income, rendered her a less marketable and less attractive employee, and taken from her the ability to take advantage of job opportunities that given her skills and experience might have otherwise realistically have been open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am satisfied there is a real and substantial possibility that if the plaintiff had not been injured her future earnings would have been higher than they now will be. I therefore conclude that on account of her incident-related injuries and consequent impairment of earning capacity there is a real and substantial possibility that the plaintiff will suffer a future pecuniary loss. I must therefore assess in light of all of the evidence, what is fair and reasonable compensation to the plaintiff for the pecuniary loss accruing because of her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2009, the plaintiff earned $48,936 and in 2010 she earned $47,008. She currently earns in the range of $21.00 per hour. The night shift which she no longer works pays an extra $0.40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It is well recognized that unknown contingencies and uncertain factors make it impossible to calculate the loss of future earning capacity with any precision. The process of quantification is not a mathematical calculation but rather one of assessment based on the evidence: </w:t>
      </w:r>
      <w:r>
        <w:rPr>
          <w:rFonts w:ascii="arial" w:eastAsia="arial" w:hAnsi="arial" w:cs="arial"/>
          <w:i/>
          <w:color w:val="000000"/>
          <w:sz w:val="20"/>
          <w:lang w:val="en-US" w:eastAsia="en-US" w:bidi="ar-SA"/>
        </w:rPr>
        <w:t>Gray v. Fraser Health Authority</w:t>
      </w:r>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2009 BCSC 269</w:t>
        </w:r>
      </w:hyperlink>
      <w:r>
        <w:rPr>
          <w:rFonts w:ascii="arial" w:eastAsia="arial" w:hAnsi="arial" w:cs="arial"/>
          <w:color w:val="000000"/>
          <w:sz w:val="20"/>
          <w:lang w:val="en-US" w:eastAsia="en-US" w:bidi="ar-SA"/>
        </w:rPr>
        <w:t xml:space="preserve"> at para. 121. The evidence in this case mandates that in my assessment I take into account that there is an equal likelihood that the plaintiff's symptoms will improve and that she will return to full functioning within one-two years, or alternatively that her symptoms will be permanent. I also have factored in my assessment the contingency that the plaintiff could miss work or have a shortened work life because of unrelated illness, injury or disability. I have considered that she was absent from work for a period in 2010 because of an unrelated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Taking into account all of the evidence and the relevant contingencies, I assess the plaintiff's loss of future earning capacity from the date of trial as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am satisfied in all the circumstances this is a fair and reasonable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seeks an award of $10,000 for loss of housekeeping capacity. The defence submits that the evidence does not support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at para. 28, Newbury J.A. summarized the governing principles with respect to awarding damages for the loss or impairment of housekeeping capacity. She affirmed that damages for the loss of housekeeping capacity may be awarded even though the plaintiff has not incurred any expense because housekeeping services were gratuitously replaced by a family member. Recovery may be allowed for both the future loss of the ability to perform household tasks as well as for the loss of such abilities prior to trial. The amount of compensation awarded must be commensurate with the plaintiff's loss: </w:t>
      </w:r>
      <w:r>
        <w:rPr>
          <w:rFonts w:ascii="arial" w:eastAsia="arial" w:hAnsi="arial" w:cs="arial"/>
          <w:i/>
          <w:color w:val="000000"/>
          <w:sz w:val="20"/>
          <w:lang w:val="en-US" w:eastAsia="en-US" w:bidi="ar-SA"/>
        </w:rPr>
        <w:t>Dykeman</w:t>
      </w:r>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have concluded that the evidence in this case falls short of establishing an award for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testified that since the incident she has experienced difficulties vacuuming, washing floors, dusting and cooking. While I accept that since the incident her children have assumed greater responsibilities for these matters, I am not persuaded on the evidence that the adjustment is sufficiently significant that it justifies a discrete award of damages. I have considered the plaintiff's difficulties and discomfort in performing household tasks as a factor in the assessment of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seeks compensation for the cost of future care in the range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Herschler recommended 24 sessions of physiotherapy, 12 chiropractic treatments, some sessions with a fitness trainer and a 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There was no direct evidence tendered to show the cost of these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defendants do not take issue with these recommendations, but they submit that an amount of $2,000 should be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assessment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78, aff'd </w:t>
      </w:r>
      <w:hyperlink r:id="rId903"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at paras. 58-62. In assessing what is reasonably necessary to promote the plaintiff's health the court should consider whether the plaintiff would likely use the items or services in the future: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1040"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paras. 12-14.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assessment of damages for cost of future care necessarily entails the prediction of future events: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xml:space="preserve"> at para. 21. The courts have long recognized that such an assessment is not a precise accounting exercise and that adjustments may be made for "the contingency that the future may differ from what the evidence at trial indicates":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267. The extent, if any, to which a future care costs award should be adjusted for contingencies depends on the consideration of the specific care needs of the plaintiff and the expenditures that reasonably may be expected to be required - taking into account the prospect of any improvement in the plaintiff's condition or conversely the prospect that additional care will be required: </w:t>
      </w:r>
      <w:r>
        <w:rPr>
          <w:rFonts w:ascii="arial" w:eastAsia="arial" w:hAnsi="arial" w:cs="arial"/>
          <w:i/>
          <w:color w:val="000000"/>
          <w:sz w:val="20"/>
          <w:lang w:val="en-US" w:eastAsia="en-US" w:bidi="ar-SA"/>
        </w:rPr>
        <w:t>O'Connell v. Young</w:t>
      </w:r>
      <w:r>
        <w:rPr>
          <w:rFonts w:ascii="arial" w:eastAsia="arial" w:hAnsi="arial" w:cs="arial"/>
          <w:color w:val="000000"/>
          <w:sz w:val="20"/>
          <w:lang w:val="en-US" w:eastAsia="en-US" w:bidi="ar-SA"/>
        </w:rPr>
        <w:t xml:space="preserve">, </w:t>
      </w:r>
      <w:hyperlink r:id="rId104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67-68;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the evidence I am satisfied the recommended items are all reasonably necessary and that with the elimination of any obvious financial impediment the plaintiff would access the physiotherapy and chiropractic treatments and attend the gym and sessions with a fitness trainer. Taking into account all of the contingencies, I assess an award of $3,500.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parties have agreed to special damages in the amount of $779.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defendants are wholly liable for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plaintiff's damages are assessed at $134,279 consisting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405"/>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196"/>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046"/>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98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w:t>
            </w:r>
          </w:p>
        </w:tc>
        <w:tc>
          <w:tcPr>
            <w:tcW w:w="419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779</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928"/>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$134,279</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Unless there are matters relevant to the issue of costs of which I am not aware the plaintiff is entitled to her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2"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4"/>
          <w:headerReference w:type="default" r:id="rId1045"/>
          <w:footerReference w:type="even" r:id="rId1046"/>
          <w:footerReference w:type="default" r:id="rId1047"/>
          <w:headerReference w:type="first" r:id="rId1048"/>
          <w:footerReference w:type="first" r:id="rId10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0" w:history="1">
        <w:r>
          <w:rPr>
            <w:rFonts w:ascii="arial" w:eastAsia="arial" w:hAnsi="arial" w:cs="arial"/>
            <w:b/>
            <w:bCs/>
            <w:i/>
            <w:color w:val="0077CC"/>
            <w:kern w:val="32"/>
            <w:sz w:val="28"/>
            <w:szCs w:val="32"/>
            <w:u w:val="single"/>
            <w:shd w:val="clear" w:color="auto" w:fill="FFFFFF"/>
            <w:lang w:val="en-US" w:eastAsia="en-US" w:bidi="ar-SA"/>
          </w:rPr>
          <w:t>Sharma v. MacDonald, [2017] B.C.J. No. 2356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Maisonville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1-5, 8-9,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M152855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2356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2017 BCSC 2121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Kritika Sharma, Plaintiff, and Robert George MacDonald and Annie Harriet MacDonald,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(277 paras.)</w:t>
      </w:r>
    </w:p>
    <w:p>
      <w:pPr>
        <w:jc w:val="both"/>
        <w:rPr>
          <w:rFonts w:ascii="arial" w:eastAsia="arial" w:hAnsi="arial" w:cs="arial"/>
          <w:sz w:val="20"/>
          <w:lang w:val="en-US" w:eastAsia="en-US" w:bidi="ar-SA"/>
        </w:rPr>
      </w:pPr>
      <w:bookmarkStart w:id="306" w:name="Counsel_45"/>
      <w:bookmarkEnd w:id="3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K.J. Sadler, D. Abichahine.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 Haupt, S. Zandnia, E. Kotsaboikidis.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7" w:name="Judgment_44"/>
      <w:bookmarkEnd w:id="307"/>
      <w:r>
        <w:pict>
          <v:line id="_x0000_s1244" style="position:absolute;z-index:2517565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8" w:name="M.A. MAISONVILLE J."/>
            <w:bookmarkEnd w:id="308"/>
            <w:r>
              <w:rPr>
                <w:rFonts w:ascii="arial" w:eastAsia="arial" w:hAnsi="arial" w:cs="arial"/>
                <w:b/>
                <w:color w:val="000000"/>
                <w:sz w:val="30"/>
                <w:lang w:val="en-US" w:eastAsia="en-US" w:bidi="ar-SA"/>
              </w:rPr>
              <w:t>M.A. MAISONVILLE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26, 2013, the plaintiff, Kritika Sharma, was driving her Chevrolet Cavalier motor vehicle northwest on King George Boulevard in Surrey, B.C. As a consequence of a construction zone near the intersection with University Drive, a flag person held up a "Stop sign" and the plaintiff came to a stop behind another vehicle. At that time, she was rear-ended by the truck owned by the defendant, Annie Harriet MacDonald, and driven by the defendant, Robert George MacDonald. The force of the impact was so strong that the plaintiff's vehicle was pushed forward and struck the vehicle in front of her (the "Accident"). She was wearing a seatbelt but was thrust forward and back on each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As a consequence of the collision, the plaintiff claims damages for personal injuries, including injuries to her head, back, neck, left shoulder and jaw. She also complains of pain and suffering in the form of sleeplessness, headaches, dizziness, nausea, loss of concentration, lightheadedness, anxiety, stress reaction, and loss of enjoyment of life. The plaintiff also claims damages for loss of earning capacity and loss of past earnings as a consequence of the defendant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have admitted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Because liability has been conceded by the defendants, the issues remaining for determination are:</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injuries caused by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for the injuries;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 and past loss of earnings;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relating to an in trust claim by the plaintiff's mother in relation to care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had just turned 23 years old when the Accident occurred, and was 26 years of age when she gave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born in India. She immigrated with her family to Canada in May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of the Accident, the plaintiff was residing with her family, including her mother, father, and her older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had attended North Surrey Secondary School, and following graduation from it, she went to Simon Fraser University ("SFU").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learned English while at Air Force School in New Delhi, India, where all of her schooling had been taught in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only health concerns prior to the Accident were that when she was in Grade 10, at approximately 15 years old, she fell and fractured her left wrist. She wore a cast for three weeks on that occasion. She also had complained of neck pain when she was at university some years prior to the Accident but testified that was postural and had been resolved. Nothing prevented her from working, however, and she was not in any pain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Her goal in school was to get a general science or kinesiology degree in order to be a physiotherapist or a registered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Prior to the Accident, the plaintiff was healthy and fit with no physical or psychological limitations, and has kept an active lifestyle. She studied hard in school and would help out her family with chores doing yard work such as mowing the lawn and raking leaves. She would also help with indoor cleaning, washing dishes, preparing food, and vacuuming.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family physician, Dr. Parmjit Sohal noted that, prior to the Accident, the plaintiff had not been treated for pain in her cervical spine, neck, shoulder or arms, although he did note that she had had an X-ray of her cervical spine which the plaintiff had testified was a result of neck pain from studying while in improper posture. The plaintiff testified that that pain had subsided with postural changes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Prior to the Accident, the plaintiff regularly attended social functions with friends. She also travelled and had volunteered once in Ecuador to assist the locals in building houses, lifting bricks and mortar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Before the Accident, the plaintiff enjoyed dance, yoga, pilates, golfing, basketball, swimming, and camping. She participated in the Terry Fox Run. She also volunteered in a nursing home with patients who suffer from degenerated brain disorders such as Parkinson's disease and Huntington's disease. She would take the patients to go for walks and play bingo.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Placed into evidence was the plaintiff's curriculum vitae, which outlined her various volunteering activities. She volunteered at the daycare centre of the Surrey Memorial Hospital as an auxiliary gift cart attendant and at the hospital's Penny Savers Thrift Shop. She also volunteered with the BC Cancer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had also in the past worked as a retail sales associate at The Gap and La Vie en 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Of all of those who testified, they described the plaintiff prior to the Accident as a happy, active, and adventurous young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time of the Accident, the plaintiff was working as a temporary cashier at the university bookstore at the SFU's Burnaby campus. Her employment with SFU began in 2011. She worked without issue and made herself available to work during late August and January respectively. These are the bookstore's busiest time of the year prior to the Fall Semester begins in September and the Spring Semester commences in January.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day of the Accident, the plaintiff was on her way to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August 26, 2013, the plaintiff was driving northbound on King George Boulevard just before University Drive when a flag person directed her to stop with their "Stop sign" at the construction zone. The plaintiff was holding onto the steering wheel but was not aware that there was going to be an impact when her vehicle was struck by a truck from behind. On impact, her head hit her headrest twice very hard. She tried to embrace her body and protect herself by holding onto the steering wheel. She sustained two impacts: first, when she was hit from behind, and second, when her vehicle was forced into hitting the vehicle in front of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the collision, she sat in her vehicle in shock. She was approached by the woman who was in the vehicle in front of her and was asked how she was. The plaintiff said, "that hit was really hard". She then asked that 9-1-1 be called to get help. The flag person then approached the plaintiff and the two other drivers and asked them to move their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fire department crew arrived and came to her vehicle's window. She was much shaken up and told them that her head hurt. After the firefighters looked at her car, they indicated to her that it was fine for her to drive home but said to her that she should go see a doctor that very day. She was not in a good state to drive. She felt really shaken up, and was literally shaking. Her entire upper body felt tense and was really tight with a lot of pressure. She was anxious and kept repeating to herself, saying "I am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the time of the Accident, the plaintiff was on her way to the Scott Road skytrain station where she would normally park her vehicle and take the skytrain to work at SFU. After the Accident, she drove home instead.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was an uneventful drive home and her mother was at home when the plaintiff arrived. The plaintiff's mother became very worried and started crying, asking the plaintiff to sit down in a chair at first and later on told her to lie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physical feelings continued to get worse in terms of tightness. The pain in her head and her upper body worsened, getting tighter and stiffer.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felt as if there was too much light in the living room so her mother told her to go lie down in her room. The plaintiff did for an hour but she felt nauseous. The plaintiff's mother tried taking the plaintiff to see a doctor at a walk-in medical clinic nearby her house. However, the receptionist at that medical clinic said that they were too busy to take her in so they called her family physician, Dr. Sohal and they went to see him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said that Dr. Sohal assured her, gave her some medication, and told her to rest up and not go to work. Dr. Sohal also wanted the plaintiff to undergo physiotherapy and massage 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continued to attend Dr. Sohal.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complained to Dr. Sohal in October 2013 of ongoing headaches, neck pain, and upper back pain. She also told Dr. Sohal that she felt lightheaded and that she would experience pain in her entire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Sohal prepared a Form CL-19 Medical Report for the Insurance Corporation of British Columbia ("ICBC"), indicating that his objective findings were that the plaintiff had a painful range of motion in her neck, and tenderness on the cervical spine and trapezius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Sohal noted that the plaintiff's subjective complaints were of pain to her neck, upper back, and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From October 2013 to June, 2014, the plaintiff attended physiotherapy treatment for injuries sustained in the Accident at the SFU's Centre for Students with Disabilities ("CSD").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From September 2013 to June 2014, she also attended the painPRO North Surrey City Centre for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time of the Accident, the plaintiff was in her fourth year of studies at SFU. She thought that she was beginning to feel better but when attending classes, the pain was intense. She would also experience a lot of pain if she started to engage in any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continued her studies at SFU but found the pain to be very intense. In the fall of 2013, she was unable to attend lectures and sought assistance from the SFU's CSD. With the help from CSD, she was able to listen to lectures at home. The plaintiff does not believe that her grades suffered, but said she tried very 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was not able to drive after the Accident because she could not turn her head to shoulder-check and she felt pressure on her head. She did not believe it was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November 2013, the plaintiff resumed classes starting once a week, twice a week, and then three times a week. She had help from a friend who would drive her to school. She began to sit-in in lectures but she still found it very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By the end of the semester, the plaintiff was back to full-time attendance at SFU and in January 2014, she was attending regularly but she was still in acute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would not carry a backpack but rather had a bag with rollers on it. She also had a cousin, Sonal Kaushik, who was attending SFU at the time and the plaintiff would frequently ask to stay over at her cousin's place as she lived on the SFU campus. The plaintiff did graduate on time, however, and her marks remained steady.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August 2015, the plaintiff attended four acupuncture sessions at the Guildford Health Centre in Surrey,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fact, in December 2013, the plaintiff commenced looking for a nursing program. She felt that her marks were not the best but had grades that were high enough to get into the program. She felt that she was physically capable but testified that she had no exact idea what the physical requirements were for being a nurse. The plaintiff ultimately applied for nursing school, as referred to later in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graduated from SFU in the spring of 2014. She was accepted into the nursing program at the University of Alberta. Following a visit to her family back in India, she moved to Edmonton, Alberta during the summer of 2014 for the commencement of the Fall semester.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she was attending nursing school in Edmonton, she attended at the Glen Sather Sports Medicine Clinic at the University of Alberta for physiotherapy treatment. From October 2014 to November 2015, she also attended there for massage therapy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she commenced nursing school at the University of Alberta, the plaintiff was apprehensive about the physical intensity of nursing. She felt stressed psychologically during her first year of studies as at the same time, she had to overcome her physical problems. To her, it was important to get a career as she had a lot of student loans. Her parents were helping her out but she felt the pressure to get into a school and to graduate.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April 2014 after the Accident, the plaintiff returned to the SFU bookstore and worked there in preparation for the University's summer semester. She was offered a full-time job, but she did not take the offer because she just wanted to work there on a temporary basis. She was not sure if she could work full-time. She explained that the bookstore requires physical activities. The plaintiff testified that she was not able to work as many shifts following the Accident, and her pattern of work was less than before. Finally, the plaintiff did not feel that she was able to continue working at the SFU bookstore that summer. Her last shift with the bookstore was on May 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testified that she did not work because of her pain and her condition. For the two weeks that she did work during that period, she had trouble standing and could not do what she used to be able to do at the bookstore's shipping and receiving department, even with light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academic performance at the SFU and the University of Alberta were placed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apparent that she was not performing as well as she would have hoped when she commenced at SFU. However, by the end of her four-year studies, she was doing far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the University of Alberta, she obtained good grades as a nursing student. She testified that it was not until the first year in nursing school that she slowly started to feel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the commencement of her nursing school studies, her mother travelled to Edmonton to assist in setting her up. She also helped the plaintiff to buy her books and bring them home for her. The plaintiff found tasks such as lifting heavy books to be difficult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first year of her studies in the nursing program involved mainly theory. It was not until the end of that year then she had to do a practicum.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the practicum, she was able to shadow and learn. She worked shorter shifts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Psychologically, the plaintiff started off doing well. However, sometime between 2013 and 2015, she started to feel as if things were not going to get better. She was eating well, stretching and going to physiotherapy, but she began to feel that her ongoing pain was starting to affect how she was feeling.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testified that she had hopeless feelings, and felt that she was going to stay the same physically and would have to live with her episodes of pain forever. She felt that nothing helped. She tried medication but she could not tolerate anything that would render her sleepy and cause her to miss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struggled at first to be motivated. She testified that had the Accident not occurred, she would have worked during this time period in order to make additional money. Her parents had to help her with paying for her food and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continued to feel sharp and jabbing pain, always having pain in her upper back and neck. On occasion, she would have flare-ups affecting her head, neck and shoulders, and down to her lumbar spine. The plaintiff still, today, feels pain and testified that the pain never completely goes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Initially after the Accident, she also suffered nausea, but that was gone after a few days. She felt lightheaded for a short period of time after the Accident and as well experienced loss of concentration. She was unsure as to when that went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also had trouble sleeping. While her sleep has improved, she always has trouble with it and even now it takes time for her to fall asleep. The plaintiff testified that she was a deep sleeper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Respecting her jaw, she testified that it is fine now. She noticed that she had difficulty for a couple of months but she has no concerns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continues to have stress reaction when she is in a vehicle. When being driven, she has experienced tensing up and felt tightness as if it was the day of the Accident. She feels that she continues to suffer from stress reaction when she observes reckless and dangerous driving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2015, the second year following the Accident, her pain continued with her back, neck, and back and front of her shoulder. She sustained tingling, numbness, and weakness in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terms of her psychological state, the plaintiff was unhappy and felt depressed when she started in the nursing program. After sitting in classes, she had to deal with pain. She had trouble carrying grocery bags and even opening doors. The plaintiff said that she did not make any new friends and, instead of having any social life, she stayed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terms of her recreational activities, she was good at playing basketball before the Accident, although she was not on a team. Following the Accident, she experienced a lot of pain but, nonetheless, she continued playingit. She felt the need to still participate and tried to shake off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Following the Accident, the plaintiff testified that she initially did no exercise. She now jogs and has started running outdoors, but not to the extent that she did before the Accident because it causes pain. The plaintiff said she would jog for 15 to 20 minutes, three times a week, and starts off with walking. She also tries yoga to decrease her pain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She has travelled since the Accident, including going to India in 2014, Las Vegas in 2015 and Mazatl n, Mexico in April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She testified about her mother coming out to Alberta to help her set up when she started in the nursing program. The plaintiff said that before the Accident, she had assisted her father in home chores such as cooking and yard work. However, at the time that she moved to Alberta, she could not do much chores and her mother was of great assistance to her. Her mother's assistance enabled her to focus on her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2010, her father had to move away for a job and the plaintiff said that she was responsible for looking after the washroom and the laundry in the family home. After the accident, she could no longer do these kinds of chores and in terms of other cleaning activities, including cleaning the bathtub, the plaintiff testified that she tried doing them but when she felt the pain, she stopped. She said that it hurts if she holds her head looking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is still optimistic that she can do a good job as a registered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summer of 2015, she started her theory and clinical components in the nursing program. She was shadowing another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By 2016, in her second year in the nursing program, there was a curriculum change. She had to complete her preceptorship in pediatric nursing which involves working closely with another nurse as well as shadowing nurses. The plaintiff said she shadowed two nurses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To help her own psychological state in her second year of studies, she began to build better social relationships and started to focus on feeling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During her preceptorship, she began to understand that being a registered nurse requires a lot of heavy physical work. Many hospitals now require twelve-hour shifts, and she found that after working for that amount of time, she would go home in pain and with a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Because pediatrics encompasses patients up to 18 years of age, the patients can be fairly heavy. The plaintiff has been required to, for example, lift a 15-year old child who weighed 68 kilograms.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During her preceptorship, the plaintiff's mother stayed in Edmonton with her and helped her with household chores so that she could rest up. The plaintiff began to become very concerned that she would not be able to work as a registered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Following her nursing program, the plaintiff returned to British Columbia to look at employment opportunities and applied to Fraser Health Authority ("FHA"). She was successful in securing a spot in pediatrics, the field in which she completed her preceptorship.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She has spoken to her current manager and by the time of trial, she explained that she was having issues and that she was unable to perform on her third and fourth day of work in a row. After working three to four days in a row, she finds her back and neck pain would get worse as the day progressed and she would experience pain shooting down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did not explain this when she was applying for job at FHA. Since then, she has gone to see the occupational therapist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questioned as to why she has not done anything further recently, the plaintiff indicated that she had a lot on her mind at work, including the stress of the trial. She also responded that she was going to be seen by a rheumatologist shortly who will further assess her arm on the referral of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Regarding certain clinical records of her new family doctor, Dr. Benjamin Baby, in which the plaintiff had expressly denied experiencing low mood or anxiety, the plaintiff answered in cross-examination that she did not know what the physician was talking about or that comment could simply be something that was perceived by the physician. The plaintiff testified that she has indeed experienced low mood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re-examination, it was noted, as set out in the clinical records of Dr. Salim Esmail, that the plaintiff had agreed with the statement that she felt less capable, confident, and useful because of her arm, shoulder ,and hand problem on a four out of five number scale.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Civilian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 number of witnesses were called to testify to the plaintiff's condition both before and after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Pradeep Sharma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Pradeep Sharma, the plaintiff's father, testified to his daughter's life both before and after the Accident. He testified with the assistance of a Hindi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 said that the plaintiff was living with the family in the same house and she would assist around the home, helping with vacuuming and other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Socially, the plaintiff's father said that she was very active and managed her time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Academically, she was a bright student and volunteered extensively in high school, including volunteering for the Terry Fox Run. She also enjoyed many activities outside of school, including camping and hiking.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Sharma said that the plaintiff's health, in general,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Sharma said that the plaintiff would sometimes complain of pain in her neck and shoulders after studying. Mr. Sharma said that before the Accident, the plaintiff had a job at the university bookstore. He knew that when she was in high school, she wanted to become a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the day of the Accident, the plaintiff came home saying that she was not feeling well. Her face appeared yellow and she was shaking. Mr. Sharma testified that he called the family doctor. Shortly afterwards, he took the plaintiff there. The plaintiff was complaining of pain in her neck, arms and shoulders. Ultimately, the plaintiff had to spend many hours in physical therapy, and he would drive her to the therapy sessions and would wait for her in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Following the Accident, Mr. Sharma said that the plaintiff's energy level was not the same. She would stay at home in her room. Sometimes he would ask her for help but he noted that she seemed sad and helpless. After the plaintiff was accepted into nursing school in Edmonton, Mr. Sharma went to Edmonton to assist in setting her up, and he recalls doing things for her such as going to the grocery store to get 5 gallon jugs of drinking water as it would be too hard for the plaintiff to carry. Mrs. Sharma also went and helped in setting her up. Mr. Sharma testified that his daughter was going through a lot of pain. Mr. Sharma felt that the plaintiff needed the extra assistance from her mother because of her condition. She could not study well or look after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Following her receiving her nursing degree and after securing work as a registered nurse, Mr. Sharma testified that the plaintiff came back to live at the family home again in Surrey, B.C. She had different pain at this time though. Mr. Sharma noted that she was complaining of her right arm and right shoulder pain that she had never experienced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Sharma testified that before the Accident, the plaintiff was strong, determined and had energy. Now it is just "not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Under cross-examination, Mr. Sharma was asked about the family chores and he indicated that both his daughters are expected to help around the house, but the plaintiff would complain about having pain when asked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Sharma does not recall his daughter's condition getting much better over time. He was not aware that her grades at school had actually improved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Sharma was only vaguely aware that the plaintiff may have been accepted to nursing school in Vancouver. He did not believe she had been accepted to the University of British Columbia and was not sure about the British Columbia Institute of Technology. However, he recalls that his daughter thought highly of the University of Alberta's nursing program. Mr. Sharma testified that the plaintiff drove to the University of Alberta to start school.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Anita Sharma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Mrs. Sharma, the plaintiff's mother, testified that before the Accident, her daughter was a normal school girl and was healthy and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She testified that the plaintiff was a volunteer, was on student council, and she did sporting activities. Mrs. Sharma also said the plaintiff would go camping with friends and family, and that she never complained about pain in her neck area or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Mrs. Sharma learned about the Accident when her daughter came home, looking scared and shaken up, and told her that she had been involved in a motor vehicle accident. Mrs. Sharma wanted her to lie down and rest up but she was suffering from pain so she talked to her husband, Mr. Sharma, and they went to see her family doctor, Dr. Sohal, who examined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Mrs. Sharma noted that her daughter does not usually complain but a look at the plaitniff's face Mrs. Sharma would know that she was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Mrs. Sharma testified that she travelled to Edmonton quite a few times because the plaintiff needed help and was not able to do a lot of activities due to her neck and shoulder pain. Mrs. Sharma would stay with the plaintiff for a while and would even carry her books home for her. Had her daughter not had those difficulties, Mrs. Sharma testified that she would not have travelled to Edmonton as many times as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Mrs. Sharma noted that the plaintiff complains about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Mrs. Sharma was asked about the number of times she went to Edmonton. She said that the first time she went there was by car as they were helping the plaintiff move there. Following that, she would mostly fly out there to visit her. Mrs. Sharma said that one time she stayed in Edmonton for up to about 20 to 25 days. Mrs. Sharma indicated that she would go to Edmonton when her daughter needed help. When they went grocery shopping, Mrs. Sharma would carry the groceries. Mrs. Sharma does not drive but the plaintiff would drive or they would mostly walk to the grocery store. Mrs. Sharma recalled that during the periods of time when her daughter was preparing for school exams, she could not sit for long periods of time. The plaintiff would study at home but would have to change her position and would ask her mother if she could massage her. Mrs. Sharma was aware that her daughter went to Mexico in April 2016 and she said that she and Mr. Sharma, paid for the plaintiff's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cross-examination, Mrs. Sharma was asked about some of the activities that they had enjoyed as a family and whether they had tried doing them since the Accident. Mrs. Sharma noted that since the Accident, they had gone camping only once, but that it was not "tent camping".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Mrs. Sharma was also aware that the plaintiff attended her sister's bachelorette's party in Las Vegas in 2015. The plaintiff's sister paid for the plaintiff for this trip. It was a three-day trip and they slept on air mattresses on the floor.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Yuvika Aulakh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Mrs. Aulakh, the plaintiff's sister, was called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She is older than the plaintiff by three-and-a-half years. They have always lived together in the family home until Mrs. Aulakh got married and moved out to live with her husband. She was aware that the plaintiff was in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Mrs. Aulakh testified that before the Accident, her sister was always sociable, funny, and she had involved in sports and other activities, and had many friends. Mrs. Aulakh said that the plaintiff would engage in many recreational activities such as walks, hiking, and camping as a family. They travelled to Europe together for two weeks, and while there, they would walk for hours and the plaintiff never complained of any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Mrs. Aulakh is also a registered nurse. She graduated from nursing school and commenced working at FHA in September 2010. Following her orientation, she then went on the casual roster. She worked in the high acuity unit which is a step down from the intensive care unit (the "ICU"). She took a course which was sponsored by FHA to assist her in that work. Mrs. Aulakh later on applied for both part-time and full-time positions. Subsequently, she obtained her current full-time registered nurse position with the Surrey Memorial Hospital where she works in multiple units, including its ICU.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Mrs. Aulakh had talked to the plaintiff about becoming a registered nurse. She was aware that the plaintiff had narrowed down her focus to becoming a physiotherapist or a nurse. Mrs. Aulakh was well aware that the plaintiff wanted to work in the health care system and while she was studying at SFU, they had numerous discussions about the application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Mrs. Aulakh testified that working in the ICU is different from the work that the plaintiff does. The plaintiff is focusing on becoming a pediatric nurse. Mrs. Aulakh said that the ICU occasionally demands immediate health resuscitation assistance as part of code blues being called where a patient has gone into arrest. Sometimes, a nurse will not have a partner and the situation is urgent requiring that the nurse to run with a backpack and the crash cart in order to prepare the patient for treatment that is necessary in such circumstances. She said that the porters who might assist are not always readily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Mrs. Aulakh counselled the plaintiff in her application process with FHA following her graduation and in doing so, she considered the plaintiff's physical limitations from the Accident and suggested to her that certain nursing roles would not be suitable for her, such as, for example, working in emergency or ICU due to the physical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Aulakh was asked if she felt that the plaintiff was able to do the kind of work necessary to be in the ICU. She answered that she was concerned about her not being able to due to her pain. She was aware that at present, the plaintiff will work a number of days in a row and then will have the days off in between to rest in order to be able to carry on with the next round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When she was cross-examined about how the plaintiff was when they were in Las Vegas, Mrs. Aulakh testified that on the first day, the plaintiff was excited and happy to be there. The second day, however, the plaintiff was tired and needed rest. Mrs. Aulakh said that the plaintiff had never done that on any of their travels before, including their trip to Europe.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When Mrs. Aulakh was asked about the recreational activities that they would do prior to the Accident, she referred to hiking. Following the Accident, however, they would have to discuss the intensity of the hikes before going and whether the plaintiff would be able to carry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Mrs. Aulakh testified that on one of the hikes they did, the plaintiff was unable to carry her backpack despite the backpack only contained only a bottle of water and a towel.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Mrs. Aulakh also testified that immediately following the Accident, the plaintiff would often retreat to a room and, at one point, had difficulty lifting her neck to eat. She found the plaintiff was psychologically withdrawn, scared, and physically in pain all the time.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Sonal Kaushik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Kaushik is the plaintiff's cousin. They are close in age with Ms. Kaushik being three years younger than the plaintiff, and they went to SFU together. She also lived on the SFU campus.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Kaushik said that before the Accident, they would go together on hikes and other outdoor activities. She joined the plaintiff on their trip to Ecuador to build homes for one month. Ms. Kaushik learned about the Accident because the plaintiff had spoken to her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Before the Accident, Ms. Kaushik and the plaintiff would go camping with their families at Golden Ears. Ms. Kaushik's father had a boat and they would take it out onto Elbow Lake,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Kaushik noticed that the plaintiff was struggling and in class, she would often stroke her neck. Ms. Kaushik did not see the plaintiff when she was in Edmonton, but would see her for a day when she came back to British Columbia for visits. Now that the plaintiff has moved back to Vancouver, B.C., Ms. Kaushik says that she spends more time with the plaintiff but still not as often as they used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Kaushik lived on the SFU campus and was just a two-minute walk from the university. The plaintiff would often stay with her and lie on a futon which was more comfortable for her than sitting at a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Kaushik recalled their trip to Las Vegas for the plaintiff's sister's bachelorette's party where they stayed at the Palazzo Hotel. The plaintiff stayed in a separate room. She would not stay out with the rest of the party because she had to rest 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Karen Cavezza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Karen Cavezza worked in the SFU Human Resources Department. Ms. Cavezza testified that the plaintiff worked in the SFU bookstore from 2011 to 2014 and that she was a temporary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Cavezza testified that the SFU bookstore has a seniority system and, having worked there since 2011, the plaintiff had acquired seniority and could have more input as to her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was paid $16.44 per hour throughout her employment, except in 2014 when her earnings were increased to $17.10 per hour. Ms. Cavezza testified that the plaintiff's gross earnings in the 12 months prior to the Accident were $6,860.51.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Cavezza was aware of the plaintiff's excellent performance reviews at the SFU bookstore.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POST-ACCIDENT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 of Gloria Mak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Mak is employed at the Surrey Memorial Hospital as a patient care coordinator and oversees the pediatric unit. She has been working with pediatrics at FHA since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Mak testified that part-time and full-time "lines", that is, shifts running back-to-back, become available when the nurse changes roles or retires. Ms. Mak testified that when assessing candidates for replacing a line, the number of hours that each casual status nurse has worked is taken into consideration. If a candidate has logged more hours, that candidate is more likely to succeed in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Mak confirmed that there are 25 lines in pediatrics at Surrey Memorial Hospital, 13 being full-time and 12 part-time. When there is an opening, casual employees are regularly called upon first when a line employee is unable to attend a shift. There is a significant amount of work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Mak recalled reaching out to the plaintiff after other employees suggested that the plaintiff was struggling at the end of consecutive shifts. Ms. Mak said that the plaintiff confirmed to her that she was in discomfort and in pain due to her the Accident. Ms. Mak was concerned as to whether the plaintiff would be able to meet the demands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Mak also testified to the nurses' pay scale. She said that the nurses receive incremental pay raises according to their collective bargaining agreement and that the plaintiff, at the time of trial, was a Level 1 registered nurse and, consequently, her salary started at $33.32 per hour plus pay in lieu of benefits. Ms. Mak said that the plaintiff now earns $33.94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Court was told that the levels increment from Level 1 to 9 and are incremented on the nurse's anniversary date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When asked about the roles of a pediatric nurse, Ms. Mak testified that many of the roles are physically challenging. In particular, pediatric nurses are responsible for caring for child patients, including feeding, bathing, diaper-changing, changing IVs, repositioning, helping mobilize patients into wheelchairs, and generally assessing patient needs. Often, the patient will have to be picked up, and as pediatric patients include older children who can weigh as much as an adult, the roles of a pediatric nurse can be physically challenging.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cross-examination, Ms. Mak was asked about the physical demands of the job as a pediatric nurse and she noted that there are patients who are described as "total care patients" who require more frequent repositioning. There may be suction required for their secretions and the nurse must check on them more often. As well, getting the patients in and out-of-bed is a priority because otherwise they could develop bedsores.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Mak testified that there is no duty to accommodate for casual employees. However, if the nurse has a permanent position, there will be a duty to accommodate.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Casual employees have to work 975 hours to be entitled to have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Parmjit Sohal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plaintiff's family physician, Dr. Sohal, was called as a witness but not tendered as an expert. Instead, he outlined when he had seen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first time he saw the plaintiff following the Accident was on the day of the Accident, August 26, 2013, and he diagnosed her as having cervical strain, headaches, and tenderness in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Sohal noted on all her visits that the plaintiff was persistently complaining of having neck pain. He agreed that it was strain and said that on the ICBC's Form CL19 dated November 1, 2013, he indicated that the plaintiff was prevented from working full-time from the period of the Accident through to early November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Sohal was cross-examined on whether the plaintiff was experiencing any jaw problem and he said he had not made a note of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Joanne Pouchet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Pouchet was called as a witness. She is a dentist and specialist in periodontics. She obtained her degree in dentistry at Tufts University in Boston, Massachusetts.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Pouchet had been treating the plaintiff since February 2012. She had an opportunity to see the plaintiff to check for her periodontal and gum recession issues. During her treatment prior to the Accident, there was no indication that the plaintiff had temporomandibular joint disorders or jaw muscle problems, but in 2013 to 2014, she was having jaw problems and was complaining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It was put to Dr. Pouchet in cross-examination that she did not record this pain but Dr. Pouchet testified that she did recall the plaintiff mentioning about the jaw pain on her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When pressed on this issue, Dr. Pouchet indicated that it was her error not to record that right-sided jaw pain but replied that it did not take away from the fact that the plaintiff indeed had the pain and that she does remember the plaintiff coming in complaining of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Jonathan P. Hawkeswood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Jonathan P. Hawkeswood was called as an expert witness. He gave expert opinion evidence in the area of physical medicine and rehabilitation, his specialty.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Hawkeswood set out in his report of November 28, 2016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Ms. Sharma described exquisite sensitivity over the base of the neck, corresponding to the C7 or T1 vertebral levels. She was very tender in this region to application of light pressure (but not in other areas associated with myalgia). This probably coincides with a degree of central sensitization / pain 'wind-up' phenomenon.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Sharma also complained of numbness affecting the right arm on a persistent basis. The physical examination identified asymmetric tightness affecting the right-sided scalene musculature. There was provocation of arm symptoms with the Allen's and Adson's maneuvers. Her symptoms are suggestive of a functional thoracic outlet syndrome (TOS), which is a common term used for TOS in the absence of vascular or electrodiagnostic abnormalities.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Sharma also suffers from post-traumatic headaches. She complained of headaches beginning in the occiput and radiating anteriorly to the frontal region. No specific triggers were identified. No classic migraine features were reported. These headaches take place every two to three days. I cannot exclude the possibility of medication overuse/rebound-type headaches in view of her frequent analgesic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balance of probability, I find it more likely than not that Ms. Sharma suffered a mild concussion on account of the subject accident. She described classic post-concussive symptoms such as light sensitivity, a need to lie down, nausea and feeling generally unwell. These symptoms lasted about two days and then settled. I do not believe she has any lingering cognitive problems on account of the subject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Sharma described anxiety and depression-type symptoms following the MVA. Her anxiety relates mostly to being in vehicles. Her suspect issues with pain, sleep disruption, social isolation (particularly early on post-MVA), a lack of physical activity and getting behind in school have all contributed to some degree of mood disturbance. She struck as having ongoing mild anxiety. For further clarification or a more comprehensive mood assessment, I defer to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Hawkeswood was questioned about a passage of his report in which he noted that the plaintiff had experienced anxiety and depression features since the Accident. Dr. Hawkeswood wrote that, in terms of anxiety, the plaintiff felt uncomfortable in vehicles and particularly when others were driving and changing lanes as this can re-trigger thoughts about the Accident, and cause her pain symptoms to get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Hawkeswood wrote that the plaintiff has had episodes of low mood and mild depression since the Accident on account of being at home, frustrations with her inability to be socially active, and pain bringing her down emotionally. He indicated under cross-examination that this was not a medical opinion per se but was rather comments that had been provided to him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Respecting the thoracic outlet syndrome, Dr. Hawkeswood was asked in cross-examination how he came to that determination. He said it was his diagnosis made on clinical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That's my judgment and is my diagnosis.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Salim Esmail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Esmail testified by way of video and was qualified as an expert capable of giving opinion evidence in the area of general medicine orthopedics.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his September 10, 2015 report, Dr. Esmail identified the Accident as the cause of the plaintiff's persistent neck pain and was of the opinion that she suffered damage to the zygapophyseal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Esmail noted that the plaintiff had a previous neck problem but that her medical records did not disclose any ongoing issues in that regard. He also noted the presence of numbness in the plaintiff's arm on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He testified that he would not be surprised if other doctors diagnosed the plaintiff as having thoracic outlet syndrome and that if the symptoms do not resolve after two years, the patient will have to begin to work towards pain management, and complete recovery will be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Dr. Esmail's opinion, the plaintiff's neck injury would prevent her from doing regular nursing employment on a long-term basis. He recommended a functional capacity evaluation to clarify her abilities and disabilities. He recommended this because evaluations can take longer than what is performed in a medical consultation and, accordingly, can likely provide greater insight into the plaintiff's functional capacity as a nurse.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Kulwant Riar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Psychiatrist Dr. Riar assessed the plaintiff on November 2, 2016 and prepared a report dated February 4, 2017. While being assessed, the plaintiff began to cry when she was discussing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Riar diagnosed the plaintiff with somatic symptom disorder, apprehension and anxiety in certain traffic situations, general anxiety disorder and major depressive disorder as result of the Accident. He noted that while he did not consider her to be disabled at the time of the interview, certain aspects of her life were limited or restricted due to her ongoing disorders, and "[a]ny further stress or deterioration in her anxiety or depression can compromise her functioning making her disabled." He also noted that she had done everything suggested to her in terms of treatment but that she was still in pain on a daily basis. He recommended 14 to 16 one-hour sessions of cognitive behavioural psychotherapy at approximately $150 a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his report, Dr. Riar wrote: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emotional front, she had developed some apprehension and anxiety in certain traffic situations, but she did not experience symptoms of posttraumatic stress disorder or any specific anxiety disorder to driving or traffic. Subsequent to the accident, she has experienced anxiety and depressive disorder. I believe that her anxiety disorder can be characterized as Generalized Anxiety Disorder and her depression as a Major Depressive Disorder. The symptoms of these disorders were worse in 2014 and 2015 and then started to settle. At the time of my interview with her, they were lingering around in mild to moderate intensity.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issue of causation of her somatic symptom disorder, I believe that the accident in question was the main cause to bring this disorder on, but subsequent anxiety, depression, her personality profile and other stressors like her school, moving away from home all played a significant part in aggravating and perpetuating her somatic symptom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As far as psychiatric intervention, she should be referred to a psychiatrist for treatment of her anxiety and depression with psychotropic medication as well as psychotherapy in the form of cognitive behaviour approach. If that is not available, then her family doctor should start her on antidepressant medication and she should see a psychologist for 14 to 16 one hour sessions for cognitive behavioural psychotherapy. As you are aware, psychological services are not covered under MSP and cost about $150 an hour.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far as her psychiatric prognosis that is for the next four to six months, I believe that it is guarded but with the abovementioned intervention her functioning can be improved and the course of her illness can be changed. As [for] her long-term prognosis, I tend to believe that she would likely achieve remission from her present symptoms of anxiety and depression, but it is difficult for me to say when. Once her anxiety and depression is under control, she remains vulnerable for experiencing anxiety and depression in the future and this has to do more with her constitution and genetic vulnerability rather than any effects of the accident.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Louise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Craig was called as a functional capacity evaluation expert. She conducted a functional capacity evaluation of the plaintiff and her report dated November 5, 2016 was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Craig had the plaintiff perform a number of tests designed to measure her ability to carry on with repetitive movements as well as her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key test was called the "repetitive movement test" and the results of that test showed a 26% decline in the plaintiff's shoulder strength and a 30% decline in her plank.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Ms. Craig testified that it was unlikely that the plaintiff's level of pain from performing nursing duties would decrease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She has evaluated a number of nurses in the course of her career, and is aware that nursing duties involve physical demands. Ms. Craig testified that based on her past experience with re-testing patients after treatments, the maximum percentage of improvement to the plaintiff's symptoms with treatment is only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Craig testified that while the plaintiff will be able to fulfil the duties of a pediatric nurse, it is unlikely that she will be able to tolerate regular duties on a full- time basis, and she should therefore consider working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With respect to treatment, Ms. Craig recommended the plaintiff to undergo 12 to 18 physiotherapy sessions and 12 to 24 supervised exercise sessions with a kinesiologist. She also recommended that the plaintiff attend yoga classes once a week on a long-term basis, and participate in pilates classes on a weekly basis for 6 to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Craig noted the plaintiff to be limited in performing heavier household tasks, such as seasonal cleaning and heavier or repetitive garden and yard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Jonathan Hummel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defendants called Dr. Jonathan Hummel, an orthopaedic surgeon to testify at trial as defence's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Hummel examined the plaintiff on January 20, 2017. At his examination of the plaintiff, he found the plaintiff to have neck and upper back pain. He also found the plaintiff to have pain in her right arm and tenderness at the root of her neck, more so on the right side than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Hummel wrote in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diagnosis is a soft tissue injury to her neck. This is possibly resulting in symptoms reminiscent of a thoracic outlet syndrome. On clinical examination today, however, there were no positive findings with regard to her thoracic outlet. It is my understanding that she will be seeing a rheumatologist the week after this evaluation.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evaluation, it is my opinion that the patient most likely has a diagnosis of disputed thoracic outlet syndrome. Generally speaking, and in more simple terms, it is much more likely that patients who present with disputed thoracic outlet syndrome will tend to have a propensity for this in terms of being vulnerable.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 is not clear if this is a true thoracic outlet syndrome, and she has had EMG studies that were negative, ... suffice to say that between 80 and 90 percent of patients who have disputed thoracic outlet syndrome will respond to a program of therapy, posture, core strengthening, etc., and will do well. No further intervention will be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evaluation, it is my opinion that the plaintiff will be able to continue to work. She is working in nursing on a part-time basis in Surrey at this time. It is my opinion that it is possible that from time to time she might have exacerbations of her complaints, and it is possible that she might have some minor restrictions in place. ...if she works on her strengthening and conditioning it is likely that she will not require any further time off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based on my evaluation she does not have any obvious positive clinical findings for thoracic outlet syndrome other than her described history. This would put her in the group of disputed thoracic outlet syndrome... The patient, as mentioned, has an 80 to 90 percent chance of settling down within a year of the accident. The diagnosis has not been fully completed at this time. However, from the description of the history, it is possible. On my examination, however, I found no evidence of any thoracic outlet syndrome with either regular or evocative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Hummel had found that there was no other explanation for the plaintiff's pain other than the trauma of the Accident and that she was truthful and honest in her presentation. He was asked to simply state his diagnosis. He testified at trial, in line with his report, that the plaintiff had soft tissue injuries and symptoms reminiscent of thoracic outlet syndrome. He testified that his report which states the plaintiff has "disputed thoracic outlet syndrome" means that the pathway of the nerves and blood vessels from one's neck to one's arm which passes through three distinct anatomical areas, the syndrome implies that there is some degree of compression of the vascular or nerve structures passing through this canal. The brachial plexus which consists of nerve roots as they come out of the spine also passes through this area, the brachial plexus has two parts the nerve function to your hand and the sensory function. There are two parts of thoracic outlet syndrome, vascular and neurogenic. Vascular compression is venal or arterial nerve compression is what he terms "disputed" or intermittent. It does not mean that it is not there. "It is definitely there" Dr. Hummel stated. It is simply that it does not manifest on every examination of the patient. He testified in general that 90% of thoracic outlet syndrome is neurogenic. The rest is out of the vascular arterial 1% venous 3-5%. He found no evidence of vascular thoracic outlet syndrome with the plaintiff. From the plaintiff's history, he diagnosed intermittent thoracic outlet syndrome. There is no definitive test for this, he testified. While there are tests that look to see if one can compress the vascular side the test was not reliable on its own to make a diagnosis. Another different test looks for a sudden significant worsening but, he emphasized, negative tests do not prove the syndrome does not exist and positive do not prove it either. He made his diagnosis on the plaintiff's physical presentation, her posture and symptoms being wider than a true neck injury alone might show, in addition to her body type of tall and slender. He based his opinion respecting body type on it being the predominance of women who have this syndrome together with her posture displayed which would pull muscle.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his report as noted above, Dr. Hummel noted that the plaintiff "has an 80 to 90 percent chance of settling down within a year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As pointed out by the plaintiff, Dr. Hummel's examination took place well over two years after the Accident. Clearly, however, the plaintiff did not recover within one year of the Accident, since the time Dr. Hummel examined the plaintiff two and a-half-years after the Accident, she still had significant symptoms. It is, accordingly, difficult to give this statement of Dr. Hummel much weight. He did note that there was still exploration of her condition occurring given the ending review by the rheumatologist. Dr. Hummel also testified the plaintiff "is likely to respond to a program of posture, strengthening, and certain exercises which will allow her to stretch out her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factors to be considered in assessing credibility were summarized by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affirmed </w:t>
      </w:r>
      <w:hyperlink r:id="rId672"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[1952] 2 D.L.R. 152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Of note is that if the plaintiff's account of changes in their physical, mental or emotional state resulting from the Accident is not persuasive, then any hypothesis upon which an expert report rests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and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Plaintiff's counsel argues that the plaintiff and the witnesses called by her should be found credible. It is submitted that the plaintiff tried genuinely to provide accurate testimony and did so in a candid and forthright manner. Very few mistakes were made, and they were minor mistakes which were easily explainable as being due to human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defendants, in contrast, argue that the plaintiff did not tell her doctor about certain complaints of pain that she had. For example, when she attended Dr. Sohal, there was no note of any jaw pain or anxiety at the time immediately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defendants argue that when the plaintiff returned to work at the SFU bookstore in April 2014 for a short period of time, it was solely for the purpose of obtaining spending money for her trip to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agreed that prior to the Accident, she had never worked five days in a row, nor had she worked a seven-hour shift or full-time at any point during her employment with the SFU bookstore. The plaintiff testified in direct examination that she had improved considerably from the first to the second semester of the 2013- 2014 academic year, and that in the spring of 2014, she was off to attend the University of Alberta as she believed she would be physically able to do the job of a registered nurse. Thus, she was feeling more up to working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defendants further submit that the stress the plaintiff suffered was as a result of her student debt, her trying to get into a good program, and the pressure from her family, rather than being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defendants do not dispute that the plaintiff suffers numbness and tingling feelings and that this is one of the major symptoms of thoracic outlet syndrome, as noted by Drs. Hummel and Hawkeswood. However, it is noted that the plaintiff was able to complete her nursing studies and even when she was doing her preceptorship, she still claimed that she believed she could physically handle a full- time position as a registered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It was at this time that she came back to British Columbia and applied for the position at Surrey Memorial Hospital. As noted, she then saw a new family doctor, Dr. Baby, and during this period of time she returned to see Drs. Hawkeswood, Epstein, and Riar. The defendants submit that during this period of time, the plaintiff's evidence became less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testified that when she took the position at the Surrey Memorial Hospital, she believed that she could physically do the job and that she was not lying that she could do the job on the application form. However, the reports she gave to the specialists at the time complained of chronic pain, jaw pain, headaches and emotional injuries. She described her headaches, jaw pain and emotional injuries to Drs. Epstein, Riar and Hawkeswood but not to Dr.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She started her work at Surrey Memorial Hospital in December 2016, completing her orientation of 150 hours at the end of February 2017 At the time of trial, she was working as a casual employee in the pediatric in-patient unit at the Surrey Memorial Hospital. However, since the time of commencing full-time work, she had only worked one four-day set, two three-day sets and had only had one conversation with her employer, Ms. Mak, respecting her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defendants also rely on the questionnaire submitted to Dr. Esmail by the plaintiff in which, when examined, the plaintiff stated that she was able to do most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Overall, despite relatively minor discrepancies pointed out by the defendants, I find the plaintiff to be credible, and her evidence to be reliable. Her evidence was helpful in understanding the nature and extent of her injuries, as corroborated by the experts who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defendants did not seriously dispute the credibility of any of the plaintiffs' experts, but noted that the opinion of their own expert, Dr. John Hummel should be preferred in that he found that the plaintiff has not yet been properly diagnosed with thoracic outlet syndrome and, instead, recommended that this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As referred to later on in these reasons, I find that Dr. Hawkeswood's diagnosis of thoracic outlet syndrome is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Respecting the lay witnesses and family members called by the plaintiff, the defendants do not dispute that the plaintiff was hurt directly after the Accident. The defendants do, however, ask that an adverse inference be found respecting the plaintiff's failure to call Michelle Noble, who was at one time the plaintiff's unit manager. I note that Ms. Noble, by the plaintiff's testimony, was on maternity leave and, therefore, was not able to come testify, and that a replacement was called instead. Accordingly, I draw no adverse inference in respect of her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As liability is admitted, I turn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Causation is not to be determined by scientific precision;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injury, but it must be part of the cause and beyond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 14 and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general test is the "but for" test, which requires the trier of fact to consider whether,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would the plaintiff have suffered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"but for" test recognizes that compensation for negligent conduct shall be made where there is a substantial connection between the injury and the defendant's conduct: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 to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If the "but for" test is not workable, there is a material contribution test as noted by Chief Justice McLachlin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052"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foregoing discussion leads me to the following conclusions as to the present state of the law in Canada:</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rule, a plaintiff cannot succeed unless she shows as a matter of fact that she would not have suffered the loss "but for" the negligent act or acts of the defendant. A trial judge is to take a robust and pragmatic approach to determining if a plaintiff has established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loss. Scientific proof of causation is not required.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Exceptionally, a plaintiff may succeed by showing that the defendant's conduct materially contributed to risk of the plaintiff's injury, where (a) the plaintiff has established that her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tortfeasors, each possibly in fact responsible for the loss; and (b) the plaintiff, through no fault of her own, is unable to show that any one of the possible tortfeasors in fact was the necessary or "but for" cause of her injury, because each can point to one another as the possible "but for" cause of the injury, defeating a finding of causation on a balance of probabilities against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Accordingly,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the Supreme Court of Canada held that causation must be established on a balance of probabilities on either test before damages may be assessed.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Here, the plaintiff argues that all of her injuries, including thoracic outlet syndrome, were caused by the tortious act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defendants, in turn, dispute the plaintiff's complaint of psychiatric injuries, specifically major depressive disorder and somatic symptom disorder, arguing that the plaintiff made little in the way of complaints to her treating physicians on the symptoms of anxiety and depression. The only detailed complaint she made was to Dr. Riar who did his examination three years after the Accident. In the alternative, the defendants argue that Dr. Riar agreed in evidence that the plaintiff had a major depressive order or somatic symptom disorder to begin with, prior to the Accident. The defendants also rely on the denial of low mood and anxiety of the plaintiff in her visits to Dr. Baby in the fall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Further, and in the alternative, the defendants argue that these symptoms manifested while the plaintiff was in Edmonton and resolved upon her returning home after graduating from the nursing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Respecting the jaw pain, the defendants argue that it is not related to the Accident and, alternatively, the plaintiff's evidence at trial should be accepted, which was that "the issue had resolved after a couple of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Relating to the credibility and causation issues, I find that the defendants are responsible for the plaintiff's neck, back, and arm issues. In my view, the plaintiff has established on a balance of probabilities that she suffers from thoracic outlet syndrome, as concluded by Dr. Hawkeswood, and that this injury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With respect to anxiety, I accept that the plaintiff suffers from anxiety in relation to driving. However, with respect to her low mood and depression, I find that it is more likely than not that this was a consequence of the plaintiff's move to Edmonton to attend university as her low mood and depression issue had alleviated when she returned home to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am also mindful of the fact that low mood and depression was not a complaint reiterated by the plaintiff prior to her move to Edmonton. She did not suffer from a major depressive syndrome, nor from a 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do find that, however, that the plaintiff was of low mood and was depressed as a consequence of the pain that she sustained from her injuries, but not to the extent as suggested by the plaintiff. As was established by Dr. Riar, had the plaintiff suffered a major depressive incident, it would be unlikely that she would recover on her own without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There is no issue with respect to mitigation of damages. The plaintiff has undertaken every treatment recommended to her in order to enjoy better health and better recovery from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Regarding non-pecuniary damages, I find that the plaintiff enjoyed a full life before the Accident and had no issues with respect to her neck and back. Nor did she have a tingling feeling in her arm or numbness of her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find that, as she testified, the plaintiff did not have to rest after having performed her regular activities. I also find that she did not experience headaches or low mood symptoms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do find, however, that the plaintiff has been steadily improving. I note that she enjoys playing basketball. I note that she now works without significant limitations. I note that she has gone back to a number of her pre-Accident activities. She is not as socially isolated now that she has returned home from Edmonton.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accept that the plaintiff still suffers from numbness and tingling feelings in her right arm, and from some neck and back pain. However, the pain she has now is not like the pain immediately following the Accident. The plaintiff is able to work to the extent she testified to. While I appreciate that she must rest afterward, she is not disabled from working.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The rationale for non-pecuniary damages is set out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Justice Dickson, as he then was, noted that the money awarded in the non-pecuniary damage heading is there "because it will serve a useful function of making up for what has been lost in the only way possible, accepting that what has been lost is incapable of being replaced in a direct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As well,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xml:space="preserve"> (S.C.), Justice McLachlin, as she then was, discussed the purpose of non-pecuniary damages, finding at para. 262: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for pain, suffering, loss of amenities and other non-pecuniary losses are awarded for the purpose of providing substitute pleasures and amenities to make the life of the injured person more bearable. In assessing such damages the court must consider the individual situation of the plaintiff and the extent to which money can provide solace, as well as the limitations established by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ref'd </w:t>
      </w:r>
      <w:hyperlink r:id="rId1024"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the Court of Appeal outlined the factors that should be considered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inexhaustive list of common factors cited in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 f) 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291"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In determining and assessing the nature and severity of an injury, further factors are considered as noted in </w:t>
      </w:r>
      <w:r>
        <w:rPr>
          <w:rFonts w:ascii="arial" w:eastAsia="arial" w:hAnsi="arial" w:cs="arial"/>
          <w:i/>
          <w:color w:val="000000"/>
          <w:sz w:val="20"/>
          <w:lang w:val="en-US" w:eastAsia="en-US" w:bidi="ar-SA"/>
        </w:rPr>
        <w:t>Buttar v. Brennan</w:t>
      </w:r>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2012 BCSC 531</w:t>
        </w:r>
      </w:hyperlink>
      <w:r>
        <w:rPr>
          <w:rFonts w:ascii="arial" w:eastAsia="arial" w:hAnsi="arial" w:cs="arial"/>
          <w:color w:val="000000"/>
          <w:sz w:val="20"/>
          <w:lang w:val="en-US" w:eastAsia="en-US" w:bidi="ar-SA"/>
        </w:rPr>
        <w:t xml:space="preserve"> at paras. 24-25: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a case such as this where there are little, if any, objective findings except some minor degenerative changes in the neck, back and knee, the following should be taken into account by the trier of fact:</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damages in a moderate or moderately severe soft tissue injury is always difficult because the plaintiffs are usually genuine, decent people who honestly try to be as objective and factual as they can. Unfortunately every injured person has a different understanding of his own complaints and injuries, and it falls to judges to translate injuries to damages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at 397 (S.C.);</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be exceedingly careful when there is little or no objective evidence of continuing injury and when complaints of pain persist for long periods extending beyond the normal or usual recovery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at 399);</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at 399);</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doctor's function is to take the patient's complaints at face value and offer an opinion based on them. It is for the court to assess credibility. If there is a medical or other reason for the doctor to suspect the plaintiff's complaints are not genuine, are inconsistent with the clinical picture or are inconsistent with the known course of such an injury, the court must be told of that. But it is not the doctor's job to conduct an investigation beyond the confines of the examining room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77, aff'd </w:t>
      </w:r>
      <w:hyperlink r:id="rId686"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w:t>
      </w:r>
    </w:p>
    <w:p>
      <w:pPr>
        <w:numPr>
          <w:numId w:val="2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absence of objective signs of injury, the court's reliance on the medical profession must proceed from the facts it finds, and must seek congruence between those facts and the advice offered by the medical witnesses as to the possible medical consequences and the potential duration of the injuries </w:t>
      </w:r>
      <w:r>
        <w:rPr>
          <w:rFonts w:ascii="arial" w:eastAsia="arial" w:hAnsi="arial" w:cs="arial"/>
          <w:i/>
          <w:color w:val="000000"/>
          <w:sz w:val="20"/>
          <w:lang w:val="en-US" w:eastAsia="en-US" w:bidi="ar-SA"/>
        </w:rPr>
        <w:t>Fan (Guardian ad litem of) v. Chana</w:t>
      </w:r>
      <w:r>
        <w:rPr>
          <w:rFonts w:ascii="arial" w:eastAsia="arial" w:hAnsi="arial" w:cs="arial"/>
          <w:color w:val="000000"/>
          <w:sz w:val="20"/>
          <w:lang w:val="en-US" w:eastAsia="en-US" w:bidi="ar-SA"/>
        </w:rPr>
        <w:t xml:space="preserve">, </w:t>
      </w:r>
      <w:hyperlink r:id="rId1054" w:history="1">
        <w:r>
          <w:rPr>
            <w:rFonts w:ascii="arial" w:eastAsia="arial" w:hAnsi="arial" w:cs="arial"/>
            <w:i/>
            <w:color w:val="0077CC"/>
            <w:sz w:val="20"/>
            <w:u w:val="single"/>
            <w:shd w:val="clear" w:color="auto" w:fill="FFFFFF"/>
            <w:lang w:val="en-US" w:eastAsia="en-US" w:bidi="ar-SA"/>
          </w:rPr>
          <w:t>2009 BCSC 1127</w:t>
        </w:r>
      </w:hyperlink>
      <w:r>
        <w:rPr>
          <w:rFonts w:ascii="arial" w:eastAsia="arial" w:hAnsi="arial" w:cs="arial"/>
          <w:color w:val="000000"/>
          <w:sz w:val="20"/>
          <w:lang w:val="en-US" w:eastAsia="en-US" w:bidi="ar-SA"/>
        </w:rPr>
        <w:t xml:space="preserve"> at para. 73;</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case of this kind care must be taken in reaching conclusions about injury alleged to have continued long past the expected resolution. The task of the court is to assess the assertion in light of the surrounding circumstances including the medical evidence. The question is whether that evidence supported the plaintiff's assertion and, if not, whether a sound explanation for discounting it was given </w:t>
      </w:r>
      <w:r>
        <w:rPr>
          <w:rFonts w:ascii="arial" w:eastAsia="arial" w:hAnsi="arial" w:cs="arial"/>
          <w:i/>
          <w:color w:val="000000"/>
          <w:sz w:val="20"/>
          <w:lang w:val="en-US" w:eastAsia="en-US" w:bidi="ar-SA"/>
        </w:rPr>
        <w:t>Tai v. De Busscher</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2007 BCCA 371</w:t>
        </w:r>
      </w:hyperlink>
      <w:r>
        <w:rPr>
          <w:rFonts w:ascii="arial" w:eastAsia="arial" w:hAnsi="arial" w:cs="arial"/>
          <w:color w:val="000000"/>
          <w:sz w:val="20"/>
          <w:lang w:val="en-US" w:eastAsia="en-US" w:bidi="ar-SA"/>
        </w:rPr>
        <w:t xml:space="preserve"> at para. 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In light of the above, an assessment of the plaintiff's credibility is critical: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must reasonably subject his story to an examination of its consistency with the probabilities which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Numerous cases were put before the Court with respect to the appropriate range for non-pecuniary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The plaintiff suggests that the appropriate range of an award of non-pecuniary damages is $100,000 to $120,000, citing my decision in </w:t>
      </w:r>
      <w:r>
        <w:rPr>
          <w:rFonts w:ascii="arial" w:eastAsia="arial" w:hAnsi="arial" w:cs="arial"/>
          <w:i/>
          <w:color w:val="000000"/>
          <w:sz w:val="20"/>
          <w:lang w:val="en-US" w:eastAsia="en-US" w:bidi="ar-SA"/>
        </w:rPr>
        <w:t>Wahid v. Caporusso</w:t>
      </w:r>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2016 BCSC 1743</w:t>
        </w:r>
      </w:hyperlink>
      <w:r>
        <w:rPr>
          <w:rFonts w:ascii="arial" w:eastAsia="arial" w:hAnsi="arial" w:cs="arial"/>
          <w:color w:val="000000"/>
          <w:sz w:val="20"/>
          <w:lang w:val="en-US" w:eastAsia="en-US" w:bidi="ar-SA"/>
        </w:rPr>
        <w:t>. In that decision, the plaintiff enjoyed a high quality of life before the accident, including games, soccer, running and playing with her nephews and nieces. She was a member of law enforcement, an occupation which was physically demanding. The plaintiff continued working with pain and at the time of trial, she was suffering from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Considering that the plaintiff had suffered six years of chronic pain because the case proceeded to trial six years after the accident, I awarded her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Here, the plaintiff also relies upon Justice Dardi's decision in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where the plaintiff sustained a mild cervical and thoracic spine injury, and suffered from ongoing pain in his right hip. As a result of his injuries, the plaintiff suffered "years of significant pain, suffering and loss of enjoyment of life" (para. 224). In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Dardi J. awarded the plaintiff $110,000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defendants submit that the award of non-pecuniary damages should be in the range of $70,000 to $80,000, given the nature of the injury and impact on the plaintiff's life, both at work and recreationally.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The defendants also rely on other cases to establish a non-pecuniary award in the range of $40,000 to $85,000. I find that those cases are not similar to the circumstances of the case at bar. The case before me is more akin to that of </w:t>
      </w:r>
      <w:r>
        <w:rPr>
          <w:rFonts w:ascii="arial" w:eastAsia="arial" w:hAnsi="arial" w:cs="arial"/>
          <w:i/>
          <w:color w:val="000000"/>
          <w:sz w:val="20"/>
          <w:lang w:val="en-US" w:eastAsia="en-US" w:bidi="ar-SA"/>
        </w:rPr>
        <w:t>Wahid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all of the circumstances, I award the plaintiff $100,000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Sendher v. Wong</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2014 BCSC 140</w:t>
        </w:r>
      </w:hyperlink>
      <w:r>
        <w:rPr>
          <w:rFonts w:ascii="arial" w:eastAsia="arial" w:hAnsi="arial" w:cs="arial"/>
          <w:color w:val="000000"/>
          <w:sz w:val="20"/>
          <w:lang w:val="en-US" w:eastAsia="en-US" w:bidi="ar-SA"/>
        </w:rPr>
        <w:t>, Justice Verhoeven set out a review of the legal principles regarding past loss of capacity and set out the following in paras. 158-163: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[158] The award for past loss of earning capacity is based on the value of the work that the plaintiff would have performed but for her accident injuries. The award is properly characterized as a loss of earning capacity: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153;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[159] The plaintiff need not establish the actual loss of earnings on a balance of probabilities. What would have happened prior to the trial but for the accident injuries is hypothetical, just the same as what may happen in the future, after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[160]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05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 Rowles J.A.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[161] However the plaintiff must establish on a balance of probabilities that there is a causal connection between the accident injuries and the pecuniary loss claimed; mere speculation is insufficient: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para. 36;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1060"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[162] Just as in the case of the assessment of future loss of earning capacity, in the case of past loss of earning capacity, if the plaintiff establishes a real and substantial likelihood of the pecuniary loss asserted, the assessment of damages to be awarded as compensation depends upon an assessment of the degree of likelihood of the particular loss, combined with an assessment of the value of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[163] In cases where it is appropriate to proceed with an assessment of the value of the loss,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stipulates that a person who suffers loss of income is only entitled to recover the net income amount as damages: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w:t>
      </w:r>
      <w:hyperlink r:id="rId1034"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187;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at paras. 152-186.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which sets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Thus, in my view, a claim for what is often described as "past loss of income" is actually a claim for loss of earning capacity; that is, a claim for the loss of the value of the work that the injured plaintiff would have performed but was unable to perform because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The court has the discretion to decide which period of time should be used to determine net income loss, and should be mindful that the plaintiff is to be put in the position he or she would have been in had the accident not occurred: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181 to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 claims that she lost income during the summer of 2014, and during the course of the 2013-14 school year. She calculates these lost wages at $4,573.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plaintiff's evidence was that she tried working for two weeks in April 2014 but stopped because of the pain. The defendants' position is that the plaintiff's evidence on this point does not hold up. It was suggested to the plaintiff that she worked those two weeks simply to earn spending money for her family trip to India, which she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defendants argue that the plaintiff would not have been a registered student as testified to by Ms. Karen Cavezza, who said that students work according to a priority system, and a non-registered student would have to be on the regular CUPE seniority list or pool of workers. The defendants say that the plaintiff would no longer get the priority status offered to registered students because she was no longer a registered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This was in opposition to the evidence of the plaintiff, who indicated that she was still a registered student, which evidence I accept. I find that she would have obtained some work shifts during the school year and during the summer, which would have reflected the kind of hours she had worked prior to the Accident. I also take into account that she took the family holiday to India that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plaintiff also testified that had she not been injured, she would have worked part-time during nursing school as she had done at SFU. Accordingly, the plaintiff calculates a loss of $13,721.02 over the two-year period based on what she earned in the 12 months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find that, on a balance of probabilities, the plaintiff lost wages as a result of the injuries she sustained because of the Accident. In all, I find that there was a real possibility that the plaintiff would have worked part-time during the course of her nursing studies in Edmonton, and also would have obtained some part-time employment at the SFU bookstore in 2013 and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Consequently, I make an award of $8,000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plaintiff's future loss of earning capacity are surround the fact that the plaintiff wishes to continue working full-time as a registered nurse but she also wishes to be able to do so without having to spend the periods of time between work merely recovering.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A future or hypothetical possibility will be taken into consideration as long as it is real and substantial possibility, and not mere speculation: see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as well as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Ms. Craig suggested that the plaintiff consider working part-time only. She is currently working as a casual which allows her to be selective with her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have found on a balance of probabilities that the plaintiff has thoracic outlet syndrome and ongoing soft tissue injury pain and headaches. Accordingly, I find that the plaintiff's earning capacity has been impaired by her injuries and I must now consider what compensation should be awarded for the resulting financial loss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1063"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Justice Voith summarized the legal principles with respect to loss of earning capacity at para. 133: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relevant legal principles are well-established:</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1033"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either approach, the plaintiff must prove that there is a "real and substantial possibility" of various future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1064"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1065"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As noted by the Court of Appeal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assessment of damages is a matter of judgment, not calculation. Only Mr. Rosvold's optimism and willingness to embark on a new and untried line of endeavour distinguish him from the 47-year old longshoreman who in otherwise very similar circumstances was awarded $695,000.00 based on the loss of an annual earning capacity of $49,000.00: </w:t>
      </w:r>
      <w:r>
        <w:rPr>
          <w:rFonts w:ascii="arial" w:eastAsia="arial" w:hAnsi="arial" w:cs="arial"/>
          <w:i/>
          <w:color w:val="000000"/>
          <w:sz w:val="20"/>
          <w:lang w:val="en-US" w:eastAsia="en-US" w:bidi="ar-SA"/>
        </w:rPr>
        <w:t>Mazzuca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Alexakis</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When account is taken of all the evidence and the corrected pre-trial annual earning capacity, while having due regard for the trial judge's confidence in Mr. Rosvold's ability to start a successful business, I consider an appropriate award for loss of future earning capacity would be $300,000.00. I would vary the award for future loss accordingly and the award for past loss to $125,000.00.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Accordingly, the assessment of damages is a matter of judgment, not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The standard of proof for evaluation of hypothetical events that may affect an award of damages for future loss of earning capacity is simple probability rather than balance of probability: see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Hypothetical events (such as how the plaintiff's life would have proceeded without the tortious injury) or future events need not be proven on a balance of probabilities. Instead, they are simply given weight according to their relative likelihood: </w:t>
      </w:r>
      <w:r>
        <w:rPr>
          <w:rFonts w:ascii="arial" w:eastAsia="arial" w:hAnsi="arial" w:cs="arial"/>
          <w:i/>
          <w:color w:val="000000"/>
          <w:sz w:val="20"/>
          <w:lang w:val="en-US" w:eastAsia="en-US" w:bidi="ar-SA"/>
        </w:rPr>
        <w:t>Mallett v. McMonagle</w:t>
      </w:r>
      <w:r>
        <w:rPr>
          <w:rFonts w:ascii="arial" w:eastAsia="arial" w:hAnsi="arial" w:cs="arial"/>
          <w:color w:val="000000"/>
          <w:sz w:val="20"/>
          <w:lang w:val="en-US" w:eastAsia="en-US" w:bidi="ar-SA"/>
        </w:rPr>
        <w:t xml:space="preserve">, [1970] A.C. 166 (H.L.); </w:t>
      </w:r>
      <w:r>
        <w:rPr>
          <w:rFonts w:ascii="arial" w:eastAsia="arial" w:hAnsi="arial" w:cs="arial"/>
          <w:i/>
          <w:color w:val="000000"/>
          <w:sz w:val="20"/>
          <w:lang w:val="en-US" w:eastAsia="en-US" w:bidi="ar-SA"/>
        </w:rPr>
        <w:t>Malec v. J. C. Hutton Proprietary Ltd</w:t>
      </w:r>
      <w:r>
        <w:rPr>
          <w:rFonts w:ascii="arial" w:eastAsia="arial" w:hAnsi="arial" w:cs="arial"/>
          <w:color w:val="000000"/>
          <w:sz w:val="20"/>
          <w:lang w:val="en-US" w:eastAsia="en-US" w:bidi="ar-SA"/>
        </w:rPr>
        <w:t xml:space="preserve">. (1990), 169 C.L.R. 638 (Aust. H.C.);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For example, if there is a 30 percent chance that the plaintiff's injuries will worsen, then the damage award may be increased by 30 percent of the anticipated extra damages to reflect that risk. 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Schrump v. Koot</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(1977), 18 O.R. (2d) 337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As well, the Court of Appeal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noted at para. 9 that "[p]ossibilities and probabilities, chances, opportunities, and risks must all be considered, so long as they are real and substantial possibility and not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Pursuant to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at para. 10, other factors arising from the evidence are considered, including:</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her, had she not been injured;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herself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plaintiff's position is that she will work only part-time in the future. Currently, the plaintiff earns $32.94 per hour. The plaintiff's collective bargaining agreement stipulates that a nurse's evening shift premium is 70? per hour. Effective April 1, 2006, the night shift premium is $3.50 per hour. Additionally, an employee shall be paid a weekend premium of $2.30 per hour for each hour worked between 11 p.m. on Friday and 11 p.m. on Sunday. Effective April 1, 2001, an employee shall be paid a super shift premium of $1.00 per hour for each hour worked between 11 p.m. Friday and 7:30 a.m. on Saturday, and between 11 p.m. on Saturday and 7:30 a.m. on Sunday. The premium shall be in addition to night and weekend premiums. It is submitted that these premiums should be factored into the plaintiff's future loss of earning capacity. The plaintiff has also lost the opportunity to earn overtime pay it is submitted. Regular part-time employees get the two times overtime rate:</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all hours worked over four consecutive extended (8 hour +) shifts;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all hours worked over six consecutive standard (7.2 to 8 hour) shifts;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all hours worked over five consecutive shifts where three or more are extended shifts;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all hours worked over six consecutive shifts where four or more are standard shifts;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all hours worked over 216 straight time hours over the course of three bi- weekly pay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plaintiff submits as well that she will miss the opportunity of evening shift premiums, night shift premiums and overtime pay. She relies on the testimony of Ms. Mak and Mrs. Aulakh that a nurse is less likely to be promoted if they work fewer hours. In the plaintiff's submission, the evidence establishes that the Accident has limited the number of hours that she can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collective bargaining agreement states that between April 1, 2015 and February 1, 2019, nurses shall receive a 5.5% raise, regardless of level. It is submitted that a raise of 5.5%-6.5% should be considered, in addition to post-2019 economic variable calculations when factoring in the plaintiff's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It is submitted that the plaintiff will (and would have faster, but for the Accident) move up to higher levels. The plaintiff testified that she declined shifts due to her pain. Each higher level is consistent with a pay increase. Pay will also increase according to the number of years that a nurse has been employed. For casual employees, a nurse must be employed 1,950 hours to move from a First Year to a Second year (and so on to Nine Year, which is the maximum). Ms. Mak and Mrs. Aulakh testified that when a casual employee begins work on a "line", the number of hours worked as a causal is transferred into a date, the "Anniversary Date". Each year, on the Anniversary Date, the employee will move up a Year. It is submitted that the plaintiff is disadvantaged in two ways: (i) in the ability to compete for "lines"; and (ii) in the ability to move up in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plaintiff attempted to perform full-time duties between January 4 and January 7, 2017. She testified that after experiencing great pain and fatigue, the plaintiff did not take any further full-time rotations. All subsequent regular duty shifts have been broken into two or three consecutive shifts, not four. It is submitted that the plaintiff will possibly find a suitable part-time "line" within three years. Part-time work is described as a fraction of full time work, and is ascribed a full time equivalent ratio ("FTE"). For example, full-time work has an FTE of 1.0. Full time employees work an average of 36 hours per week calculated over the length of the rotation. Part-time work has an FTE of 0.51. Regular part-time employees are those who are regularly scheduled to work a minimum of fifteen hours or equivalent per week but less than the full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After two years as a casual employee at Level 1, earning $32.94 per hour with a 1.5% union increase, the plaintiff calculates the following for her lost earnings once she works on a part-time "line" until the age of 65:</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year as a First Year at Level 3, earning $32.94 per hour with another 1.5% union raise;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year as a Second Year at Level 3, earning $34.20 per hour with another 1.5% union raise;</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year as a Third Year at Level 3, earning $35.46 per hour with a 1.5% union raise;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year as a Year Four at Level 3, earning $36.73 per hour with a 1.5% union raise;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year as a Fifth Year at Level 3, earning $38.01 per hour with a 1.5% union raise;</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year as a Sixth Year at Level 3, earning $39.27 per hour with a 1.5% union raise;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year as a Seventh Year at Level 3, earning $40.54 per hour with a 1.5% union raise;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year as an Eighth Year at Level 3, earning $41.74 per hour with a 1.5% union raise;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year as a Year Nine at Level 3, earning $43.24 per hour with a 1.5% union raise;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promotion to Level 4, and seventeen years as a Year Nine, earning $48.00 per hour with a 15% union raise.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Calculating the part-time earnings working 20 hours a week for 52 weeks, accounting for the evening shift premiums, night shift premiums, and special shift premiums, or overtime pay that the plaintiff will and will not receive, the plaintiff arrives at $1,295,441.98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plaintiff submits that the matter can also be looked at by calculating the average salary of a full-time nurse salary at $76,029 divided by two as the plaintiff can only work part time and multiplied by 39 (the number of years that the plaintiff will work before retiring at age 65), in which case the figure arrived at is $1,482,565.50.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plaintiff consequently claims $ 1,000,000 to $1,500,000 under this head of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defendants submit that the plaintiff in this case should be entitled to an amount roughly one to one-and-a-half times what would have been full-time earnings which would allow for that same period for her to engage in a specified focused treatment plan under the guidance of a medical practitioner, be that a physiatrist, a neurologist or an orthopedic surgeon who specialises in the treatment of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defendants argue that a capital asset approach should be the preferred analysis and that one to one and-one-a half years equivalent in wages would be an the appropriate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defendants anchor this submission in the fact that the plaintiff has not yet worked a full year, in fact she stated that she only finished her orientation to the end of February. There is no evidence of how many shifts she has actually turned down or have in fact been offered to her or will be offered to her in the near future. The plaintiff has stated that she turns down shifts, but when asked directly about her previous week's schedule, the plaintiff struggled to recall what shifts she had worked the week prior to testifying. The Plaintiff testified that she has applied for a part-time line, but no evidence was put forward as to what other positions may be available either currently or in the near future. Ms. Mak noted that pediatric emergency positions are always open but she was unable to comment further on what kind of roles would be available or whether they would be suitable for the plaintiff. The plaintiff had only just informed her supervisor Ms. Mak very recently (April) of her issues. Ms. Mak was unable to say what roles would be suitable for the plaintiff. As well, Ms. Mak testified accommodations can be made to permanent employees but not to a casual employee. Ms. Mak did not testify of what, if any, accommodation would or could be made for Ms Sharma when she became permanent. The defendants submit that if, as Dr. Hummel postulates, she follows a specific treatment plan and does in fact experience some recovery, she may be able to work 75% or possibly even 100% FTE.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defence argues furthermore, there are many likely roles in the future for the plaintiff including that there may be a supervisory or less physical role that she would be able to perform full time, as she moves up the seniority ladder, such as the Outpatient Clinic which is considered to be a desirable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defendants submit consequently that it is not clearly established that the plaintiff will forever remain only capable of working 50% of the time. The plaintiff had testified that "I can do my job well, on first and second day I can do it very well, but not on the third and 4th day, if I get called for a 4 hours shift I can do it well, I can do my job." This, the defendants argue, is proof that the plaintiff can work three days in a row. With further rehabilitation, targeted rehabilitation, it is in the defendants' submission that is more likely than not that the plaintiff could quite easily find herself being able to do a full three days and then potentially four day in a row and full time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For all these reasons, the defendants submit that the capital assets approach, with one to one and-a-half years wages to guide the figure, is a more appropriate approach to analyze any future loss of earning capacity. In addition no economist report has been provided, which would assist in the earnings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evidence before the Court demonstrated that being a nurse is a difficult job and that the plaintiff had selected pediatric work as a field that she felt she could manage. Nursing is a highly demanding profession, requiring care and attention to patients who must be treated even though they may weigh more than the plaintiff or who may fall or have any other kind of incident. It will be necessary for the plaintiff to move them from time to time. Even in pediatrics, there are some adolescents who weigh as much as adults that the plaintiff must ensure are positioned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find, as a consequence of the Accident, that the plaintiff has been rendered less capable of earning income from all types of employment, including all types of nursing. This renders her less attractive and less marketable to potential employers, and she will be unable to take advantage of all job opportunities which might have otherwise been available to her had she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plaintiff is also less valuable to herself given that she must spend long periods of time recovering in between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Turning to the injuries, Dr. Esmail opined that she had likely suffered occult damage to the zygapophyseal joints of the cervical spine and damage to the inter- spinous ligaments, resulting in complaints of pain. Dr. Esmail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of her long term employment career occupation should be addressed as I believe the neck injury will likely prevent her from doing regular nursing type of employment on a long term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Dr. Hawkeswood opined in his report that the plaintiff "should be able to pursue a career in pediatric nursing", but he expected "that full-time employment will probably lead to worsened pain symptoms, inclusive of both headaches and neck pain." He found that "more likely than not that Ms. Sharma will miss an occasional sick day on account of injuries sustained in the subject accident - above and beyond any anticipated future neck pain absent the MVA." Dr. Hummel, called by the defence, also agreed that the plaintiff likely has intermittent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In respect of her emotional health, the plaintiff was severely anxious when she was in Edmonton. However, I find that this anxiety was related to her being away from her family while studying nursing at that time. I find that her emotional state has returned to normal since her return to the Lower Mainland. However, she was also suffering from anxiety while being driven, as a consequence of the Accident, and she would experience stiffness in her neck and would tense up in her upper body. Her anxiety was still happening when Dr. Hawkeswood saw her in November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She related to Dr. Riar that her biggest problem was that the Accident had caused her pain and restrictions and now she has numbness in her right arm which she is worried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Dr. Riar believed that the plaintiff has somatic symptom disorder where pain is a prominent feature and, at the time of his interview with her, her symptoms were of mild to moderate intensity. He also believed that she had general anxiety disorder and major depressive disorder, symptoms which were worse in 2014 and 2015, after which they started to settle. Dr. Riar said that the depressive disorder, while lingering at the time of his interview with her, was mild to moderate. As noted earlier in these reasons, Dr. Riar wrote that her condition can improve if she seeks cognitive behavioural psychotherapy.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 Esmail recommended that she undergo functional capacity evaluation. Ms. Craig in her functional capacity assessment opined that the plaintiff demonstrates the capacity to partially meet the physical demands of her job but she does not have the strength capacity for lifting, pushing, and pulling or the capacity to sustain a stooping head forward position to meet the full scope of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Ms. Craig opined that by pursuing a career in pediatrics, the plaintiff's work duties involved lighter physical demands than that of regular bedside nursing, but that the plaintiff will still be likely to assume postures and complete tasks that are aggravating to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plaintiff has a long-term goal of becoming a nurse practitioner that she discussed with Louise Craig, which would be more in keeping with her current functional capacity. However, long periods of work and intensive sitting also result in symptom aggravation, and she will require breaking and pacing as well as optimal ergonomics to manage her symptoms if she assumes this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Ms. Craig felt that the plaintiff should be assessed by a physical and mental medicine and rehabilitation specialist for treatment to address her persistent neck and upper back pain and to determine if medical intervention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As noted previously, Dr. Hummel, the orthopaedic surgeon called by the defendants, opined that the plaintiff would be able to continue to work, despite some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 am satisfied that the plaintiff has proven on a balance of probabilities that she suffers from thoracic outlet syndrome which is causing numbness and a tingling feeling to her right arm, as testified to by Drs. Hummel and Hawkeswood.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While the plaintiff sustained initial jaw problems, I find that those have resolved. I find that she continues to suffer injuries to her head, neck, shoulders and back, and suffers ongoing difficulties with sleeplessness, headaches, dizziness, and some depression and anxiety, all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It is important to note, however, that the plaintiff has continued to work s a casual employee and that her employer was not aware of her requiring any accommodation for her work except for on one occasion according to Ms. Mak, and was not aware of her having difficulties performing her work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Given the two possible approaches to assessment of loss of future earning capacity, being the "earnings approach" and the "capital asset approach" referred to above in </w:t>
      </w:r>
      <w:r>
        <w:rPr>
          <w:rFonts w:ascii="arial" w:eastAsia="arial" w:hAnsi="arial" w:cs="arial"/>
          <w:i/>
          <w:color w:val="000000"/>
          <w:sz w:val="20"/>
          <w:lang w:val="en-US" w:eastAsia="en-US" w:bidi="ar-SA"/>
        </w:rPr>
        <w:t>Pololos</w:t>
      </w:r>
      <w:r>
        <w:rPr>
          <w:rFonts w:ascii="arial" w:eastAsia="arial" w:hAnsi="arial" w:cs="arial"/>
          <w:color w:val="000000"/>
          <w:sz w:val="20"/>
          <w:lang w:val="en-US" w:eastAsia="en-US" w:bidi="ar-SA"/>
        </w:rPr>
        <w:t xml:space="preserve">, I find that the capital asset approach is more appropriate in this case where the losses are not truly measurable in a pecuniary way in such a way that is not dependent on numerous presumptions and not demonstarted yet by the plaintiff given she had just started her employ: see also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These cases,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Funk</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Golaiy</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Boisclair</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illustrate the two (both correct) approaches to the assessment of future loss of earning capacity. One is what was later called by Finch J.A. in </w:t>
      </w:r>
      <w:r>
        <w:rPr>
          <w:rFonts w:ascii="arial" w:eastAsia="arial" w:hAnsi="arial" w:cs="arial"/>
          <w:i/>
          <w:color w:val="000000"/>
          <w:sz w:val="20"/>
          <w:lang w:val="en-US" w:eastAsia="en-US" w:bidi="ar-SA"/>
        </w:rPr>
        <w:t>Pallos v</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Insurance Corp. of British Columbia</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the 'real possibility' approach. Such an approach may be appropriate where a demonstrated pecuniary loss is quantifiable in a measurable way; however, even where the loss is assessable in a measurable way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it remains a loss of capacity that is being compensated. The other approach is more appropriate where the loss, though proven, is not measurable in a pecuniary way. An obvious example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approach is a young person whose career path is uncertain. In my view, the cases that follow do not alter these basic propositions I have mentioned. Nor do I consider that these cases illustrate an inconsistency in the jurisprudence on the question of proof of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all of the circumstances, I find that the plaintiff has suffered a loss of future earning capacity. However, I am mindful of the various contingencies that may arise, including the possibility that the plaintiff will seek part-time work to raise a family or to pursue further study, and the potential positive impact of future treatment. I am mindful as well that defence expert, Dr. Hummel, had recommended the plaintiff to attend further treatments and that she be seen by a surgeon. I am also mindful that the plaintiff's condition is still being explored. Further, should the plaintiff obtain a line of employment, it is then that she could be accommodated.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Bearing these contingencies in mind, I award the plaintiff $280,000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For the cost of future care, the plaintiff is entitled to be compensated based on what is reasonably necessary to restore her to her pre-Accident condition. The award should be based on what is reasonably necessary on the medical evidence to preserve and promote her mental and physical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 note that Dr. Riar in his report suggested cognitive behavioural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plaintiff also requires further physical and massage therapy in the opinions of Drs. Hawkeswood and Esmail. Dr. Hummel recommends a targeted approach to deal with her intermittent thoracic out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 award the plaintiff $10,000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With respect to the plaintiff's mother, Mrs. Sharma, who travelled to Edmonton to assist the plaintiff when she started her studies in Edmonton, the claim that is being made is for $454.67. Mrs. Sharma concedes that on other occasions, she went there just to visit her daughter. I allow this claim in the amount of $454.67 given that she helped the plaintiff establish herself in Edmonton to get her started off with her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Special damages have been agreed between the parties at $4,180.87.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 award the plaintiff the following damages:</w:t>
      </w:r>
      <w:r>
        <w:rPr>
          <w:rFonts w:ascii="arial" w:eastAsia="arial" w:hAnsi="arial" w:cs="arial"/>
          <w:sz w:val="20"/>
          <w:lang w:val="en-US" w:eastAsia="en-US" w:bidi="ar-SA"/>
        </w:rPr>
        <w:cr/>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$100,000.00</w:t>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earnings: $8,000.00</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$280,000.00</w:t>
      </w:r>
    </w:p>
    <w:p>
      <w:pPr>
        <w:numPr>
          <w:numId w:val="5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$10,000.00</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In-Trust Claim (to the plaintiff's mother): $454.67</w:t>
      </w:r>
    </w:p>
    <w:p>
      <w:pPr>
        <w:numPr>
          <w:numId w:val="5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Special damages: </w:t>
      </w:r>
      <w:r>
        <w:rPr>
          <w:rFonts w:ascii="arial" w:eastAsia="arial" w:hAnsi="arial" w:cs="arial"/>
          <w:color w:val="000000"/>
          <w:sz w:val="20"/>
          <w:u w:val="single"/>
          <w:lang w:val="en-US" w:eastAsia="en-US" w:bidi="ar-SA"/>
        </w:rPr>
        <w:t>$4,180.87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$402,635.54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If the parties are unable to agree on costs, they may contact the Registry within 60 days to arrange to address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MAISONVILLE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6"/>
          <w:headerReference w:type="default" r:id="rId1067"/>
          <w:footerReference w:type="even" r:id="rId1068"/>
          <w:footerReference w:type="default" r:id="rId1069"/>
          <w:headerReference w:type="first" r:id="rId1070"/>
          <w:footerReference w:type="first" r:id="rId10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72" w:history="1">
        <w:r>
          <w:rPr>
            <w:rFonts w:ascii="arial" w:eastAsia="arial" w:hAnsi="arial" w:cs="arial"/>
            <w:b/>
            <w:bCs/>
            <w:i/>
            <w:color w:val="0077CC"/>
            <w:kern w:val="32"/>
            <w:sz w:val="28"/>
            <w:szCs w:val="32"/>
            <w:u w:val="single"/>
            <w:shd w:val="clear" w:color="auto" w:fill="FFFFFF"/>
            <w:lang w:val="en-US" w:eastAsia="en-US" w:bidi="ar-SA"/>
          </w:rPr>
          <w:t>55971 B.C. Ltd. (c.o.b. A &amp; A Service Co.) v. Hospital Employees' Union, [2002] B.C.J. No. 1574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Beames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June 28,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S023524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1574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962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115 A.C.W.S. (3d) 482</w:t>
      </w:r>
    </w:p>
    <w:p>
      <w:pPr>
        <w:spacing w:before="120" w:line="260" w:lineRule="atLeast"/>
        <w:rPr>
          <w:lang w:val="en-US" w:eastAsia="en-US" w:bidi="ar-SA"/>
        </w:rPr>
      </w:pPr>
      <w:r>
        <w:rPr>
          <w:rFonts w:ascii="arial" w:eastAsia="arial" w:hAnsi="arial" w:cs="arial"/>
          <w:color w:val="000000"/>
          <w:sz w:val="20"/>
          <w:lang w:val="en-US" w:eastAsia="en-US" w:bidi="ar-SA"/>
        </w:rPr>
        <w:t>Between 55971 B.C. Ltd. doing business as A &amp; A Service Company, plaintiff, and Hospital Employees' Union in the Province of British Columbia, a Division of Canadian Union of Public Employees and Chris Allnutt,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6" style="position:absolute;z-index:25170636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09" w:name="Keywords_43"/>
      <w:bookmarkEnd w:id="309"/>
      <w:r>
        <w:rPr>
          <w:rFonts w:ascii="arial" w:eastAsia="arial" w:hAnsi="arial" w:cs="arial"/>
          <w:b/>
          <w:color w:val="000000"/>
          <w:sz w:val="20"/>
          <w:lang w:val="en-US" w:eastAsia="en-US" w:bidi="ar-SA"/>
        </w:rPr>
        <w:t>Libel and slander — The statement — What constitutes defamatory statements, libel — Injunctions — Restraining further defamation.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10" w:name="Case Summary_41"/>
            <w:bookmarkEnd w:id="31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A &amp; A for an interim injunction restraining the Union from broadcasting an advertisement which defamed A &amp; A. A &amp; A won a contract to provide cleaning services for an abortion clinic. The Union started running a television advertisement against hospital privatization, citing a number of examples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poor quality service by private contractors used in other jurisdictions. The ad closed with the question of whether the same thing could happen in BC, and it showed the headline of an article which had been published about A &amp; A, which read "Abortion Foe's Firm wins contract at Women's Hospital - Deal covers cleaning operations at site of BC's major abortion clinics". </w:t>
            </w:r>
            <w:r>
              <w:rPr>
                <w:lang w:val="en-US" w:eastAsia="en-US" w:bidi="ar-SA"/>
              </w:rPr>
              <w:cr/>
            </w:r>
          </w:p>
          <w:p>
            <w:pPr>
              <w:spacing w:before="120" w:line="260" w:lineRule="atLeast"/>
              <w:ind w:left="240"/>
              <w:jc w:val="both"/>
              <w:rPr>
                <w:lang w:val="en-US" w:eastAsia="en-US" w:bidi="ar-SA"/>
              </w:rPr>
            </w:pPr>
            <w:bookmarkStart w:id="311" w:name="Holdings of Court_32"/>
            <w:bookmarkEnd w:id="311"/>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An injunction was granted. The test was whether the words were clearly defamatory and impossible to justify. The ad was clearly defamatory. It led to no conclusion other than that A &amp; A either committed the negligent acts referred to in the ad or had an equally blemished record. The union conceded that it did not seek to show that the defamation was justified. </w:t>
            </w:r>
            <w:r>
              <w:rPr>
                <w:lang w:val="en-US" w:eastAsia="en-US" w:bidi="ar-SA"/>
              </w:rPr>
              <w:cr/>
            </w:r>
          </w:p>
          <w:p>
            <w:pPr>
              <w:rPr>
                <w:lang w:val="en-US" w:eastAsia="en-US" w:bidi="ar-SA"/>
              </w:rPr>
            </w:pPr>
          </w:p>
        </w:tc>
      </w:tr>
    </w:tbl>
    <w:p>
      <w:pPr>
        <w:jc w:val="both"/>
        <w:rPr>
          <w:lang w:val="en-US" w:eastAsia="en-US" w:bidi="ar-SA"/>
        </w:rPr>
      </w:pPr>
      <w:bookmarkStart w:id="312" w:name="Counsel_46"/>
      <w:bookmarkEnd w:id="31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7" style="position:absolute;z-index:2517575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Susan A. Griffin and Angela R. Nelson, for the plaintiff. Leo B. McGrady, for the defendants.</w:t>
      </w:r>
      <w:r>
        <w:rPr>
          <w:lang w:val="en-US" w:eastAsia="en-US" w:bidi="ar-SA"/>
        </w:rPr>
        <w:cr/>
      </w:r>
    </w:p>
    <w:p>
      <w:pPr>
        <w:spacing w:after="240"/>
        <w:rPr>
          <w:lang w:val="en-US" w:eastAsia="en-US" w:bidi="ar-SA"/>
        </w:rPr>
      </w:pPr>
      <w:bookmarkStart w:id="313" w:name="Judgment_45"/>
      <w:bookmarkEnd w:id="313"/>
      <w:r>
        <w:pict>
          <v:line id="_x0000_s1248" style="position:absolute;z-index:25180876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14" w:name="BEAMES J. (orally)"/>
            <w:bookmarkEnd w:id="314"/>
            <w:r>
              <w:rPr>
                <w:rFonts w:ascii="arial" w:eastAsia="arial" w:hAnsi="arial" w:cs="arial"/>
                <w:b/>
                <w:color w:val="000000"/>
                <w:sz w:val="30"/>
                <w:lang w:val="en-US" w:eastAsia="en-US" w:bidi="ar-SA"/>
              </w:rPr>
              <w:t>BEAMES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which I will refer to as A &amp; A, seeks an interim injunction restraining the defendant union and the individual defendant, Mr. Allnutt, from broadcasting or publishing an advertisement called "The Record" or any description of "The Record" which defames the plaintiff pending the trial of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will note here that the plaintiff abandoned yesterday, in the course of submissions, the third paragraph of its Notice of Motion, and I will be making no ruling in that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 &amp; A, is a Vancouver based company established in 1958 which provides cleaning services. In April 2002, the Children and Women's Health Centre of British Columbia issued a request for proposals for cleaning services for its Children's Ambulatory Care Building. A &amp; A submitted a tender and was the successful bidder for the contract. A &amp; A started cleaning the building on May 15,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Between May 17 and May 22, 2002, a number of articles were published that stated that one of the plaintiff's directors and shareholders was an anti-abortionist, and describing some of her past participation in support of her anti-abortion beliefs. The first of the series of articles contained a prominent two-part headline: "Abortion Foe's Firm wins contract at Women's Hospital. Deal covers cleaning operations at site of one of B.C.'s major abortion clinics."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May 31, 2002, the Hospital cancelled the contract with A &amp; A, relying on a clause in the contract which permitted it to terminate the contract with 90 days' notice.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June 12, 2002, the defendant union started running a paid television advertisement called "The Record", which is the subject matter of the application before me. That advertisement is also on the defendant union's website, as is a description of the advertisement. The advertisement, which I have seen, is approximately 30 seconds long. It begins with print that says: "Hospital Privatization -- Here's The Record", accompanied by a voice saying: "Corporations bidding for contracts in B.C.'s hospitals have a blemished record elsewhere." The advertisement then shows photographs and describes three particular incidents; namely, "fecal smears, blood and dirt were found on hospital linen cleaned by one company", with a note on the screen saying that it is identified to have occurred in a San Francisco hospital; "they dumped bloody surgical scrubs in an elevator used to carry patients' meals", identified as having occurred in a hospital in Glasgow; and "a thumb fragment was found in a sandwich served by the company", identified as having occurred in Massachusetts. Immediately following those video clips and statements is an image of a sign for the B.C. Women's Hospital and voice saying: "Can it happen here? Gordon Campbell's rush to privatize hospital services has already had some disturbing results", all of which words are spoken while the image on the screen shows a photograph of the Premier and the two-part headline I referred to earlier. The advertisement concludes with the statement, "Privatization, it's the wrong answer for patients."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union's website contains a news release dated June 12, 2002, which announces the union's launching of a major advertising campaign against privatization, invites viewers to view the advertisement "The Record", by way of a direct link, and claims that the union has purchased $500,000 worth of air time for its TV campaign, which is to run for five of the next eight weeks, including on Chinese and Indo-Canadian programming.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June 18, 2002, counsel for A &amp; A wrote to the union asking it to voluntarily stop running the advertisement "The Record" on television and on its website, on the basis that "The Record" defamed A &amp; A. Having received no response, counsel for A &amp; A wrote to local television stations and the defendant union's internet service provider between June 19th and 21st making the same request. Two stations provided a response indicating they would stop running the advertisement, and the balance either failed to respond or responded saying they would continue to broadcast the advertisement for the defendant union.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June 24, 2002, the within action was commenced and short leave was granted to have the interim injunction application heard yesterday, June 27,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plaintiff's position, put simply, is that the clear imputation of the advertisement is that the plaintiff did the acts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referred to in the advertisement or, at the very least, has an equally blemished record of poor quality service and negligent acts. The plaintiff does not oppose the defendant union's right to provoke public debate on privatization, nor is it attempting to prevent the defendants from airing any part of the advertisement except the reference to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through counsel, concede that their only issue with the plaintiff, at this point in time, is the personal beliefs held by one of A &amp; A's directors and shareholders. The defendants do not allege that A &amp; A is guilty of any negligent acts or has any record of poor quality service. The defendants simply assert that the plaintiff has links to a person who has taken extreme steps in support of her anti-abortion beliefs.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Defendant's counsel concedes that if the imputation and/or innuendo the plaintiff alleges is proven, then an injunction should be granted in this case. However, the defendants say that the alleged imputation and/or innuendo has not been made out and does not arise from the advertisement.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further say that the advertisement must be looked at in conjunction with other information, including other information on its own website, which clearly identifies the perpetrator of the grossly negligent acts to be a company other than the plaintiff. Indeed, the defendant says the only document which links the plaintiff to the negligent acts referred to in the advertisement is the plaintiff's own press release issued June 18, 2002, stating that it was demanding an end to the defamatory ad campaign launched by the defendant union.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For the purposes of the application before me, the parties agree, and I conclude following the review of the cases provided by counsel, that the test to be applied in this case is that an interim injunction to restrain speech of the kind sought by the plaintiff will not be granted unless the plaintiff can satisfy the court that the words are clearly defamatory and impossible to justify.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Dealing with the first part of the test, it is clear to me that the advertisement, "The Record", is defamatory of the plaintiff. It leads to no conclusion other than that the "Abortion Foe's Firm", namely the plaintiff, either committed the negligent acts referred to in the advertisement or has an equally blemished record. The defendants cannot rely on the choice not to name the plaintiff specifically when the advertisement so clearly identifies the plaintiff by reference to the headlines referred to and shown in the advertisement. Similarly, it is no answer for the defendants to say that, in other information it has published, it has clarified that the company allegedly guilty of the negligent conduct referred to in the advertisement was a company other than the plaintiff. That other information may never become known to the viewers of the advertisement and, further, does not lessen the imputation that the plaintiff has a similarly blemished record.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regard to the second part of the test, the defendants do not seek to justify the defamation. Indeed, counsel for the defendants conceded that they do not seek to show that the plaintiff has a blemished record or that the plaintiff is guilty of anything except an association with an extreme anti-abortionist.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It follows, then, that I find that the plaintiff has made out its case for an interlocutory injunction. The defendants will be enjoined from broadcasting or publishing the advertisement "The Record" in its present form, namely with its reference to the plaintiff closely linked with the illustrations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any television station or on its website until the trial or other disposition of this action or until further order of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website of the defendant union, as shown in Exhibit F to Mr. Von Dehn's affidavit, must also be modified, at least, so as to ensure the reference to the plaintiff is not included in the same section or area of the website with the examples of negligent business practices set out on the website.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order will, of course, also contain reference to the plaintiff's undertaking as to damages. If the parties are unable to agree on the form of the order, they have liberty to apply to me by telephone for directions.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BEAMES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3"/>
          <w:headerReference w:type="default" r:id="rId1074"/>
          <w:footerReference w:type="even" r:id="rId1075"/>
          <w:footerReference w:type="default" r:id="rId1076"/>
          <w:headerReference w:type="first" r:id="rId1077"/>
          <w:footerReference w:type="first" r:id="rId10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79" w:history="1">
        <w:r>
          <w:rPr>
            <w:rFonts w:ascii="arial" w:eastAsia="arial" w:hAnsi="arial" w:cs="arial"/>
            <w:b/>
            <w:bCs/>
            <w:i/>
            <w:color w:val="0077CC"/>
            <w:kern w:val="32"/>
            <w:sz w:val="28"/>
            <w:szCs w:val="32"/>
            <w:u w:val="single"/>
            <w:shd w:val="clear" w:color="auto" w:fill="FFFFFF"/>
            <w:lang w:val="en-US" w:eastAsia="en-US" w:bidi="ar-SA"/>
          </w:rPr>
          <w:t>Alsaeedi v. Lally, [2015] I.L.R. para. M-2857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Jenkins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August 27,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M103989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[2015] I.L.R. para. M-2857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[2015] B.C.J. No. 1846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2015 BCSC 1526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Hanan Alsaeedi v. Satvinder Singh Lally</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0"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5" w:name="Keywords_44"/>
      <w:bookmarkEnd w:id="315"/>
      <w:r>
        <w:rPr>
          <w:rFonts w:ascii="arial" w:eastAsia="arial" w:hAnsi="arial" w:cs="arial"/>
          <w:b/>
          <w:color w:val="000000"/>
          <w:sz w:val="20"/>
          <w:lang w:val="en-US" w:eastAsia="en-US" w:bidi="ar-SA"/>
        </w:rPr>
        <w:t xml:space="preserve">Tort, motor vehicle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Personal injury damages - - Plaintiff alleged defendant's vehicle struck her as she crossed street at crosswalk — Defendant disputed that vehicle made contact with plaintiff — Plaintiff brought action to recover damages for alleged injuries — Single witness stated he saw plaintiff 10 feet from crosswalk when she got up — Court found plaintiff was not in crosswalk at time of incident — Court found plaintiff began jaywalking while signal said "don't walk" — Defendant had right-of-way but was responsible for looking out for pedestrians — Evidence did not establish there was impact between vehicle and plaintiff — Court found plaintiff fell in front of defendant's vehicle — Action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6" w:name="Case Summary_42"/>
            <w:bookmarkEnd w:id="316"/>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claimed that she was struck by a vehicle driven by the defendant in October 2008. The plaintiff claimed that while she was walking at a crosswalk on a green light, the defendant struck her on her left side as he made a left turn. The plaintiff confronted the defendant and took down his information. The plaintiff claimed that a year after the accident she posted posters and an ad on Craigslist to inquire about possible witnesses but did not receive any responses. The defendant, however, claimed that his vehicle never made contact with the plaintiff and that the plaintiff fell while crossing the street outside the crosswalk. An independent witness testified that he did not see the moment of alleged impact but saw that the plaintiff was 10 to 15 feet away from the walkway after the accident and guessed that she was cutting across the street on a "don't walk" signal. The plaintiff commenced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recover damages related to her alleged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7" w:name="Holdings of Court_33"/>
            <w:bookmarkEnd w:id="317"/>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witness's evidence, the Court found that the plaintiff was at least 10 feet, and likely further, away from the crosswalk line, and was not in the crosswalk at the time of the incident, contrary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The only other way the plaintiff could have ended up that far from the crosswalk would be if the impact of the collision sent her there. However, she claimed that the vehicle merely pushed her. The Court also found that the plaintiff began jaywalking while the signal was red for pedestrians. The defendant had the right-of-way, though he still had the responsibility of looking out to avoid the unexpected. The Court found that the evidence did not establish that there was an impact between the vehicle and the plaintiff. It accepted that the plaintiff fell in front of the defendant's vehicle.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8" w:name="Counsel_47"/>
      <w:bookmarkEnd w:id="3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1"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 Vondette for the plaintiff; A. Jones and L. Pan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9" w:name="Judgment_46"/>
      <w:bookmarkEnd w:id="319"/>
      <w:r>
        <w:pict>
          <v:line id="_x0000_s1252" style="position:absolute;z-index:2518097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0" w:name="R.W. JENKINS J."/>
            <w:bookmarkEnd w:id="320"/>
            <w:r>
              <w:rPr>
                <w:rFonts w:ascii="arial" w:eastAsia="arial" w:hAnsi="arial" w:cs="arial"/>
                <w:b/>
                <w:color w:val="000000"/>
                <w:sz w:val="30"/>
                <w:lang w:val="en-US" w:eastAsia="en-US" w:bidi="ar-SA"/>
              </w:rPr>
              <w:t>R.W. JENKINS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lone issue before me in this case is whether the defendant was negligent in driving his Porsche vehicle such that he struck the plaintiff while she was a pedestrian crossing Thurlow St. in downtown Vancouver. The plaintiff claims substantial injuries should the defendant be found to be negligent which injuries will be the topic of a further trial on damages should the defendant be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incident occurred in October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testimony of the plaintiff and the defence paint very different scenes of what happened on the day in question. The defendant's position is that his vehicle never did contact the plaintiff and that the plaintiff fell while running across Thurlow St. outside the crosswalk. As there is a disagreement as to whether the defendant's vehicle struck the plaintiff, I will refer to the events that occurred as the "incident" as opposed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testified that on October 8, 2008 she left her apartment building on Alberni St. heading east on the south side sidewalk, intending to get to work at the Tommy Hilfiger store on Robson St. for her shift beginning at 1:00 p.m. She approached Thurlow St. where there were traffic lights including pedestrian signal lights. Thurlow at that point is a four lane street with parking lanes on the east and west outside lanes. On the day of the incident, there was a "Sportmart" store located on the southwest corner of the intersection and a "Seven-Eleven" store on the southeast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testified that she arrived at the intersection when there was a red light on Alberni St. and a "don't walk" sign for pedestrians. The time of day was between 12:50 p.m. and 12:55 p.m. There were other pedestrians in addition to the plaintiff waiting to cross Alberni from west to east. The traffic signals changed to green and "walk" for pedestrians to cross in the crosswalk across the south side of the intersection and the plaintiff so proceeded. She testified that she was a fast walker but was not running to arrive on time for her shift at Tommy Hilfiger.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stated there were other pedestrians behind her and one man ahead of her at the crosswalk. She continued to say that before the incident, she was "approximately sure she was close to the curb", ie the curb on the east side of Thurlow outside the Seven-Eleven store and she had "made it at least 1/2 way across, close to the curb - I was close to the curb - looking ahead - concentrating on my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testified she was hit from her left hand side, it "pushed me to my right side and I fell down, I fell in front of the Seven-Eleven, fell on the street". She continued to say she fell to "both knees and both hands" and could not remember if she struck her head. She said she was not running but was walking in the crosswalk. Later in her testimony the plaintiff stated that the car "all of a sudden was there", it was a "shocking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Later in her direct evidence when shown photographs of the intersection of Thurlow St. and Alberni St., the plaintiff testified that "he was coming from here", pointing to the westbound lane on Alberni indicating the defendant had taken a left hand turn onto Thurlow. She again said "I'm certain I made it half way across the crosswalk" and then, "all of a sudden he was there" indicating the vehicle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continued and stated that she was on the ground a "few seconds, maybe one minute", when she got up she "saw the car" at the "cross line" which I understood to be that the defendant's vehicle was at or near the southernmost line of the crosswalk on the south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then testified that she got up and spoke to the driver, ie. the defendant, and asked him why he hit her, he said he didn't hit her and she then told him to "fuck off". Continuing, she stated that a woman nearby screamed at her, and told her to get the license number of the car and driver. She said she obtained business cards from three people who indicated they were witnesses. One of those persons was a young man named Mason Bennett.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 statement made and signed by the plaintiff on October 14, 2008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within a few steps of reaching the other side of the street when I was hit by a car heading west on Alberni making a left turn to head south on Thurlow St. The impact was to my left side and it threw me to the pavement beyond the crosswalk. There were other people crossing behind me and others walking towards me that had already passed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Later, in cross-examination, the plaintiff stated she had "no idea where he came from" and "I didn't see him, only after he hit" which seem to contradict her earlier statement that the defendant had been turning left off of Alberni 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Also in cross-examination, the plaintiff stated that the defendant's vehicle "struck me in my left leg side", she felt pain in her hip, then she "cannot recall where it hit" but she "felt pain in her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vehicle owned and driven by the defendant and which the plaintiff alleges struck her in the intersection was a Porsche 911 Carrera S which is, relative to most vehicles, very low and that the area at the front of the car which protrudes the most where a bumper would be is 16 to 19 inches from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did not submit in evidence photographs of any bruises or injuries she may have suffered in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she "just wanted to go to work" and was concerned regarding being late for work, the plaintiff soon left the scene. She testified the defendant asked her to share information on the business cards, he took the cards and wrote down information from the cards and then gave them back and asked her if she wanted a ride to the hospital which she declined. She put the cards in her purse and went to work. Later on the day of the incident the plaintiff said she took out the business cards and put the same on her kitchen counter at home. She testified she has never seen the cards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also testified that approximately a year after the incident she posted on Craig's List to inquire regarding any possible witnesses to the accident but did not received any responses. She did not produce a copy of the posting on Craig's List. As well, the plaintiff testified that she had placed posters in the vicinity of the accident seeking witnesses to come forward, however, that effort was also not successful. The plaintiff did not produce copies of the notices or photos of the notices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the only witness to testify in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testified that immediately before the incident, he had travelled westbound on Alberni St. and came to a red light at Thurlow St. where he was intending to turn left. He waited for a green light and proceeded and waited to turn as there were pedestrians in the southern most crosswalk. Once the crosswalk was cleared of pedestrians, he turned into the second lane from the east on Thurlow St. which was the southbound travelling lane east of the centre line next to the east side parking lane. During his turn he noticed the large digital speedometer on his dashboard go from zero to "1", after the turn he cleared the crosswalk and at about "20 to 30" feet beyond the crosswalk, as he was stopping, he noticed a lady running towards his car and continued to testify: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Thurlow, I was just stopping when I observed a lady running towards my car. It was like on an angled path . . angled as if her direction was in a south-easterly direction . .I was moving when I first saw her, she was still a ways away, I stopped . . . I remember being surprised, she was looking ahead, I stopped and then she fell down on the street in front of my car towards the passenger side. . . . I was stopped at that 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fell on I assume her knees, not any further . . . she fell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also testified that the plaintiff did not contact his vehicle before she fell, he did not feel any contact before she fell but after she fell: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 on her knees I heard the sound of her hand hit my bumper - I had shut the car off. I knew it was the bumper because the hood is aluminum, the engine is in the back and the front of the car is hollow, if you put a hand [on that area] the sound is plastic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added that when he heard the sound of the plaintiff's hand 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front of his vehicle he was in the process of getting out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conversation followed between them, the defendant testified he offered to call for an ambulance, "she said you hit me" which he denied and soon the discussion degenerated on the as the plaintiff was swearing at the defendant. The defendant offered his identification materials, saw the plaintiff gather some business cards from apparent witnesses which she eventually, according to the defendant, put in her bra. He did get a business card from Mason Bennett and later reported the incident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Later, in cross-examination, the defendant testified that prior to the incident, traffic was building southbound on Thurlow back from Robson, close to the lane and as a result there was no reason to speed up on Thurlow before the incident. He was cross-examined at length challenging why he would be driving only at 1 km/h, the inference being that he must have been travelling more quickly, however, the defendant maintained his evidence regarding his speed in that he had been watching the large digital speedometer on his dashboard. Although the defendant could have been travelling briefly at a pace greater than 1 km/h, if so, it was only for a very brief period of time and even plaintiff's counsel acknowledged the defendant would not have been travelling near 10 km/h and so his speed was definitely very 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Tony Cringle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Cringle was one of two independent witnesses called by the defence. Mr. Cringle had many years of experience as an independent adjuster for various insurers, law firms and others. Mr. Cringle testified to having interviewed two potential witnesses to this case and recalled that one of the potential witnesses had been Mason Bennett, who did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Cringle testified that he had been hired in October of 2008 by a law firm which needed witnesses interviewed regarding an accident that had occurred at the intersection of Thurlow St. and Alberni St.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Cringle explained that one interview had been conducted in his vehicle parked near the sight of the incident and another was conducted in a Starbuck's coffee shop, the latter interview being that of Mason Bennett.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files maintained by Mr. Cringle had been destroyed after three years as was policy of his employer at the time and so were not available for trial. He also testified that he had delivered statements of the interviews of the two witnesses to the law firm that had hired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Cringle was not able to identify who the second person was that he had interviewed in connection with an alleged accident at the corner of Alberni St. and Thurlow 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Mason Bennett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Bennett was an independent witness called for the defence who was standing at the south east corner of Thurlow St. and Alberni St. at the time of the incident. He was accompanied by his then girlfriend and was facing north, on his way back to his office. Mr. Bennett was not facing the location of the incident and did not see what had happened as between the plaintiff and the defendant's vehicle on Thurlow 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October 9, 2008 Mr. Bennett gave a telephone statement to ICBC, a copy of which was transcribed and filed as Exhibit 4 at trial. The statement read as follows, keeping in mind that Mr. Bennett did not see what had occurred, but assumed the plaintiff had been struck by the defendant's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didn't see it happen. I was on the south east side of the block. I was walking down Thurlow. The car was turning left. He was turning from Alberni onto Thurlow. I saw his car before he turned. He was starting to turn when people were walking, when there was a break in the pedestrians, he started to turn. It was out of my sightline when he hit her. Where she was afterwards, she was quite a bit in front of the pedestrian lines. He wouldn't have been going fast at the same time, I didn't see it happen, I saw the before and after. </w:t>
      </w:r>
      <w:r>
        <w:rPr>
          <w:rFonts w:ascii="arial" w:eastAsia="arial" w:hAnsi="arial" w:cs="arial"/>
          <w:color w:val="000000"/>
          <w:sz w:val="20"/>
          <w:u w:val="single"/>
          <w:lang w:val="en-US" w:eastAsia="en-US" w:bidi="ar-SA"/>
        </w:rPr>
        <w:t>I would guess that she was 10-15 feet from the walkway lines after the accident. I would guess that she was cutting across the street to cut north. The light was definitely red when she was running across.</w:t>
      </w:r>
      <w:r>
        <w:rPr>
          <w:rFonts w:ascii="arial" w:eastAsia="arial" w:hAnsi="arial" w:cs="arial"/>
          <w:color w:val="000000"/>
          <w:sz w:val="20"/>
          <w:lang w:val="en-US" w:eastAsia="en-US" w:bidi="ar-SA"/>
        </w:rPr>
        <w:t xml:space="preserve"> I didn't see the driver being reckless. I have no idea who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driver or pedestrian is. . .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Bennett testified at trial that the crosswalk was clear when the defendant made his turn and passed through the crosswalk. He also testified that the defendant was travelling slowly as he made his turn and although he did not see any impact, he did see the plaintiff jump up quickly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Bennett was a very credible witness. The most significant evidence of Mr. Bennett was that the plaintiff was 10-15 feet from the crosswalk or, as per his statement, "quite a bit in front of the pedestrian lines" after the incident and that the plaintiff had been running when the light was red, which would have been the lights to not proceed on Alberni 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Relevant Legislation /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relevant portions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179(2) A pedestrian must not leave a curb or other place of safety and walk or run into the path of a vehicle that is so close it is impracticable for the driver to yield the right of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180 When a pedestrian is crossing a highway at a point not in a crosswalk, the pedestrian must yield the right of way to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City of Vancouver By-law No. 2849, a By-Law to Regulate Traffic and the Use of Streets in the City of Vancouver states in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627"/>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Crossing at Other than Crosswalks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pedestrian crossing a roadway at any point other than within a marked crosswalk or within an unmarked crosswalk at an intersection, shall give the right-of-way to all vehicles upon the roadway.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pedestrian shall jaywalk on a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Hmaied (Litigation Guardian of) v. Wilkinson,</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Madam Justice Dickson, commencing at para. 21 summarized significant factors including the legislation referred to above for consideration in motor vehicle liability cases involving vehicles and pedestrians: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provisions do not amount to an exclusive code relating to the rights of way between pedestrians and vehicle. Rather, they supplement the common law duty of all highway users to exercise what constitutes, in all of the circumstances, due care . . . . . .</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an accident occurs on a highway, the starting point for analysis is a determination of who had the right of way. Generally speaking, the party with the right of way is entitled to assume that other highway users will obey the rules of the road: </w:t>
      </w:r>
      <w:r>
        <w:rPr>
          <w:rFonts w:ascii="arial" w:eastAsia="arial" w:hAnsi="arial" w:cs="arial"/>
          <w:i/>
          <w:color w:val="000000"/>
          <w:sz w:val="20"/>
          <w:lang w:val="en-US" w:eastAsia="en-US" w:bidi="ar-SA"/>
        </w:rPr>
        <w:t>Enright v. Marwick,</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2004 BCCA 259</w:t>
        </w:r>
      </w:hyperlink>
      <w:r>
        <w:rPr>
          <w:rFonts w:ascii="arial" w:eastAsia="arial" w:hAnsi="arial" w:cs="arial"/>
          <w:color w:val="000000"/>
          <w:sz w:val="20"/>
          <w:lang w:val="en-US" w:eastAsia="en-US" w:bidi="ar-SA"/>
        </w:rPr>
        <w:t xml:space="preserve"> (B.C.C.A.) at para. 22. In particular, drivers are ordinarily entitled to expect that adult pedestrians will not jump out directly in front of them as they are proceeding lawfully along their way: </w:t>
      </w:r>
      <w:r>
        <w:rPr>
          <w:rFonts w:ascii="arial" w:eastAsia="arial" w:hAnsi="arial" w:cs="arial"/>
          <w:i/>
          <w:color w:val="000000"/>
          <w:sz w:val="20"/>
          <w:lang w:val="en-US" w:eastAsia="en-US" w:bidi="ar-SA"/>
        </w:rPr>
        <w:t>Enright, supra</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Ibaraki v. Bamford,</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[1996] B.C.J. No. 724</w:t>
        </w:r>
      </w:hyperlink>
      <w:r>
        <w:rPr>
          <w:rFonts w:ascii="arial" w:eastAsia="arial" w:hAnsi="arial" w:cs="arial"/>
          <w:color w:val="000000"/>
          <w:sz w:val="20"/>
          <w:lang w:val="en-US" w:eastAsia="en-US" w:bidi="ar-SA"/>
        </w:rPr>
        <w:t xml:space="preserve"> (B.C.S.C.) at para. 12-13.</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Regardless of who has the right of way, however, there is a duty upon drivers and pedestrians alike to keep a proper lookout and take reasonable precautions in response to apparent potential hazards: </w:t>
      </w:r>
      <w:r>
        <w:rPr>
          <w:rFonts w:ascii="arial" w:eastAsia="arial" w:hAnsi="arial" w:cs="arial"/>
          <w:i/>
          <w:color w:val="000000"/>
          <w:sz w:val="20"/>
          <w:lang w:val="en-US" w:eastAsia="en-US" w:bidi="ar-SA"/>
        </w:rPr>
        <w:t>Nelson (Guardian ad litem of) v. Shinske</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xml:space="preserve"> . . . . . . . If it is reasonably foreseeable or apparent that a pedestrian will disregard the law and thus create a hazardous situation, a driver is obliged to take all reasonable steps to avoid a collision. In such circumstances, if the driver has a sufficient opportunity to avoid the collision, but does not take appropriate evasive action, the driver will be found negligent: </w:t>
      </w:r>
      <w:r>
        <w:rPr>
          <w:rFonts w:ascii="arial" w:eastAsia="arial" w:hAnsi="arial" w:cs="arial"/>
          <w:i/>
          <w:color w:val="000000"/>
          <w:sz w:val="20"/>
          <w:lang w:val="en-US" w:eastAsia="en-US" w:bidi="ar-SA"/>
        </w:rPr>
        <w:t xml:space="preserve">Karran, </w:t>
      </w:r>
      <w:hyperlink r:id="rId953" w:history="1">
        <w:r>
          <w:rPr>
            <w:rFonts w:ascii="arial" w:eastAsia="arial" w:hAnsi="arial" w:cs="arial"/>
            <w:i/>
            <w:color w:val="0077CC"/>
            <w:sz w:val="20"/>
            <w:u w:val="single"/>
            <w:shd w:val="clear" w:color="auto" w:fill="FFFFFF"/>
            <w:lang w:val="en-US" w:eastAsia="en-US" w:bidi="ar-SA"/>
          </w:rPr>
          <w:t>[2009] B.C.J. No. 1625</w:t>
        </w:r>
      </w:hyperlink>
      <w:r>
        <w:rPr>
          <w:rFonts w:ascii="arial" w:eastAsia="arial" w:hAnsi="arial" w:cs="arial"/>
          <w:i/>
          <w:color w:val="000000"/>
          <w:sz w:val="20"/>
          <w:lang w:val="en-US" w:eastAsia="en-US" w:bidi="ar-SA"/>
        </w:rPr>
        <w:t xml:space="preserve"> supra; Beauchamp v. Shand,</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2004 BCSC 272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Burke v. Leung</w:t>
      </w:r>
      <w:r>
        <w:rPr>
          <w:rFonts w:ascii="arial" w:eastAsia="arial" w:hAnsi="arial" w:cs="arial"/>
          <w:color w:val="000000"/>
          <w:sz w:val="20"/>
          <w:lang w:val="en-US" w:eastAsia="en-US" w:bidi="ar-SA"/>
        </w:rPr>
        <w:t xml:space="preserve">, </w:t>
      </w:r>
      <w:hyperlink r:id="rId1081" w:history="1">
        <w:r>
          <w:rPr>
            <w:rFonts w:ascii="arial" w:eastAsia="arial" w:hAnsi="arial" w:cs="arial"/>
            <w:i/>
            <w:color w:val="0077CC"/>
            <w:sz w:val="20"/>
            <w:u w:val="single"/>
            <w:shd w:val="clear" w:color="auto" w:fill="FFFFFF"/>
            <w:lang w:val="en-US" w:eastAsia="en-US" w:bidi="ar-SA"/>
          </w:rPr>
          <w:t>[1996] B.C.J. No. 938</w:t>
        </w:r>
      </w:hyperlink>
      <w:r>
        <w:rPr>
          <w:rFonts w:ascii="arial" w:eastAsia="arial" w:hAnsi="arial" w:cs="arial"/>
          <w:color w:val="000000"/>
          <w:sz w:val="20"/>
          <w:lang w:val="en-US" w:eastAsia="en-US" w:bidi="ar-SA"/>
        </w:rPr>
        <w:t>, the court found the defendant driver not negligent after he had struck the plaintiff who had run quickly into the street without regard to the traffic on the street while the driver was proceeding through the intersection "at a safe rate of speed of approximately 15 to 30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Clifford v. Slater,</w:t>
      </w:r>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2007 BCSC 177</w:t>
        </w:r>
      </w:hyperlink>
      <w:r>
        <w:rPr>
          <w:rFonts w:ascii="arial" w:eastAsia="arial" w:hAnsi="arial" w:cs="arial"/>
          <w:color w:val="000000"/>
          <w:sz w:val="20"/>
          <w:lang w:val="en-US" w:eastAsia="en-US" w:bidi="ar-SA"/>
        </w:rPr>
        <w:t>, Mr. Justice Vickers dismissed an action where the plaintiff had stepped onto the road from behind a large telephone pole and into the path of the defendant's vehicle before the defendant was able to avoid striking the plaintiff. The plaintiff had not looked in the direction from which the defendant was driving. At para. 23, Justice Vickers stated: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there is no crosswalk. The defendant driver was aware he had just passed a crosswalk which would have provided a safe crossing for the plaintiff. If the plaintiff was paying proper attention, she would have been aware of that crosswalk. In the circumstances, the plaintiff had the duty to yield the right of way. Rather than do so, she stepped out onto Dewdney at a point in time when the defendant's vehicle was too close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factual descriptions of the incident by each of the parties are completely at odds. The plaintiff testifies that she was struck and knocked down by the plaintiff's vehicle while she was walking in the crosswalk on the south side of the intersection. The defendant denies that his vehicle ever struck the defendant and that he did not encounter her until he was through the intersection, had passed over the crosswalk and had travelled another 20 to 30 feet before the plaintiff tripped and fell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such cases, the task before the court is to not only assess the credibility of the witnesses, but to look for evidence other than the testimony of the parties which supports versions of the facts which have been put before the court and the trail of logic supported by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case, the independent evidence was that of Mason Bennett, who had left a business card with each of the parties following the incident. Mr. Bennett was standing at or near the curb on the south-east corner of the intersection facing north, planning to continue on his way back to his office once the traffic light on for Thurlow St. pedestrian traffic permitted him to walk. He was facing the defendant's vehicle as the defendant entered the intersection and saw it start to turn to left onto Thurlow St. "when there was a break in the pedestrians" who would have been crossing Thurlow St.. He testified the defendant's vehicle was "travelling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Mr. Bennett did not see what had occurred after the defendant's vehicle passed over the crosswalk, he testified that when he saw the plaintiff get up she was "10-15 feet from the crosswalk" and at the front of the defendant's vehicle. In his statement, although he did not estimate the distance between the plaintiff and the crosswalk, he stated she was "quite a bit in front of the pedestrian lines". If the plaintiff had been struck in the crosswalk, especially if she was "close to the curb" or "a few steps from the curb" as she testified, it would have been very likely that Mr. Bennett would have seen the impact as he would have been standing a matter of a few feet away, waiting at the curb for the light to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Based upon all of the evidence, I find that immediately prior to "the incident", the plaintiff was at least 10 feet south of the southern-most crosswalk line, most likely further than 10 feet. She was not in the crosswalk at the time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only way that the plaintiff could have ended up on her knees south of the crosswalk would have been if she had been impacted by the defendant's vehicle and thrown a distance of several feet by the impact, however, the plaintiff testified "he pushed me", not that she was impacted, landing on the road. I also find, based upon the statement made by Mr. Bennett that the pedestrian signal for pedestrians crossing Thurlow St. would have been "don't walk" by the time the plaintiff commenced to jaywalk on Thurlow 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Not being in the crosswalk, the defendant had the right-of-way, but still had a responsibility to keep a proper lookout and take reasonable precautions to avoid the unexpected, such as a pedestrian attempting to cross a street outside of a crosswalk. In a busy downtown street over the luncheon period, the streets and sidewalks are very crowded and it is not uncommon that pedestrians will, unlawfully, attempt to "jaywalk" at their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this case, the defendant took abundant measures to avoid the unexpected. He firstly waited until the crosswalk had cleared of pedestrians and proceeded very slowly through the crosswalk and beyond. As between the parties, the defendant had the right of way as a result of the plaintiff attempting to cross Thurlow St. outside of the crosswalk. Upon realizing the plaintiff was running in a south easterly direction towards the front of the defendant's vehicle, the defendant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also find on the whole of the evidence that there was no impact between the plaintiff and the defendant's vehicle and accept the evidence of the defendant that the plaintiff fell in front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also add that the defence has raised the issue of spoliation, ie. that the defendant had either destroyed, lost or concealed evidence directly related to the claim she has made against the defendant. This issue deals with the plaintiff's evidence that she obtained business cards from three potential witnesses at the scene of the incident of October 8, 2008, none of whom were called as witnesses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Previously in these reasons, I referred to Mr. Cringle as having conducted two interviews of persons that had been identified by a plaintiff's lawyer dealing with an accident or incident at the same location and that Mr. Cringle had provided statements of the evidence of those persons, one of whom was Mr. Bennett who testified for the defence. The other person remains unidentified.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issue of spoliation raised by the defence was discussed in the Supreme Court of Canada in </w:t>
      </w:r>
      <w:r>
        <w:rPr>
          <w:rFonts w:ascii="arial" w:eastAsia="arial" w:hAnsi="arial" w:cs="arial"/>
          <w:i/>
          <w:color w:val="000000"/>
          <w:sz w:val="20"/>
          <w:lang w:val="en-US" w:eastAsia="en-US" w:bidi="ar-SA"/>
        </w:rPr>
        <w:t>St. Louis v. The Queen</w:t>
      </w:r>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1896, 25 SCR 649</w:t>
        </w:r>
      </w:hyperlink>
      <w:r>
        <w:rPr>
          <w:rFonts w:ascii="arial" w:eastAsia="arial" w:hAnsi="arial" w:cs="arial"/>
          <w:color w:val="000000"/>
          <w:sz w:val="20"/>
          <w:lang w:val="en-US" w:eastAsia="en-US" w:bidi="ar-SA"/>
        </w:rPr>
        <w:t xml:space="preserve"> and stands for the proposition that spoliation raises a rebuttable evidentiary presumption that misplaced or destroyed evidence would have been unfavourable evidence to the spoliator's case, ie. in this case, the plaintiff. The defence also referred the court to decisions of British Columbia courts on the issue of spoliation which have accepted the principle of a rebuttable presumption but conflict as to whether the presumption is triggered automatically if evidence is lost or destroyed or whether the other party must establish additional elements or evidence supporting the loss or destruction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this case, it is uncontroverted that the defendant did obtain a business card at the scene of the accident from Mr. Bennett, that Mr. Bennett was interviewed in connection with this incident by Mr. Cringle, who believed he had been retained by plaintiff's counsel regarding an accident at the intersection in question in this case. Mr. Bennett was served with a subpoena by the defence and his evidence relating to the incident has been accepted by me and was contrary to the interests of the plaintiff. As a result, it is not necessary for me to analyze the facts and law relating to spoliation since one of the witnesses whose evidence the plaintiff may have attempted to exclude has in fact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This action is dismissed with costs to the defendant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JENKINS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3"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84"/>
          <w:headerReference w:type="default" r:id="rId1085"/>
          <w:footerReference w:type="even" r:id="rId1086"/>
          <w:footerReference w:type="default" r:id="rId1087"/>
          <w:headerReference w:type="first" r:id="rId1088"/>
          <w:footerReference w:type="first" r:id="rId10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90" w:history="1">
        <w:r>
          <w:rPr>
            <w:rFonts w:ascii="arial" w:eastAsia="arial" w:hAnsi="arial" w:cs="arial"/>
            <w:b/>
            <w:bCs/>
            <w:i/>
            <w:color w:val="0077CC"/>
            <w:kern w:val="32"/>
            <w:sz w:val="28"/>
            <w:szCs w:val="32"/>
            <w:u w:val="single"/>
            <w:shd w:val="clear" w:color="auto" w:fill="FFFFFF"/>
            <w:lang w:val="en-US" w:eastAsia="en-US" w:bidi="ar-SA"/>
          </w:rPr>
          <w:t>Aymont v. Capp, [2010] B.C.J. No. 1441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14-18, 21-24, 2008; December 9-11, 2009;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December 29, 2009 and March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S69754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1441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1011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191 A.C.W.S. (3d) 1345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1940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Nancy Lea Aymont, Plaintiff, and Patrick Gregory Capp,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4"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1" w:name="Keywords_45"/>
      <w:bookmarkEnd w:id="32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Evidence and proof — Action by plaintiff for damages for injuries sustained in a May 14, 2004 motor vehicle accident dismissed — Based on the evidence the plaintiff was 100 per cent liable for the accident — She had exited the gas station in question and entered the southbound lane of the roadway without stopping or checking for oncoming traffic — The plaintiff failed to show the defendant, driving his truck in the southbound lane, had a sufficient opportunity to avoid the accident of which a reasonably careful and skilful driver would have availed himself.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2" w:name="Case Summary_43"/>
            <w:bookmarkEnd w:id="3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for injuries sustained in a May 14, 2004 motor vehicle accident. As the parties had agreed to sever the trial, only liability was currently at issue. The defendant was driving his pickup truck southbound on the road in question, and he collided with the plaintiff's car, which was exiting a gas station on his right-hand side. The defendant claimed the plaintiff's vehicle came out onto the road without stopping and checking for oncoming traffic. The plaintiff claimed she had stopped her vehicle well behind the "fog line" and entering the roadway. She claimed that only a bit of her vehicle was in the driving lane, and that if the defendant had been observing what was in front of him, he could have avoided the collision.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3" w:name="Holdings of Court_34"/>
            <w:bookmarkEnd w:id="32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100 per cent liable for the accident. The opinion of the plaintiff's expert was convoluted and impenetrable, and the expert's evidence was rejected. The expert's opinion was not supported by the evidence of any witness at the trial. The defendant's expert's opinion provided a more reasonable description of what occurred. The defendant's expert's evidence was straightforward and it was not undermined in cross-examination. Based on all the evidence, the plaintiff was not stopped well before the fog line as she asserted. She was moving from the exit onto the roadway at less than 10 km/hr. She was not looking in the direction of oncoming traffic, but was engaged in a conversation with her son Joel who was sitting in the passenger seat. The plaintiff failed to yield the right of way to the defendant, the dominant driver. There was not enough time for the defendant to avoid a collision. He had slightly over five seconds to: perceive the plaintiff was moving and was not goin g to stop; react; and then attempt to bring his vehicle, travelling at 50 km/hr to a stop. The plaintiff failed to show that the defendant had a sufficient opportunity to avoid the accident of which a reasonably careful and skilful driver would have availed himself.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4" w:name="Legislation Cited_28"/>
      <w:bookmarkEnd w:id="3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5"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1091" w:history="1">
        <w:r>
          <w:rPr>
            <w:rFonts w:ascii="arial" w:eastAsia="arial" w:hAnsi="arial" w:cs="arial"/>
            <w:i/>
            <w:color w:val="0077CC"/>
            <w:sz w:val="20"/>
            <w:u w:val="single"/>
            <w:shd w:val="clear" w:color="auto" w:fill="FFFFFF"/>
            <w:lang w:val="en-US" w:eastAsia="en-US" w:bidi="ar-SA"/>
          </w:rPr>
          <w:t>RSBC 1996, CHAPTER 318, s. 176</w:t>
        </w:r>
      </w:hyperlink>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5" w:name="Counsel_48"/>
      <w:bookmarkEnd w:id="3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6"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J.R.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J.M. Doricic.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6" w:name="Judgment_47"/>
      <w:bookmarkEnd w:id="326"/>
      <w:r>
        <w:pict>
          <v:line id="_x0000_s1257"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7" w:name="J.M. GROPPER J._0"/>
            <w:bookmarkEnd w:id="327"/>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Aymont, claims that the defendant is liable for the motor vehicle accident that occurred on Friday, May 14 2004, between 3:30 and 4:00 p.m. on Bartley Road in Kelowna. The parties have agreed to sever the trial; these reasons address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Ms. Aymont was driving a red 1997 Mazda Protégé. Mr. Capp was driving a white 1992 Dodge pickup truck. The accident occurred on Bartley Road, south of Ross Road at the driveway to the Petro-Canada service station (the "exit"). The exit provides access to Bartley Road from the west side. The exit is 14.2 metres wide. Bartley Road has one lane in each direction at the exit. There is no road opposite the exit; vehicles must turn to the left (northbound) or to the right (southbound).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Capp was southbound on Bartley Road in his pickup. Ms. Aymont was exiting the Petro-Canada station. Her son Joel was a passenger in the front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Aymont says she had stopped at the Petro-Canada to buy her son a drink. As she was heading towards the exit from the Petro-Canada station toward Bartley Road, her son said to her, in reference to his drink, "look mom - it is growing!" Ms. Aymont said "just a sec" and stopped at the right side of the exit. She says that she looked to the left and the right and that there was no one behind her. She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ascertained that I was safe to stay there. I put my car in neutral. My feet were on the clutch and the brake and my hands were both on the steering wheel. I turned to look at the slushie [the drink] and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Aymont says that she does not remember the impact at all. She describes that she stopped on the right side of the exit.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pulled up there and I stopped well before the fog line. I intended to turn left, but I stopped and wanted to stay there. I turned towards my son in the passenger seat and that was the last thing I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Aymont says that there was nothing obstructing her view to the left. Her feet were on the clutch and the brake and therefore she could not roll forward. She says that she stopped her car in the exit but it was not out onto the travel portion of Bartley. Ms. Aymont describes that she has used that exit many times before. She would always stop "well back" and check before she proceeded onto Bartley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her later testimony, Ms. Aymont says that she was two feet before the fog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Aymont explained that the "fog line" is the white line that denotes the shoulder of the road and either side of the exit. She did not know the term at the time of the accident, but learned it later when it was referred to in the experts' reports. It is not painted across the exit. Ms. Aymont's estimate of being two feet behind the fog line is based on where she would consider the fog line to be if it was actually painted across the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day following the accident, May 15, 2004, Ms. Aymont went for treatment to her chiropractor's office, Dr. Susan Holroyd. She says that she felt dizzy and nauseous, disoriented and in a great deal of pain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Holroyd produced her clinical records, which included a "motor vehicle accident history" form. Ms. Aymont says that she does not recall the form or filling it out. She cannot recall if it is her handwriting on the form or not. The handwritten notations (in italics) on the form state, in relation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State How Accident Happened in your own words.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had stopped at the entrance of gas st. looked both ways saw no one and began onto road - was hit by a truck travelling very fast.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you stopped Yes/No?</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No [circled]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Estimate your speed?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10 km/h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Brakes on Yes/No?</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No [circled]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Holroyd's evidence is that she gave the form to Ms. Aymont who filled it out. She says that the handwriting is Ms. Aymont's; or if it contains any of Dr. Holroyd's handwriting, it was based upon information provided to her by Ms. Aymont during her examination. Some of the information on the form was provided by Ms. Aymont on Saturday, May 15, 2004 and some was provided in her next visit on May 17,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Aymont denies that the handwritten notations on the form are correct; she says she did not remember much about the accident. She agrees that most of the other information on the form is accurate, although she notes some inaccuracies. The handwriting refers to the location of the accident as Bartlet, when it was Bartley. It refers to an injury to the right eye, when her injury was to the left eye. Ms. Aymont pointed out other inaccuracies.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Cst. Rudy Andreucci telephoned Ms. Aymont the day following the accident and they arranged to meet on Sunday, May 16, 2004 at the RCMP Detachment in Westbank. Cst. Andreucci testified that the purpose of the meeting was to give Ms. Aymont a traffic violation ticket. Cst. Andreucci served a violation ticket on Ms. Aymont for a breach of s. 176(2)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emerging vehicle: failure to yield. He noted on the reverse side of the ticket what Ms. Aymont said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04-5-16</w:t>
      </w:r>
      <w:r>
        <w:rPr>
          <w:rFonts w:ascii="arial" w:eastAsia="arial" w:hAnsi="arial" w:cs="arial"/>
          <w:color w:val="000000"/>
          <w:sz w:val="20"/>
          <w:lang w:val="en-US" w:eastAsia="en-US" w:bidi="ar-SA"/>
        </w:rPr>
        <w:t xml:space="preserve"> V.T issued at office dri Nancy Aymont advised she just didn't see him. She knows better-than go on without being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Aymont says that she thought her discussion with Cst. Andreucci was to talk about the accident. She says that Cst. Andreucci said, "I just need to give you a ticket". Ms. Aymont describes herself as shocked. She says Cst. Andreucci continued: "I am not a traffic expert but [Mr. Capp] was going in excess of 60. Come to the back get a ticket ..." Ms. Aymont says that if she had done anything wrong she would have come forward and admitted it. She was very upset and was in tears. She says Cst. Andreucci said: "I know that you are upset, it is not an admission of guilt, I have to give a ticket to someone". Ms. Aymont remembers saying that she knew better than to go out without being sure, but she does not recall saying "I just didn't see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May 21, 2004, Ms. Aymont met with Mr. Bonner of the Insurance Corporation of British Columbia ("ICBC") at his office. Mr. Bonner is a bodily injury adjuster. He was the adjuster assigned to Ms. Aymont's file. Another adjuster was assigned to Mr. Capp's file. Mr. Bonner said that he asked questions and typed the answers into the ICBC note taking system on his computer. He prepared a sketch based on the information provided to him by Ms. Aymont. In the statement Mr. Bonner recorded Ms. Aymont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looked to my right first, and then the left and Bartley Road was vacant, and I thought to myself how often does that happen on a Friday afternoon. After looking right, then left, I looked right again, and that is the last thing I remember ... If the other driver wasn't going so fast he probably could have stopped. My husband drove the road the next day. At the 50 km/h speed limit, and stopped without skidding before the driveway ... I was knocked out and can't say how far I pulled forward from the exit onto Bartley Road before being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Aymont also provided a rough sketch showing where the vehicles were as she approached the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Aymont does not recall saying "I can't say how far I pulled out from the exit onto Bartley before being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Bonner produced a hard copy of the statement for Ms. Aymont to review. She thought that the second page statement was "all mixed up." Ms. Aymont says she made certain corrections to the statement in handwriting. The last sentence of the statement is "I have nothing to add to this statement, which is true to the best of my memory." Ms. Aymont signed the statement. She says that Mr. Bonner said that the statement did not need to be exact and "we just needed to get something down" and that it would not be used in court. Mr. Bonner drew the diagram. Ms. Aymont says she only wrote the word "visibility?" on the sketch and signed it. She says that she left the adjuster's office feeling as if the statement did not say what she wanted to say. She was tired and had a headache. Ms. Aymont did not contact Mr. Bonner or anyone else at ICBC to revise her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Bonner says that the statement reflects what Ms. Aymont told him. He says that he did not tell her that the statement was not important and that it would not be used in court. He says, "I would have impressed upon her the importance of her statement in representing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Joel Aymont was a passenger in his mother's vehicle. He was 14 years old at the time. Joel Aymont could not say what Ms. Aymont was doing or where she was looking in the moments before the impact. He stated in cross-examination that despite his nose and collarbone being broken and thinking that his mother might have been seriously injured in the accident, the one thing he recalls most vividly is that his mother's vehicle was stopped, with her left tires at the border between the exit and the paved shoulder of Bartley Road, slightly angled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May 28, 2008, Joel Aymont was examined by counsel for the defendant, under Rule 28. At that time, he could not recall any pertinent details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Capp states that he was driving southbound on Bartley. He came around a curve before the intersection with Ross Road and observed "a little car coming out of the lane from Petro-Can". The "little car" was Ms. Aymont's red Mazda Protégé. Mr. Capp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lane is the exit driveway coming out of Petro-Can. It was ahead of me and to my right. The little car was pointing straight ahead out of the exit. I could not tell if it was going left or right. It was 90 degrees to the highway. The little car was moving when I first noticed it ... I looked at [the driver's] face and realized she was not going to stop. I hit the brakes. The little car was on the paved section of the road. There is no gravel shoulder at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Capp says that when he first noticed the little car his vehicle was in his lane of travel. He was a foot or two away from the double line that was to his left. He says that his truck was right in the middle of his lane in between the double line and the fog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Capp says that he expected the driver of the "little car" to stop and look. He says, "the driver's head was looking straight ahead-preoccupied or something different I don't know". Mr. Capp states that when he realized that the little car was not going to stop, he hit the brakes as hard as he could and tried to move over to the left to give the little car more of a place to stop. He says that he did not pump the brakes. He kept the brake pedal down as far as he could. He described his vehicle as going into a skid and while he cannot say if his vehicle slowed down, it ended up straddling the yellow line of the highway. His left tires were across the double line in the middle of the road when the truck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Capp says he was unable to take evasive action. Ms. Aymont's vehicle was coming into his lane. He says he tried to swerve to the left but the brakes were on and that the truck did not turn "too good when the brakes are on full". He says that he could not drive around Ms. Aymont's vehicle. He was in full braking and went into the oncoming lane to try to give her more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Capp says that the Aymont vehicle was moving when his vehicle and the Aymont vehicle collided. Mr. Capp describes the point of impact as caving in his right front fender. It did not break his headlights. In Mr. Capp's words, "it creamed out the whole front of the right hand of my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Capp says that his vehicle came to a stop. He got out. Ms. Aymont's vehicle was proceeding down the southbound lane and he ran after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Capp says that his vehicle remained where the collision took place until a tow truck came and removed it. The tow truck came after the police were finished doing measurements of the scene and taking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cross-examination, Mr. Capp denied that he had any problems with his eyes on May 14, 2004. He admitted that he had an eye injury in 1984. He had a sliver of metal in his eye due to a work accident. He had surgery. His eye was quite photosensitive after the surgery, and is still sunlight sensitive. He wears sunglasses on sunny days. He did not wear prescription glasses at the time of the accident. He could not recall whether he was wearing sunglasses when the accident happened. If he was, they were photo gray special sunglasses to accommodate his photosensitivity.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Capp denied being distracted or having his view impaired by anything, including his drinking cup that he kept on the dash of his truck, or his rear view mirror. He says that his vehicle was in two-wheel drive and was powered by the rear wheels. He made a mistake in the report he prepared for the police by referring to his truck being in four-wheel drive. Mr. Capp says that he does not use four-wheel drive in the summertime.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Ed D'Aoust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Aymont retained Ed D'Aoust, a retired member of the RCMP. He served 24 years, the majority of which was in highway patrol and traffic law enforcement duties. He has particular expertise in skid marks, vehicle crush analysis, and calculations of speed, time and distance. He was retained by Ms. Aymont on June 9, 2005, approximately one year after the accident. He reviewed the photographs that were taken by the police at the accident scene on May 14, 2004. His task was to determine the position of the vehicles immediately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preparation for his report, Mr. D'Aoust met with Ms. Aymont and she provided her description of events. In his report dated June 15, 2007, he refers to Ms. Aymont's statement that she was stopped on the approach to Bartley Road and placed her car in neutral gear and was sitting on the grade with her foot on the brake as she was stopped on an incline. Ms. Aymont also advised him that while she was stopped and waiting, she had a conversation with her son. She told Mr. D'Aoust that as she looked to her right in the direction of her son and while she remained stopped with her foot on the brake, her vehicle was struck by the Dodge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D'Aoust attended at the accident scene on June 9, 2005 and did measurements. His opinion is based on the police photographs and the measurements that he derives from them, and from his view of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report of June 2007, he interprets the marks that are seen on the photographs taken by the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Photograph number 4 in the police package is attached to Mr. D'Aoust's report and identified as photograph number 1. This photograph plays a significant role in Mr. D'Aoust's opinion. He identified several points on the photographs; the number and descriptions are:</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is the impending mark, which he describes as a "post impact skid by the left rear tire of the Capp vehicle".</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is a tire tread that Mr. D'Aoust considers as identifying the path of travel of the right front tire of the Capp vehicle at the moment of and most initial contact.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is a short grey mark leading towards a darker black tire mark, which is perpendicular to the roadway edge and goes from near the edge of the photograph towards the darker mark. Mr. D'Aoust describes this as the "first identifiable evidence of position of the left front tire of the Aymont vehicle at the moment of impact".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Four identifies scrub marks and gouges left by the Mazda.</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Five identifies a scrub mark of the front tires of the Mazda.</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Six identifies fluid deposits on the road by the Aymont vehicle after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From these marks, Mr. D'Aoust considers that point number three shows the position of the left front tire of the Mazda which is "at or around the point where the right front tire of the Capp vehicle crossing a crack in the asphalt". The short grey mark toward a darker black tire mark at point number three is perpendicular to the roadway edge. Mr. D'Aoust considers this the first identifiable evidence of position of the left front tire of the Aymont vehicle at the moment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D'Aoust says that the penetration of the right front corner of Mr. Capp's truck continued to override the left front corner of the Mazda front bumper, which caused the left front of the Mazda vehicle to rotate clockwise and travel with the pickup truck. He says that there is a point inside the lane where, if it were painted across the exit of the Petro-Canada would be the fog line, as a point of maximum engagement. He says the Aymont vehicle continued to rotate and departed from the Capp vehicle and continued to rotate. He says that the two white scratch marks that appear in the photograph which were made within the black tire marks on the road and in the direction of the travel of the Mazda as it departs from the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D'Aoust identified point number one on the photograph of the post impact skid by the left rear of the Capp vehicle. Mr. D'Aoust considered that the mechanical antilock rear brake system of the pickup did not function as expected because of the dynamics that were created when Mr. Capp applied his brakes at the same time he attempted to steer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D'Aoust opines that the pickup penetrated the Aymont vehicle to the side because Ms. Aymont had her brakes on. Based on his conclusion the parallel marks behind the pickup truck in photograph number 1 to his report are from different axles, he says that they are a mark left by the left side rear tire and the right front tire of Mr. Capp's vehicle. The path of travel, as well as the post impact side slip marks from the pickup truck provides the basis for Mr. D'Aoust's opinion that the pre-collision position of the right hand side of Mr. Capp's vehicle was in line with the right side painted fog line, or over the fog line on the [right] shoulder at the moment of collision. He concludes that the Mazda's right front edge was positioned somewhat into the travel lane on Bartley Road at the moment of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D'Aoust considers that the marks from the Mazda on the road and the damage to it show that the Mazda was not moving at the point of impact. He says that there was no evidence that it was moving. The evidence would be cracks in the paint, which show the direction of travel. Mr. D'Aoust did not see the damage pattern on the Mazda.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D'Aoust concluded that while the right front corner of the Mazda would have been in the travelling portion on the road by approximately 1 metre, in a 3.5 metre lane, Mr. Capp's truck of 1.5 metres in width meant he would only have to move only slightly to the left to the centerline to go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D'Aoust considers that the Aymont vehicle "was, in all probability, stopped at the moment of impact" on the basis the debris field shown in the photographs behind the Mazda. He did agree, in cross examination, that the weight of the Mazda was much less than the weight of the Dodge pickup and that the imbalance of weight and speed could produce the same debris field, and that if the Mazda was moving slowly the debris field would not be sufficiently different to identify in a photograph.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subsequent report of July 8, 2008, Mr. D'Aoust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in my mind, that the impact did occur on the right side of the westbound lane, and well west of or past the crack in the roadway [as shown on the photographs of the scene] that is the lane traveled by Mr. Capp. The right front tire of the Capp vehicle was well west of (past) this crack at the initial contract with the Aymont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D'Aoust suggested in his evidence, although he did not address it in his written report, that if Mr. Capp were travelling at 50 km/hour, he would have seen Ms. Aymont's vehicle when it was 75 metres away. He was travelling 13.88 metres per second and he would have 5.43 seconds to bring his vehicle to a stop. Assuming a perception time of .5 seconds and a response time of .75 seconds, and that Ms. Aymont's vehicle was stopped, Mr. Capp could have avoided Ms. Aymont's vehicle. Mr. D'Aoust does not provide any analysis for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Craig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called Craig Brown, a mechanical engineer specializing in accident reconstruction for 20 years. His report concludes that the parallel marks in photograph 1 (as defined by Mr. D'Aoust) behind the Capp vehicle are from the front tires of the Capp vehicle. The skid marks go to a "kink" which, in Mr. Brown's view is consistent with Mr. Capp having steering hard to the left just prior to locking up his front brakes. Mr. Brown is certain that the tire marks are from the same axle as they are parallel. It is only an illusion from the photograph that suggests that they are not parallel.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Brown opines that the impact between the vehicles occurred where the skid marks from the two front tires changed direction. He notes that skidding tires cannot change direction. A sudden change in direction can only occur where an external force was applied. The truck skid marks changed direction to the left after several metres in a straight line. It was the impact between the two vehicles that caused the marks on the road to change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Brown concludes that the right front corner of the Capp pickup contacted the front of the Aymont Mazda near its left side at an angle of approximately 45 degrees from head on. As a result, the Aymont Mazda was pushed forward, spun clockwise, and then rolled south to its rest position. The front of the Capp Dodge was redirected to the left at impact. The Dodge pickup left two skid marks from its front tires prior to impact, and these skids changed directions to the east and continued to cross the centerline towards the pickup's rest position. The Dodge's skid marks started at an angle to the centerline, consistent with its steering to the left prior to skidding.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Brown opines that the area of impact was about 2.4 metres from the centerline of Barkley Road. The left front corner of the Aymont Mazda was more than 1.1 metres into the southbound lane when it was struck. The point of impact is indicated by the deviation in the skid marks, gouges from the suspension or undercarriage of the Mazda, the start of the curve tire mark from the Mazda's left front tire and the start of the fluid spray from the Mazda.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regard to the question of whether the Aymont Mazda was stopped at the point of impact, Mr. Brown did a computer analysis on a program entitled "PC Crash," from which he concluded that the Aymont Mazda was stationary or travelling very slowly around 5 to 7 km/hour. Mr. Brown also concluded, based on a very preliminary analysis that the evidence is consistent with free rolling or being in gear with the engine still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Brown states that if the Aymont Mazda was moving at 7.2 km/hour, she would be travelling at 2 metres per second. It would take one second for it to travel from one metre back of the fog line to one metre into the lane of travel. If she was stopped and then accelerated from zero at average acceleration, it would take 1.7 seconds to travel 2 metres into the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Statutory Provisions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Section 176(2)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about to enter or cross a highway from an alley, lane, driveway, building or private road must yield the right of way to traffic approaching on the highway so closely that it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Court of Appeal considered the definition of "immediate hazard" in the case of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(1963) 43 W.W.R. 405 (B.C.C.A.) where the court stated (at page 410):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propose to attempt an exhaustive definition of "immediate hazard". For the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 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case authorities refer to the driver in the dominant position as a driver having the statutory right of way and the driver in the servient position as the one who has a statutory duty to yield the right of way. In this case, Mr. Capp is the dominant driver and Ms. Aymont is the servient driver.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1092"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460-61 (S.C.C.) sets out the duties of each of the drivers: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duty of a driver having the statutory right-of-way has been discussed in many cases. In my opinion it is stated briefly and accurately in the following passage in the judgment of Aylesworth J.A., concurred in by Robertson C.J.O., in </w:t>
      </w:r>
      <w:r>
        <w:rPr>
          <w:rFonts w:ascii="arial" w:eastAsia="arial" w:hAnsi="arial" w:cs="arial"/>
          <w:i/>
          <w:color w:val="000000"/>
          <w:sz w:val="20"/>
          <w:lang w:val="en-US" w:eastAsia="en-US" w:bidi="ar-SA"/>
        </w:rPr>
        <w:t>Woodward v. Harris</w:t>
      </w:r>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[1951] O.W.N. 221</w:t>
        </w:r>
      </w:hyperlink>
      <w:r>
        <w:rPr>
          <w:rFonts w:ascii="arial" w:eastAsia="arial" w:hAnsi="arial" w:cs="arial"/>
          <w:color w:val="000000"/>
          <w:sz w:val="20"/>
          <w:lang w:val="en-US" w:eastAsia="en-US" w:bidi="ar-SA"/>
        </w:rPr>
        <w:t xml:space="preserve"> at p. 223: "Authority is not required in support of the principle that a driver entering an intersection, even although he has the right of way, is bound to act so as to avoid a collision if reasonable care on his part will prevent it. To put it another way: he ought not to exercise his right of way if the circumstances are such that the result of his so doing will be a collision which he reasonably should have foreseen and avoided."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While the judgment of the Court of Appeal in that case was set aside and a new trial ordered [ </w:t>
      </w:r>
      <w:hyperlink r:id="rId1094" w:history="1">
        <w:r>
          <w:rPr>
            <w:rFonts w:ascii="arial" w:eastAsia="arial" w:hAnsi="arial" w:cs="arial"/>
            <w:i/>
            <w:color w:val="0077CC"/>
            <w:sz w:val="20"/>
            <w:u w:val="single"/>
            <w:shd w:val="clear" w:color="auto" w:fill="FFFFFF"/>
            <w:lang w:val="en-US" w:eastAsia="en-US" w:bidi="ar-SA"/>
          </w:rPr>
          <w:t>[1952] 1 D.L.R. 82</w:t>
        </w:r>
      </w:hyperlink>
      <w:r>
        <w:rPr>
          <w:rFonts w:ascii="arial" w:eastAsia="arial" w:hAnsi="arial" w:cs="arial"/>
          <w:color w:val="000000"/>
          <w:sz w:val="20"/>
          <w:lang w:val="en-US" w:eastAsia="en-US" w:bidi="ar-SA"/>
        </w:rPr>
        <w:t>] there is nothing said in the judgments delivered in this Court to throw any doubt on the accuracy of the statement quoted.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applying this principle it is necessary to bear in mind the statement of Lord Atkinson in </w:t>
      </w:r>
      <w:r>
        <w:rPr>
          <w:rFonts w:ascii="arial" w:eastAsia="arial" w:hAnsi="arial" w:cs="arial"/>
          <w:i/>
          <w:color w:val="000000"/>
          <w:sz w:val="20"/>
          <w:lang w:val="en-US" w:eastAsia="en-US" w:bidi="ar-SA"/>
        </w:rPr>
        <w:t>Toronto R. W. Co. v. King</w:t>
      </w:r>
      <w:r>
        <w:rPr>
          <w:rFonts w:ascii="arial" w:eastAsia="arial" w:hAnsi="arial" w:cs="arial"/>
          <w:color w:val="000000"/>
          <w:sz w:val="20"/>
          <w:lang w:val="en-US" w:eastAsia="en-US" w:bidi="ar-SA"/>
        </w:rPr>
        <w:t xml:space="preserve">, </w:t>
      </w:r>
      <w:hyperlink r:id="rId1095" w:history="1">
        <w:r>
          <w:rPr>
            <w:rFonts w:ascii="arial" w:eastAsia="arial" w:hAnsi="arial" w:cs="arial"/>
            <w:i/>
            <w:color w:val="0077CC"/>
            <w:sz w:val="20"/>
            <w:u w:val="single"/>
            <w:shd w:val="clear" w:color="auto" w:fill="FFFFFF"/>
            <w:lang w:val="en-US" w:eastAsia="en-US" w:bidi="ar-SA"/>
          </w:rPr>
          <w:t>7 C.R.C. 408</w:t>
        </w:r>
      </w:hyperlink>
      <w:r>
        <w:rPr>
          <w:rFonts w:ascii="arial" w:eastAsia="arial" w:hAnsi="arial" w:cs="arial"/>
          <w:color w:val="000000"/>
          <w:sz w:val="20"/>
          <w:lang w:val="en-US" w:eastAsia="en-US" w:bidi="ar-SA"/>
        </w:rPr>
        <w:t xml:space="preserve"> at p. 417, </w:t>
      </w:r>
      <w:hyperlink r:id="rId1095"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p. 269: "Traffic in the streets would be impossible if the driver of each vehicle did not proceed more or less upon the assumption that the drivers of all the other vehicles will do what it is their duty to do, namely, observe the rules regulating the traffic of the streets."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 xml:space="preserve"> [the source of the original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position is that I ought to rely entirely on the opinion of Mr. D'Aoust in determining liability for this accident. She acknowledges that her evidence and the evidence of her son Joel, is inconsistent with the expert evidence of Mr. D'Aoust concerning the position of the Aymont Mazda just before Mr. Capp collided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respect of the statements that the plaintiff made to her chiropractor, the police officer, and the insurance adjuster, the plaintiff asserts that her memory may have been affected by injuries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asserts that Mr. D'Aoust's evidence concerning the events immediately preceding the collision and during the collision ought to be preferred over that of the evidence of Mr. Brown. Mr. D'Aoust's evidence was that the Aymont Mazda's right front corner was one metre beyond the fog line (into the travel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submits that all the damage was caused by Mr. Capp's truck. The truck was traveling just to the right of the fog line or over the fog line, but not in the middle of the southbound lane. The plaintiff asserts that if Mr. Capp was driving in the centre of the lane, the collision could have been avoided. It was only a "bit" of the right front of Ms. Aymont's vehicle that was into the driving lane. If Mr. Capp had observed what was in front of him, he would have missed Ms. Aymont's vehicle. He also had the entire northbound lane to occupy and to avoid Ms. Aymont's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submits that Mr. Capp had 75 metres to stop. The plaintiff asserts that if Mr. Capp was paying attention and maintaining a proper look out and driving defensively, carefully, and not dangerously, and not drinking from his coffee cup or fiddling with his radio, he could have avoided the collision. Mr. Capp knew that vehicles were coming out of the Petro-Canada station. The plaintiff further submits that Mr. Capp's reference to attempting to make eye contact with the driver of the "little car" was careless.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Ultimately, the plaintiff argues that she did not pull into Mr. Capp's lane. She says that she was stopped at what she considered a safe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submits that he was a dominant driver. Ms. Aymont was oblivious to his approach and pulled into Mr. Capp's lane. At the time she did that, Mr. Capp's truck posed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argues that Mr. Capp steered and braked to avoid the plaintiff's vehicle but he had an insufficient opportunity to avoid the accident, despite his being a reasonably careful and skilful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asserts that Mr. Brown's opinion should be preferred. The point of impact shown on the photographs is where there is a deviation (or kink) in the skid marks of the truck that occurred about 2.4 metres from the centre line of Bartley Road. This indicates that the Mazda's left front corner was more than 1.1 metres into the southbound lane and the right front corner of Mr. Capp's truck contacted the right front of the car near its left side at an angle of approximately 45 degrees from head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submits that the plaintiff's statements to Dr. Holroyd, Cst. Andreucci, and insurance adjuster Bonner should be treated as an admission. She did not say to any of them that she considered that she was in a safe spot or that Mr. Capp crossed the fog line and ran into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respect of the engineering evidence, the defendant submits that Mr. Brown's is the most rational evidence, particularly about the kink in the skid marks. Mr. D'Aoust has provided no explanation for what caused the kink in the skid marks, only that there was some "unknown source of energy at the point" because any change in the direction requires energy, which Mr. D'Aoust could not identify.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Both counsel assert that a resolution of the expert evidence is necessary to determine liability in this matter. The expert evidence was based on photographs which were taken at the scene which were addressed a year later in Mr. D'Aoust's case and almost four years later in Mr. Brown's report. There were no measurements taken at the scene. The opinions rely on extrapolations based on measurements of the vehicles involved and on Bartley Road and at the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are several reasons why I cannot accept Mr. D'Aoust's opinion about the dynamics of this motor vehicle accident. First, Mr. D'Aoust made certain assumptions based on statements made to him by Ms. Aymont. Most particularly, he relied on Ms. Aymont's statement to him that she had stopped in the exit and placed the car in neutral gear, and was sitting with her foot on the brake as she was stopped on an incline. Mr. D'Aoust accepted the plaintiff's description that while she was stopped and waiting, she was having a conversation with her son about his drink and that she looked to her right in the discussion with her son, she remained stopped with her foot on the brake and her vehicle was struck by Mr. Capp's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While Mr. D'Aoust purports to consider whether Ms. Aymont's vehicle was stopped or not at the moment of impact, he concludes that in all probability it was stopped. The source of this conclusion is the debris field that Mr. D'Aoust considered left by the Mazda. It appears that Mr. D'Aoust began his analysis with the conclusion that the Aymont vehicle was stopped and built a theory of reconstruction based on that fact. As the defence points out, the debris field is difficult to ascertain from the photographs and does not accommodate the disparity in weights and sizes of the two vehicles. The debris field, in my view, is insufficient to establish this significant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Second, Mr. D'Aoust has adopted the position of an advocate in this matter. He prepared several reports, each more strident than the one before. He attempts to undermine the expertise of Mr. Brown and suggests that Mr. D'Aoust's expertise is superior. I have accepted both individuals as experts in their field but cannot conclude that Mr. D'Aoust's experience, as a traffic analyst with the RCMP is superior to that of Mr. Brown, a mechanical engineer with 20 years experience in accident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Further, Mr. D'Aoust prepared the plaintiff's argument in this case. While the argument refers to Mr. D'Aoust in the third person, it is clear that he prepared the report in that it contains notes to Mr. Gordon, counsel for the plaintiff, in italics.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reply to the defendant's argument, counsel for the plaintiff provided a submission that was prepared by Mr. D'Aoust. It reiterates Mr. D'Aoust's evidence and responds with matters that were not in evidence before me. The report contains bold font for emphasis of the plaintiff's position. It is argument in the barely hidden guise of opinion. Counsel for the defendant objected to Mr. D'Aoust providing the reply submission. I agreed with the objection and directed that Mr. Gordon prepare the submissions in reply. The submission that was made on March 1, 2010, was a rewritten submission of Mr. D'Aoust's earlier submission, presenting precisely the same material, but rewritten to express it in the context of plaintiff counsel's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Thirdly, I have reviewed Mr. D'Aoust's opinion expressed in his several reports, and his submissions provided by counsel, as well as his evidence in my deliberations. I have attempted to express his opinion in my summary of his evidence. The opinion is convoluted and impenetrable.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Finally, and perhaps most importantly, Mr. D'Aoust's opinion is not supported by the evidence of any witness at the trial. Specifically, it is not consistent with the evidence of the plaintiff or Joel Aymont at trial, or with the various statements that Ms. Aymont made to her chiropractor, Cst. Andreucci or Mr. Bonner, the insurance adjuster. Significantly, it differs from Ms. Aymont's evidence at trial. She places herself in a position that is on the right side of the driveway "well back from the fog line". Mr. D'Aoust's opinion is that Ms. Aymont was on the right side of the driveway, and her left front quarter panel protruded 1 metre or 1.1 metres into Mr. Capp's southbound lane. I find that Ms. Aymont has adopted Mr. D'Aoust's opinion as her evidence concerning her location in the exit, although she has placed herself in a position that is inconsistent with Mr. D'Aoust's views. Ms. Aymont also adopted Mr. D'Aoust tendency to use "well" as an adjective to describe a unit of measure; she says that she was "well" before the fog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D'Aoust's opinion cannot be reconciled with Mr. Capp's evidence. If I am to accept Mr. D'Aoust's opinion, I must find that Mr. Capp's description of the events is wrong or untrue. For reasons that I will explain, I have no basis to reject Mr. Capp's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Brown's report provides, in my view, a more reasonable description of what occurred. Mr. Brown does not begin his analysis with a description of the plaintiff's view. He does not consider at the outset that Ms. Aymont's vehicle was stationary. He allows that it could have been stationary or moving at a very low speed. His explanation for the kink seen in the photographs behind Mr. Capp's truck is logical: it demonstrates a change of direction of Mr. Capp's truck following the impact with the Aymont vehicle. It is more likely that the tire tracks that are shown in the photograph come from the same axle, rather than different axles as Mr. D'Aoust states. His conclusion about the area of the impact is consistent with Mr. Capp's evidence. His conclusion regarding the point of impact is supportive not only by the kink in the skid marks, but gouges from the suspension or undercarriage of the Mazda, the start of the curb tire mark from the Mazda's left front tire, and the start of the fluid spray from the Mazda.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Most importantly, Mr. Brown's opinion is consistent with the evidence that Mr. Capp provided, and is consistent with the statements that Ms. Aymont made to her chiropractor, Cst. Andreucci and Mr. Bonner, the insurance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stated, I have no reason to find that Mr. Capp's evidence is inaccurate or untrue. His evidence was straightforward. It was not undermined in cross-examination. There is no basis upon which I can find that his version was incorrect or that he suffered from a visual impairment or any other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Capp's evidence that the Aymont vehicle was moving when he first observed it is consistent with the statements that Ms. Aymont made to her chiropractor. In the form that she completed, or directed Dr. Holroyd to complete, she says that she was not stopped and was moving at about 10 km/hour. In her statement to Cst. Andreucci she stated that she just did not see Mr. Capp's vehicle. She told Mr. Bonner that she had pulled forward from the exit onto Bartley Road before being hit. All of these statements are consistent with the circumstances that Mr. Capp describes.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as a fact that Ms. Aymont was not stopped "well before the fog line". She was moving from the exit into the southbound lane of travel on Bartley Road. She was going slowly, likely less than 10 km/hour. Her foot was not on the brake. She was not looking in the direction of the oncoming traffic, but was engaged in a conversation with her son Joel who was sitting in the passenger seat, and had turned her face toward him to talk about his drink.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Ms. Aymont did not yield the right of way to Mr. Capp who was the dominant driver. She may have been in breach of s. 176(2)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while this is important to determine whether she has met the standard of care, it is not the exclusive measure of that conduct. "A driver will not be held to have breached the standard of care simply because he or she failed to take extraordinary steps to avoid an accident or to show exceptional proficiency in the operation of a motor vehicle":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1096"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find that Ms. Aymont entered the intersection without yielding the right of way to Mr. Capp who was approaching on the highway. Mr. Capp is entitled to assume that Ms. Aymont will obey the rules of the road. In this case, by the time Mr. Capp observed Ms. Aymont's vehicle to be moving into his lane of traffic, he was not able to avoid the collision; there simply was not enough time and too short a distance to travel. In other words, Mr. Capp's vehicle was an immediate hazard to Ms. Aymont's vehicle who was about to enter or cross the highway. Mr. Capp did what he could to avoid the accident by attempting to brake and drive into the oncoming lane of traffic. He had slightly over five seconds to perceive that Ms. Aymont was moving and was not going to stop; to react; and then attempt to bring his vehicle, travelling at 50 km/hour to a stop. I have found that Ms. Aymont was not stopped, but was rather travelling at one metre per second, into Mr. Capp's path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To apply the test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Ms. Aymont has not established that after Mr. Capp became aware, or by the exercise of reasonable care should have become aware, of Ms. Aymont's disregard of the law or that Mr. Capp had a sufficient opportunity to avoid the accident, of which a reasonably careful and skilful driver would have availed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all of the circumstances, I find the plaintiff is 100% at fault for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58" style="position:absolute;z-index:25188966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Silver Bullet Contracting Ltd. v. Roba Holdings Inc., [2000] B.C.J. No. 1844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Sophie's Gold &amp; Gift Shop Ltd. v. Lloyd's Underwriters, Lloyd's, London, [2001] B.C.J. No. 1730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SunOil Ltd. v. Big Snowy Resources L.P., [2015] B.C.J. No. 190</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Wilde v. Cambie Malone Corp., [2008] B.C.J. No. 1013</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Wong v. Mislang, [2007] B.C.J. No. 2708</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Wyman (Litigation guardian of) v. Fammarz S.R.L., [2009] B.C.J. No. 1467</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Bulldog Bag Ltd. v. Axa Pacific Insurance Co., [2010] B.C.J. No. 600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Casses v. Canadian Broadcasting Corp., [2014] B.C.J. No. 2531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Chisamore v. Cumis Life Insurance Co., [2006] B.C.J. No. 877</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Conor Pacific Group Inc. v. Canada (Attorney General), [2010] B.C.J. No. 743</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Cooper v. Merrill Lynch Canada Inc., [2006] B.C.J. No. 3300</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Crichton v. McNaughton, [2008] B.C.J. No. 784</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Abreu v. Huang, [2013] B.C.J. No. 447</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Duley v. Friesen, [2007] B.C.J. No. 2557</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Gurney v. West Kelowna (District), [2016] B.C.J. No. 561</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Iser v. Canada (Attorney General), [2016] B.C.J. No. 2625</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Hartman v. Dias, [2006] B.C.J. No. 651</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Henry v. British Columbia (Attorney General), [2015] B.C.J. No. 2189</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Kranz v. Shidfar, [2011] B.C.J. No. 970</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Leonard v. Manufacturers Life Insurance Co., [2016] B.C.J. No. 615</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Michael G. Armstrong Law Corp. v. Turner, [2015] B.C.J. No. 2496</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Mund v. Sovio, 2010 CHFL para. 15,579</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Ostovic v. Foggin, [2009] B.C.J. No. 85</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 Pacific Recycling Inc. v. So, [2006] B.C.J. No. 2006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Phillips v. Stratton, [2007] B.C.J. No. 1940</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Rezai v. Uddin, [2017] B.C.J. No. 1957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Stoneson v. Testa Estate, [2015] B.C.J. No. 1867</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3851 v. Homer Street Development Limited Partnership, [2011] B.C.J. No. 1582</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Sturm v. Sprott Resource Lending Corp., [2014] B.C.J. No. 212</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Thandi (Re), [2017] B.C.J. No. 1369</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Uppal v. Chung, [2017] B.C.J. No. 75</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Walker (c.o.b. Wild Log Homes Inc.) v. British Columbia (Minister of Public Safety and Solicitor General), [2012] B.C.J. No. 755</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Warkentin v. Riggs, [2010] B.C.J. No. 2400</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Mackay v. British Columbia, [2013] B.C.J. No. 1121</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Pitt v. Holt, [2007] B.C.J. No. 2290</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Quinn v. Dubnyk, [2011] B.C.J. No. 1124</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Starr v. British Columbia (Attorney General), [2009] B.C.J. No. 2365</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T.K.L. v. T.M.P., [2016] B.C.J. No. 899</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 v. Insurance Corp. of British Columbia, [2018] B.C.J. No. 3724</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Dennis v. Gairdner, [2002] B.C.J. No. 2017</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Heppner v. Zia, [2008] I.L.R. para. M-2241</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Heyman v. South Coast British Columbia Transportation Authority (c.o.b. Translink), [2013] B.C.J. No. 2060</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Matheson v. Fichten, [2012] I.L.R. para. M-2633</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McIntosh v. Insurance Corp. of British Columbia, [2003] B.C.J. No. 1169</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Peters v. Bird, [2020] B.C.J. No. 169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Prempeh v. Boisvert, [2012] I.L.R. para. M-2592</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Sharma v. MacDonald, [2017] B.C.J. No. 2356</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55971 B.C. Ltd. (c.o.b. A &amp; A Service Co.) v. Hospital Employees' Union, [2002] B.C.J. No. 1574</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Alsaeedi v. Lally, [2015] I.L.R. para. M-2857</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Aymont v. Capp, [2010] B.C.J. No. 1441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2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2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2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2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a)"/>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2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3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3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3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3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3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3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upp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6"/>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34763C0"/>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69B264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8AEE316"/>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9897D14"/>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10AACF6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12CD7D1B"/>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16A7F4D2"/>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1A81E38A"/>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1BD08495"/>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217379EF"/>
    <w:multiLevelType w:val="multilevel"/>
    <w:tmpl w:val="00000001"/>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2FEE737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32B478DC"/>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376CAAD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3777EE2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3D7F4D0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42F4E703"/>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4459654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455F3A83"/>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471FB680"/>
    <w:multiLevelType w:val="multilevel"/>
    <w:tmpl w:val="0000000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4F2A3675"/>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4FA3F5A9"/>
    <w:multiLevelType w:val="multilevel"/>
    <w:tmpl w:val="0000000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547CDE2B"/>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585D620B"/>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58A9870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58ECF93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59E16923"/>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5B1F006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5E89C27A"/>
    <w:multiLevelType w:val="multilevel"/>
    <w:tmpl w:val="00000001"/>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614541F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6A2801CA"/>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704D0A9D"/>
    <w:multiLevelType w:val="multilevel"/>
    <w:tmpl w:val="00000001"/>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711E21CE"/>
    <w:multiLevelType w:val="multilevel"/>
    <w:tmpl w:val="0000000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75027D37"/>
    <w:multiLevelType w:val="multilevel"/>
    <w:tmpl w:val="00000001"/>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79363B5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79FF4C2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7AA43EF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7E272566"/>
    <w:multiLevelType w:val="multilevel"/>
    <w:tmpl w:val="00000001"/>
    <w:lvl w:ilvl="0">
      <w:start w:val="1"/>
      <w:numFmt w:val="decimal"/>
      <w:lvlText w:val="3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7E6991FB"/>
    <w:multiLevelType w:val="multilevel"/>
    <w:tmpl w:val="00000001"/>
    <w:lvl w:ilvl="0">
      <w:start w:val="2"/>
      <w:numFmt w:val="lowerLetter"/>
      <w:lvlText w:val=" %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7FDC2AF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148"/>
  </w:num>
  <w:num w:numId="26">
    <w:abstractNumId w:val="139"/>
  </w:num>
  <w:num w:numId="27">
    <w:abstractNumId w:val="24"/>
  </w:num>
  <w:num w:numId="28">
    <w:abstractNumId w:val="25"/>
  </w:num>
  <w:num w:numId="29">
    <w:abstractNumId w:val="26"/>
  </w:num>
  <w:num w:numId="30">
    <w:abstractNumId w:val="27"/>
  </w:num>
  <w:num w:numId="31">
    <w:abstractNumId w:val="28"/>
  </w:num>
  <w:num w:numId="32">
    <w:abstractNumId w:val="29"/>
  </w:num>
  <w:num w:numId="33">
    <w:abstractNumId w:val="30"/>
  </w:num>
  <w:num w:numId="34">
    <w:abstractNumId w:val="31"/>
  </w:num>
  <w:num w:numId="35">
    <w:abstractNumId w:val="32"/>
  </w:num>
  <w:num w:numId="36">
    <w:abstractNumId w:val="33"/>
  </w:num>
  <w:num w:numId="37">
    <w:abstractNumId w:val="34"/>
  </w:num>
  <w:num w:numId="38">
    <w:abstractNumId w:val="35"/>
  </w:num>
  <w:num w:numId="39">
    <w:abstractNumId w:val="36"/>
  </w:num>
  <w:num w:numId="40">
    <w:abstractNumId w:val="37"/>
  </w:num>
  <w:num w:numId="41">
    <w:abstractNumId w:val="38"/>
  </w:num>
  <w:num w:numId="42">
    <w:abstractNumId w:val="39"/>
  </w:num>
  <w:num w:numId="43">
    <w:abstractNumId w:val="40"/>
  </w:num>
  <w:num w:numId="44">
    <w:abstractNumId w:val="41"/>
  </w:num>
  <w:num w:numId="45">
    <w:abstractNumId w:val="42"/>
  </w:num>
  <w:num w:numId="46">
    <w:abstractNumId w:val="43"/>
  </w:num>
  <w:num w:numId="47">
    <w:abstractNumId w:val="44"/>
  </w:num>
  <w:num w:numId="48">
    <w:abstractNumId w:val="45"/>
  </w:num>
  <w:num w:numId="49">
    <w:abstractNumId w:val="46"/>
  </w:num>
  <w:num w:numId="50">
    <w:abstractNumId w:val="47"/>
  </w:num>
  <w:num w:numId="51">
    <w:abstractNumId w:val="48"/>
  </w:num>
  <w:num w:numId="52">
    <w:abstractNumId w:val="49"/>
  </w:num>
  <w:num w:numId="53">
    <w:abstractNumId w:val="50"/>
  </w:num>
  <w:num w:numId="54">
    <w:abstractNumId w:val="51"/>
  </w:num>
  <w:num w:numId="55">
    <w:abstractNumId w:val="52"/>
  </w:num>
  <w:num w:numId="56">
    <w:abstractNumId w:val="53"/>
  </w:num>
  <w:num w:numId="57">
    <w:abstractNumId w:val="54"/>
  </w:num>
  <w:num w:numId="58">
    <w:abstractNumId w:val="55"/>
  </w:num>
  <w:num w:numId="59">
    <w:abstractNumId w:val="56"/>
  </w:num>
  <w:num w:numId="60">
    <w:abstractNumId w:val="57"/>
  </w:num>
  <w:num w:numId="61">
    <w:abstractNumId w:val="58"/>
  </w:num>
  <w:num w:numId="62">
    <w:abstractNumId w:val="59"/>
  </w:num>
  <w:num w:numId="63">
    <w:abstractNumId w:val="60"/>
  </w:num>
  <w:num w:numId="64">
    <w:abstractNumId w:val="61"/>
  </w:num>
  <w:num w:numId="65">
    <w:abstractNumId w:val="62"/>
  </w:num>
  <w:num w:numId="66">
    <w:abstractNumId w:val="63"/>
  </w:num>
  <w:num w:numId="67">
    <w:abstractNumId w:val="64"/>
  </w:num>
  <w:num w:numId="68">
    <w:abstractNumId w:val="65"/>
  </w:num>
  <w:num w:numId="69">
    <w:abstractNumId w:val="66"/>
  </w:num>
  <w:num w:numId="70">
    <w:abstractNumId w:val="67"/>
  </w:num>
  <w:num w:numId="71">
    <w:abstractNumId w:val="68"/>
  </w:num>
  <w:num w:numId="72">
    <w:abstractNumId w:val="69"/>
  </w:num>
  <w:num w:numId="73">
    <w:abstractNumId w:val="70"/>
  </w:num>
  <w:num w:numId="74">
    <w:abstractNumId w:val="71"/>
  </w:num>
  <w:num w:numId="75">
    <w:abstractNumId w:val="72"/>
  </w:num>
  <w:num w:numId="76">
    <w:abstractNumId w:val="73"/>
  </w:num>
  <w:num w:numId="77">
    <w:abstractNumId w:val="74"/>
  </w:num>
  <w:num w:numId="78">
    <w:abstractNumId w:val="75"/>
  </w:num>
  <w:num w:numId="79">
    <w:abstractNumId w:val="76"/>
  </w:num>
  <w:num w:numId="80">
    <w:abstractNumId w:val="77"/>
  </w:num>
  <w:num w:numId="81">
    <w:abstractNumId w:val="78"/>
  </w:num>
  <w:num w:numId="82">
    <w:abstractNumId w:val="79"/>
  </w:num>
  <w:num w:numId="83">
    <w:abstractNumId w:val="80"/>
  </w:num>
  <w:num w:numId="84">
    <w:abstractNumId w:val="81"/>
  </w:num>
  <w:num w:numId="85">
    <w:abstractNumId w:val="82"/>
  </w:num>
  <w:num w:numId="86">
    <w:abstractNumId w:val="83"/>
  </w:num>
  <w:num w:numId="87">
    <w:abstractNumId w:val="84"/>
  </w:num>
  <w:num w:numId="88">
    <w:abstractNumId w:val="85"/>
  </w:num>
  <w:num w:numId="89">
    <w:abstractNumId w:val="86"/>
  </w:num>
  <w:num w:numId="90">
    <w:abstractNumId w:val="87"/>
  </w:num>
  <w:num w:numId="91">
    <w:abstractNumId w:val="88"/>
  </w:num>
  <w:num w:numId="92">
    <w:abstractNumId w:val="89"/>
  </w:num>
  <w:num w:numId="93">
    <w:abstractNumId w:val="90"/>
  </w:num>
  <w:num w:numId="94">
    <w:abstractNumId w:val="91"/>
  </w:num>
  <w:num w:numId="95">
    <w:abstractNumId w:val="92"/>
  </w:num>
  <w:num w:numId="96">
    <w:abstractNumId w:val="93"/>
  </w:num>
  <w:num w:numId="97">
    <w:abstractNumId w:val="94"/>
  </w:num>
  <w:num w:numId="98">
    <w:abstractNumId w:val="95"/>
  </w:num>
  <w:num w:numId="99">
    <w:abstractNumId w:val="96"/>
  </w:num>
  <w:num w:numId="100">
    <w:abstractNumId w:val="97"/>
  </w:num>
  <w:num w:numId="101">
    <w:abstractNumId w:val="98"/>
  </w:num>
  <w:num w:numId="102">
    <w:abstractNumId w:val="99"/>
  </w:num>
  <w:num w:numId="103">
    <w:abstractNumId w:val="100"/>
  </w:num>
  <w:num w:numId="104">
    <w:abstractNumId w:val="101"/>
  </w:num>
  <w:num w:numId="105">
    <w:abstractNumId w:val="102"/>
  </w:num>
  <w:num w:numId="106">
    <w:abstractNumId w:val="103"/>
  </w:num>
  <w:num w:numId="107">
    <w:abstractNumId w:val="104"/>
  </w:num>
  <w:num w:numId="108">
    <w:abstractNumId w:val="105"/>
  </w:num>
  <w:num w:numId="109">
    <w:abstractNumId w:val="106"/>
  </w:num>
  <w:num w:numId="110">
    <w:abstractNumId w:val="107"/>
  </w:num>
  <w:num w:numId="111">
    <w:abstractNumId w:val="108"/>
  </w:num>
  <w:num w:numId="112">
    <w:abstractNumId w:val="109"/>
  </w:num>
  <w:num w:numId="113">
    <w:abstractNumId w:val="110"/>
  </w:num>
  <w:num w:numId="114">
    <w:abstractNumId w:val="128"/>
  </w:num>
  <w:num w:numId="115">
    <w:abstractNumId w:val="130"/>
  </w:num>
  <w:num w:numId="116">
    <w:abstractNumId w:val="126"/>
  </w:num>
  <w:num w:numId="117">
    <w:abstractNumId w:val="122"/>
  </w:num>
  <w:num w:numId="118">
    <w:abstractNumId w:val="129"/>
  </w:num>
  <w:num w:numId="119">
    <w:abstractNumId w:val="113"/>
  </w:num>
  <w:num w:numId="120">
    <w:abstractNumId w:val="131"/>
  </w:num>
  <w:num w:numId="121">
    <w:abstractNumId w:val="117"/>
  </w:num>
  <w:num w:numId="122">
    <w:abstractNumId w:val="115"/>
  </w:num>
  <w:num w:numId="123">
    <w:abstractNumId w:val="123"/>
  </w:num>
  <w:num w:numId="124">
    <w:abstractNumId w:val="136"/>
  </w:num>
  <w:num w:numId="125">
    <w:abstractNumId w:val="127"/>
  </w:num>
  <w:num w:numId="126">
    <w:abstractNumId w:val="114"/>
  </w:num>
  <w:num w:numId="127">
    <w:abstractNumId w:val="120"/>
  </w:num>
  <w:num w:numId="128">
    <w:abstractNumId w:val="121"/>
  </w:num>
  <w:num w:numId="129">
    <w:abstractNumId w:val="138"/>
  </w:num>
  <w:num w:numId="130">
    <w:abstractNumId w:val="134"/>
  </w:num>
  <w:num w:numId="131">
    <w:abstractNumId w:val="145"/>
  </w:num>
  <w:num w:numId="132">
    <w:abstractNumId w:val="142"/>
  </w:num>
  <w:num w:numId="133">
    <w:abstractNumId w:val="149"/>
  </w:num>
  <w:num w:numId="134">
    <w:abstractNumId w:val="125"/>
  </w:num>
  <w:num w:numId="135">
    <w:abstractNumId w:val="133"/>
  </w:num>
  <w:num w:numId="136">
    <w:abstractNumId w:val="118"/>
  </w:num>
  <w:num w:numId="137">
    <w:abstractNumId w:val="147"/>
  </w:num>
  <w:num w:numId="138">
    <w:abstractNumId w:val="132"/>
  </w:num>
  <w:num w:numId="139">
    <w:abstractNumId w:val="143"/>
  </w:num>
  <w:num w:numId="140">
    <w:abstractNumId w:val="124"/>
  </w:num>
  <w:num w:numId="141">
    <w:abstractNumId w:val="135"/>
  </w:num>
  <w:num w:numId="142">
    <w:abstractNumId w:val="146"/>
  </w:num>
  <w:num w:numId="143">
    <w:abstractNumId w:val="137"/>
  </w:num>
  <w:num w:numId="144">
    <w:abstractNumId w:val="111"/>
  </w:num>
  <w:num w:numId="145">
    <w:abstractNumId w:val="116"/>
  </w:num>
  <w:num w:numId="146">
    <w:abstractNumId w:val="112"/>
  </w:num>
  <w:num w:numId="147">
    <w:abstractNumId w:val="140"/>
  </w:num>
  <w:num w:numId="148">
    <w:abstractNumId w:val="141"/>
  </w:num>
  <w:num w:numId="149">
    <w:abstractNumId w:val="119"/>
  </w:num>
  <w:num w:numId="150">
    <w:abstractNumId w:val="1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71-JTGH-B13W-00000-00&amp;context=" TargetMode="External" /><Relationship Id="rId100" Type="http://schemas.openxmlformats.org/officeDocument/2006/relationships/hyperlink" Target="https://advance.lexis.com/api/document?collection=cases-ca&amp;id=urn:contentItem:5F82-1SH1-F8KH-X205-00000-00&amp;context=" TargetMode="External" /><Relationship Id="rId1000" Type="http://schemas.openxmlformats.org/officeDocument/2006/relationships/hyperlink" Target="https://advance.lexis.com/api/document?collection=cases-ca&amp;id=urn:contentItem:5F7T-S741-F57G-S1X8-00000-00&amp;context=" TargetMode="External" /><Relationship Id="rId1001" Type="http://schemas.openxmlformats.org/officeDocument/2006/relationships/hyperlink" Target="https://advance.lexis.com/api/document?collection=cases-ca&amp;id=urn:contentItem:5F7T-S7D1-JXG3-X0TB-00000-00&amp;context=" TargetMode="External" /><Relationship Id="rId1002" Type="http://schemas.openxmlformats.org/officeDocument/2006/relationships/hyperlink" Target="https://advance.lexis.com/api/document?collection=cases-ca&amp;id=urn:contentItem:5F7T-S7P1-F2TK-2388-00000-00&amp;context=" TargetMode="External" /><Relationship Id="rId1003" Type="http://schemas.openxmlformats.org/officeDocument/2006/relationships/hyperlink" Target="https://advance.lexis.com/api/document?collection=cases-ca&amp;id=urn:contentItem:5F7T-S7G1-F5KY-B1CX-00000-00&amp;context=" TargetMode="External" /><Relationship Id="rId1004" Type="http://schemas.openxmlformats.org/officeDocument/2006/relationships/hyperlink" Target="https://advance.lexis.com/api/document?collection=cases-ca&amp;id=urn:contentItem:5F7T-S731-FFFC-B0HG-00000-00&amp;context=" TargetMode="External" /><Relationship Id="rId1005" Type="http://schemas.openxmlformats.org/officeDocument/2006/relationships/hyperlink" Target="https://advance.lexis.com/api/document?collection=cases-ca&amp;id=urn:contentItem:5F7T-S751-JP4G-61DG-00000-00&amp;context=" TargetMode="External" /><Relationship Id="rId1006" Type="http://schemas.openxmlformats.org/officeDocument/2006/relationships/hyperlink" Target="https://advance.lexis.com/api/document?collection=cases-ca&amp;id=urn:contentItem:5F7T-S6X1-JXNB-62N4-00000-00&amp;context=" TargetMode="External" /><Relationship Id="rId1007" Type="http://schemas.openxmlformats.org/officeDocument/2006/relationships/hyperlink" Target="https://advance.lexis.com/api/document?collection=cases-ca&amp;id=urn:contentItem:5F7T-S701-JJYN-B2G0-00000-00&amp;context=" TargetMode="External" /><Relationship Id="rId1008" Type="http://schemas.openxmlformats.org/officeDocument/2006/relationships/hyperlink" Target="https://advance.lexis.com/api/document?collection=cases-ca&amp;id=urn:contentItem:5F7T-S7J1-JYYX-6253-00000-00&amp;context=" TargetMode="External" /><Relationship Id="rId1009" Type="http://schemas.openxmlformats.org/officeDocument/2006/relationships/hyperlink" Target="https://advance.lexis.com/api/document?collection=cases-ca&amp;id=urn:contentItem:5F7T-S6W1-FBFS-S1GR-00000-00&amp;context=" TargetMode="External" /><Relationship Id="rId101" Type="http://schemas.openxmlformats.org/officeDocument/2006/relationships/hyperlink" Target="https://advance.lexis.com/api/document?collection=cases-ca&amp;id=urn:contentItem:5F8T-N3V1-JFKM-609S-00000-00&amp;context=" TargetMode="External" /><Relationship Id="rId1010" Type="http://schemas.openxmlformats.org/officeDocument/2006/relationships/header" Target="header136.xml" /><Relationship Id="rId1011" Type="http://schemas.openxmlformats.org/officeDocument/2006/relationships/header" Target="header137.xml" /><Relationship Id="rId1012" Type="http://schemas.openxmlformats.org/officeDocument/2006/relationships/footer" Target="footer136.xml" /><Relationship Id="rId1013" Type="http://schemas.openxmlformats.org/officeDocument/2006/relationships/footer" Target="footer137.xml" /><Relationship Id="rId1014" Type="http://schemas.openxmlformats.org/officeDocument/2006/relationships/header" Target="header138.xml" /><Relationship Id="rId1015" Type="http://schemas.openxmlformats.org/officeDocument/2006/relationships/footer" Target="footer138.xml" /><Relationship Id="rId1016" Type="http://schemas.openxmlformats.org/officeDocument/2006/relationships/hyperlink" Target="https://advance.lexis.com/api/document?collection=cases-ca&amp;id=urn:contentItem:5K6Y-81N1-JN14-G22W-00000-00&amp;context=" TargetMode="External" /><Relationship Id="rId1017" Type="http://schemas.openxmlformats.org/officeDocument/2006/relationships/hyperlink" Target="https://advance.lexis.com/api/document?collection=cases-ca&amp;id=urn:contentItem:5F7T-S7J1-JYYX-623B-00000-00&amp;context=" TargetMode="External" /><Relationship Id="rId1018" Type="http://schemas.openxmlformats.org/officeDocument/2006/relationships/hyperlink" Target="https://advance.lexis.com/api/document?collection=cases-ca&amp;id=urn:contentItem:5F16-9351-FFFC-B31K-00000-00&amp;context=" TargetMode="External" /><Relationship Id="rId1019" Type="http://schemas.openxmlformats.org/officeDocument/2006/relationships/hyperlink" Target="https://advance.lexis.com/api/document?collection=cases-ca&amp;id=urn:contentItem:5F82-1SF1-K054-G43D-00000-00&amp;context=" TargetMode="External" /><Relationship Id="rId102" Type="http://schemas.openxmlformats.org/officeDocument/2006/relationships/hyperlink" Target="https://advance.lexis.com/api/document?collection=cases-ca&amp;id=urn:contentItem:5F7T-S711-F27X-60JN-00000-00&amp;context=" TargetMode="External" /><Relationship Id="rId1020" Type="http://schemas.openxmlformats.org/officeDocument/2006/relationships/hyperlink" Target="https://advance.lexis.com/api/document?collection=cases-ca&amp;id=urn:contentItem:5F7T-S6Y1-JTNR-M4F9-00000-00&amp;context=" TargetMode="External" /><Relationship Id="rId1021" Type="http://schemas.openxmlformats.org/officeDocument/2006/relationships/hyperlink" Target="https://advance.lexis.com/api/document?collection=cases-ca&amp;id=urn:contentItem:5F7T-S7M1-JNCK-22H1-00000-00&amp;context=" TargetMode="External" /><Relationship Id="rId1022" Type="http://schemas.openxmlformats.org/officeDocument/2006/relationships/hyperlink" Target="https://advance.lexis.com/api/document?collection=cases-ca&amp;id=urn:contentItem:5F7T-S7M1-DYMS-626Y-00000-00&amp;context=" TargetMode="External" /><Relationship Id="rId1023" Type="http://schemas.openxmlformats.org/officeDocument/2006/relationships/hyperlink" Target="https://advance.lexis.com/api/document?collection=cases-ca&amp;id=urn:contentItem:5F7T-S7H1-JFSV-G35Y-00000-00&amp;context=" TargetMode="External" /><Relationship Id="rId1024" Type="http://schemas.openxmlformats.org/officeDocument/2006/relationships/hyperlink" Target="https://advance.lexis.com/api/document?collection=cases-ca&amp;id=urn:contentItem:5F82-1SF1-F361-M45M-00000-00&amp;context=" TargetMode="External" /><Relationship Id="rId1025" Type="http://schemas.openxmlformats.org/officeDocument/2006/relationships/hyperlink" Target="https://advance.lexis.com/api/document?collection=cases-ca&amp;id=urn:contentItem:5F7T-S7G1-JNY7-X45D-00000-00&amp;context=" TargetMode="External" /><Relationship Id="rId1026" Type="http://schemas.openxmlformats.org/officeDocument/2006/relationships/hyperlink" Target="https://advance.lexis.com/api/document?collection=cases-ca&amp;id=urn:contentItem:5F7T-S7C1-F4NT-X44S-00000-00&amp;context=" TargetMode="External" /><Relationship Id="rId1027" Type="http://schemas.openxmlformats.org/officeDocument/2006/relationships/hyperlink" Target="https://advance.lexis.com/api/document?collection=cases-ca&amp;id=urn:contentItem:5F7T-S7F1-F7VM-S3YT-00000-00&amp;context=" TargetMode="External" /><Relationship Id="rId1028" Type="http://schemas.openxmlformats.org/officeDocument/2006/relationships/hyperlink" Target="https://advance.lexis.com/api/document?collection=cases-ca&amp;id=urn:contentItem:5F7T-S7K1-JNY7-X4GM-00000-00&amp;context=" TargetMode="External" /><Relationship Id="rId1029" Type="http://schemas.openxmlformats.org/officeDocument/2006/relationships/hyperlink" Target="https://advance.lexis.com/api/document?collection=cases-ca&amp;id=urn:contentItem:5F7T-S7K1-JSJC-X0X7-00000-00&amp;context=" TargetMode="External" /><Relationship Id="rId103" Type="http://schemas.openxmlformats.org/officeDocument/2006/relationships/hyperlink" Target="https://advance.lexis.com/api/document?collection=cases-ca&amp;id=urn:contentItem:5F8T-N3S1-JBDT-B087-00000-00&amp;context=" TargetMode="External" /><Relationship Id="rId1030" Type="http://schemas.openxmlformats.org/officeDocument/2006/relationships/hyperlink" Target="https://advance.lexis.com/api/document?collection=cases-ca&amp;id=urn:contentItem:5F7T-S7K1-JWXF-212D-00000-00&amp;context=" TargetMode="External" /><Relationship Id="rId1031" Type="http://schemas.openxmlformats.org/officeDocument/2006/relationships/hyperlink" Target="https://advance.lexis.com/api/document?collection=cases-ca&amp;id=urn:contentItem:5F7T-S7K1-DY33-B1K8-00000-00&amp;context=" TargetMode="External" /><Relationship Id="rId1032" Type="http://schemas.openxmlformats.org/officeDocument/2006/relationships/hyperlink" Target="https://advance.lexis.com/api/document?collection=cases-ca&amp;id=urn:contentItem:5F7T-S7H1-F016-S3X8-00000-00&amp;context=" TargetMode="External" /><Relationship Id="rId1033" Type="http://schemas.openxmlformats.org/officeDocument/2006/relationships/hyperlink" Target="https://advance.lexis.com/api/document?collection=cases-ca&amp;id=urn:contentItem:5F82-1SH1-F8KH-X1YH-00000-00&amp;context=" TargetMode="External" /><Relationship Id="rId1034" Type="http://schemas.openxmlformats.org/officeDocument/2006/relationships/hyperlink" Target="https://advance.lexis.com/api/document?collection=cases-ca&amp;id=urn:contentItem:5F7T-S7M1-JNCK-22MK-00000-00&amp;context=" TargetMode="External" /><Relationship Id="rId1035" Type="http://schemas.openxmlformats.org/officeDocument/2006/relationships/hyperlink" Target="https://advance.lexis.com/api/document?collection=cases-ca&amp;id=urn:contentItem:5F7T-S7K1-JSJC-X168-00000-00&amp;context=" TargetMode="External" /><Relationship Id="rId1036" Type="http://schemas.openxmlformats.org/officeDocument/2006/relationships/hyperlink" Target="https://advance.lexis.com/api/document?collection=cases-ca&amp;id=urn:contentItem:5F7T-S7J1-JNS1-M2G2-00000-00&amp;context=" TargetMode="External" /><Relationship Id="rId1037" Type="http://schemas.openxmlformats.org/officeDocument/2006/relationships/hyperlink" Target="https://advance.lexis.com/api/document?collection=cases-ca&amp;id=urn:contentItem:5F7T-S7H1-F016-S3S0-00000-00&amp;context=" TargetMode="External" /><Relationship Id="rId1038" Type="http://schemas.openxmlformats.org/officeDocument/2006/relationships/hyperlink" Target="https://advance.lexis.com/api/document?collection=cases-ca&amp;id=urn:contentItem:5F7T-S7K1-DXWW-2018-00000-00&amp;context=" TargetMode="External" /><Relationship Id="rId1039" Type="http://schemas.openxmlformats.org/officeDocument/2006/relationships/hyperlink" Target="https://advance.lexis.com/api/document?collection=cases-ca&amp;id=urn:contentItem:5F7T-S771-JSJC-X038-00000-00&amp;context=" TargetMode="External" /><Relationship Id="rId104" Type="http://schemas.openxmlformats.org/officeDocument/2006/relationships/hyperlink" Target="https://advance.lexis.com/api/document?collection=cases-ca&amp;id=urn:contentItem:5F7T-S6W1-JB7K-21K9-00000-00&amp;context=" TargetMode="External" /><Relationship Id="rId1040" Type="http://schemas.openxmlformats.org/officeDocument/2006/relationships/hyperlink" Target="https://advance.lexis.com/api/document?collection=cases-ca&amp;id=urn:contentItem:5F7T-S7K1-DY33-B1R6-00000-00&amp;context=" TargetMode="External" /><Relationship Id="rId1041" Type="http://schemas.openxmlformats.org/officeDocument/2006/relationships/hyperlink" Target="https://advance.lexis.com/api/document?collection=cases-ca&amp;id=urn:contentItem:5F8T-N3V1-FC1F-M4BC-00000-00&amp;context=" TargetMode="External" /><Relationship Id="rId1042" Type="http://schemas.openxmlformats.org/officeDocument/2006/relationships/hyperlink" Target="https://advance.lexis.com/api/document?collection=cases-ca&amp;id=urn:contentItem:5F7T-S7M1-JCRC-B1SF-00000-00&amp;context=" TargetMode="External" /><Relationship Id="rId1043" Type="http://schemas.openxmlformats.org/officeDocument/2006/relationships/hyperlink" Target="https://advance.lexis.com/api/document?collection=cases-ca&amp;id=urn:contentItem:5F7T-S7M1-DYMS-62FG-00000-00&amp;context=" TargetMode="External" /><Relationship Id="rId1044" Type="http://schemas.openxmlformats.org/officeDocument/2006/relationships/header" Target="header139.xml" /><Relationship Id="rId1045" Type="http://schemas.openxmlformats.org/officeDocument/2006/relationships/header" Target="header140.xml" /><Relationship Id="rId1046" Type="http://schemas.openxmlformats.org/officeDocument/2006/relationships/footer" Target="footer139.xml" /><Relationship Id="rId1047" Type="http://schemas.openxmlformats.org/officeDocument/2006/relationships/footer" Target="footer140.xml" /><Relationship Id="rId1048" Type="http://schemas.openxmlformats.org/officeDocument/2006/relationships/header" Target="header141.xml" /><Relationship Id="rId1049" Type="http://schemas.openxmlformats.org/officeDocument/2006/relationships/footer" Target="footer141.xml" /><Relationship Id="rId105" Type="http://schemas.openxmlformats.org/officeDocument/2006/relationships/hyperlink" Target="https://advance.lexis.com/api/document?collection=cases-ca&amp;id=urn:contentItem:5F7T-S7D1-FFFC-B1FJ-00000-00&amp;context=" TargetMode="External" /><Relationship Id="rId1050" Type="http://schemas.openxmlformats.org/officeDocument/2006/relationships/hyperlink" Target="https://advance.lexis.com/api/document?collection=cases-ca&amp;id=urn:contentItem:5R32-47Y1-F2TK-220V-00000-00&amp;context=" TargetMode="External" /><Relationship Id="rId1051" Type="http://schemas.openxmlformats.org/officeDocument/2006/relationships/hyperlink" Target="https://advance.lexis.com/api/document?collection=cases-ca&amp;id=urn:contentItem:5S30-5V31-JBT7-X4M7-00000-00&amp;context=" TargetMode="External" /><Relationship Id="rId1052" Type="http://schemas.openxmlformats.org/officeDocument/2006/relationships/hyperlink" Target="https://advance.lexis.com/api/document?collection=cases-ca&amp;id=urn:contentItem:5F8T-N3V1-FH4C-X20M-00000-00&amp;context=" TargetMode="External" /><Relationship Id="rId1053" Type="http://schemas.openxmlformats.org/officeDocument/2006/relationships/hyperlink" Target="https://advance.lexis.com/api/document?collection=cases-ca&amp;id=urn:contentItem:5F7T-S7M1-JFSV-G3B9-00000-00&amp;context=" TargetMode="External" /><Relationship Id="rId1054" Type="http://schemas.openxmlformats.org/officeDocument/2006/relationships/hyperlink" Target="https://advance.lexis.com/api/document?collection=cases-ca&amp;id=urn:contentItem:5F7T-S7J1-JYYX-625B-00000-00&amp;context=" TargetMode="External" /><Relationship Id="rId1055" Type="http://schemas.openxmlformats.org/officeDocument/2006/relationships/hyperlink" Target="https://advance.lexis.com/api/document?collection=cases-ca&amp;id=urn:contentItem:5KV0-CJ91-JN14-G19C-00000-00&amp;context=" TargetMode="External" /><Relationship Id="rId1056" Type="http://schemas.openxmlformats.org/officeDocument/2006/relationships/hyperlink" Target="https://advance.lexis.com/api/document?collection=cases-ca&amp;id=urn:contentItem:5F7T-S7N1-DXWW-206B-00000-00&amp;context=" TargetMode="External" /><Relationship Id="rId1057" Type="http://schemas.openxmlformats.org/officeDocument/2006/relationships/hyperlink" Target="https://advance.lexis.com/api/document?collection=cases-ca&amp;id=urn:contentItem:5F7T-S7P1-JSJC-X1MP-00000-00&amp;context=" TargetMode="External" /><Relationship Id="rId1058" Type="http://schemas.openxmlformats.org/officeDocument/2006/relationships/hyperlink" Target="https://advance.lexis.com/api/document?collection=cases-ca&amp;id=urn:contentItem:5F7T-S7D1-F7ND-G0MH-00000-00&amp;context=" TargetMode="External" /><Relationship Id="rId1059" Type="http://schemas.openxmlformats.org/officeDocument/2006/relationships/hyperlink" Target="https://advance.lexis.com/api/document?collection=cases-ca&amp;id=urn:contentItem:5F7T-S7K1-JKHB-62PC-00000-00&amp;context=" TargetMode="External" /><Relationship Id="rId106" Type="http://schemas.openxmlformats.org/officeDocument/2006/relationships/hyperlink" Target="https://advance.lexis.com/api/document?collection=cases-ca&amp;id=urn:contentItem:5F8T-N3V1-JF75-M3GT-00000-00&amp;context=" TargetMode="External" /><Relationship Id="rId1060" Type="http://schemas.openxmlformats.org/officeDocument/2006/relationships/hyperlink" Target="https://advance.lexis.com/api/document?collection=cases-ca&amp;id=urn:contentItem:5F7T-S7K1-DY33-B1KT-00000-00&amp;context=" TargetMode="External" /><Relationship Id="rId1061" Type="http://schemas.openxmlformats.org/officeDocument/2006/relationships/hyperlink" Target="https://advance.lexis.com/api/document?collection=cases-ca&amp;id=urn:contentItem:5F7T-S7D1-DY89-M463-00000-00&amp;context=" TargetMode="External" /><Relationship Id="rId1062" Type="http://schemas.openxmlformats.org/officeDocument/2006/relationships/hyperlink" Target="https://advance.lexis.com/api/document?collection=cases-ca&amp;id=urn:contentItem:5F7T-S7M1-JCRC-B1TW-00000-00&amp;context=" TargetMode="External" /><Relationship Id="rId1063" Type="http://schemas.openxmlformats.org/officeDocument/2006/relationships/hyperlink" Target="https://advance.lexis.com/api/document?collection=cases-ca&amp;id=urn:contentItem:5J0C-MF51-JSXV-G2N2-00000-00&amp;context=" TargetMode="External" /><Relationship Id="rId1064" Type="http://schemas.openxmlformats.org/officeDocument/2006/relationships/hyperlink" Target="https://advance.lexis.com/api/document?collection=cases-ca&amp;id=urn:contentItem:5F7T-S7P1-JSJC-X1GW-00000-00&amp;context=" TargetMode="External" /><Relationship Id="rId1065" Type="http://schemas.openxmlformats.org/officeDocument/2006/relationships/hyperlink" Target="https://advance.lexis.com/api/document?collection=cases-ca&amp;id=urn:contentItem:5F7T-S7P1-JG02-S46D-00000-00&amp;context=" TargetMode="External" /><Relationship Id="rId1066" Type="http://schemas.openxmlformats.org/officeDocument/2006/relationships/header" Target="header142.xml" /><Relationship Id="rId1067" Type="http://schemas.openxmlformats.org/officeDocument/2006/relationships/header" Target="header143.xml" /><Relationship Id="rId1068" Type="http://schemas.openxmlformats.org/officeDocument/2006/relationships/footer" Target="footer142.xml" /><Relationship Id="rId1069" Type="http://schemas.openxmlformats.org/officeDocument/2006/relationships/footer" Target="footer143.xml" /><Relationship Id="rId107" Type="http://schemas.openxmlformats.org/officeDocument/2006/relationships/hyperlink" Target="https://advance.lexis.com/api/document?collection=cases-ca&amp;id=urn:contentItem:5F7T-S7F1-F7VM-S45B-00000-00&amp;context=" TargetMode="External" /><Relationship Id="rId1070" Type="http://schemas.openxmlformats.org/officeDocument/2006/relationships/header" Target="header144.xml" /><Relationship Id="rId1071" Type="http://schemas.openxmlformats.org/officeDocument/2006/relationships/footer" Target="footer144.xml" /><Relationship Id="rId1072" Type="http://schemas.openxmlformats.org/officeDocument/2006/relationships/hyperlink" Target="https://advance.lexis.com/api/document?collection=cases-ca&amp;id=urn:contentItem:5F7T-S791-JCJ5-24V2-00000-00&amp;context=" TargetMode="External" /><Relationship Id="rId1073" Type="http://schemas.openxmlformats.org/officeDocument/2006/relationships/header" Target="header145.xml" /><Relationship Id="rId1074" Type="http://schemas.openxmlformats.org/officeDocument/2006/relationships/header" Target="header146.xml" /><Relationship Id="rId1075" Type="http://schemas.openxmlformats.org/officeDocument/2006/relationships/footer" Target="footer145.xml" /><Relationship Id="rId1076" Type="http://schemas.openxmlformats.org/officeDocument/2006/relationships/footer" Target="footer146.xml" /><Relationship Id="rId1077" Type="http://schemas.openxmlformats.org/officeDocument/2006/relationships/header" Target="header147.xml" /><Relationship Id="rId1078" Type="http://schemas.openxmlformats.org/officeDocument/2006/relationships/footer" Target="footer147.xml" /><Relationship Id="rId1079" Type="http://schemas.openxmlformats.org/officeDocument/2006/relationships/hyperlink" Target="https://advance.lexis.com/api/document?collection=cases-ca&amp;id=urn:contentItem:5K6Y-81T1-JYYX-61XC-00000-00&amp;context=" TargetMode="External" /><Relationship Id="rId108" Type="http://schemas.openxmlformats.org/officeDocument/2006/relationships/hyperlink" Target="https://advance.lexis.com/api/document?collection=cases-ca&amp;id=urn:contentItem:5F8T-N3T1-JJSF-234B-00000-00&amp;context=" TargetMode="External" /><Relationship Id="rId1080" Type="http://schemas.openxmlformats.org/officeDocument/2006/relationships/hyperlink" Target="https://advance.lexis.com/api/document?collection=cases-ca&amp;id=urn:contentItem:5GWF-M0T1-F8KH-X2FV-00000-00&amp;context=" TargetMode="External" /><Relationship Id="rId1081" Type="http://schemas.openxmlformats.org/officeDocument/2006/relationships/hyperlink" Target="https://advance.lexis.com/api/document?collection=cases-ca&amp;id=urn:contentItem:5F7T-S741-DY89-M3M0-00000-00&amp;context=" TargetMode="External" /><Relationship Id="rId1082" Type="http://schemas.openxmlformats.org/officeDocument/2006/relationships/hyperlink" Target="https://advance.lexis.com/api/document?collection=cases-ca&amp;id=urn:contentItem:5F7T-S7F1-F7VM-S3V2-00000-00&amp;context=" TargetMode="External" /><Relationship Id="rId1083" Type="http://schemas.openxmlformats.org/officeDocument/2006/relationships/hyperlink" Target="https://advance.lexis.com/api/document?collection=cases-ca&amp;id=urn:contentItem:5F8T-N3N1-JWXF-24ST-00000-00&amp;context=" TargetMode="External" /><Relationship Id="rId1084" Type="http://schemas.openxmlformats.org/officeDocument/2006/relationships/header" Target="header148.xml" /><Relationship Id="rId1085" Type="http://schemas.openxmlformats.org/officeDocument/2006/relationships/header" Target="header149.xml" /><Relationship Id="rId1086" Type="http://schemas.openxmlformats.org/officeDocument/2006/relationships/footer" Target="footer148.xml" /><Relationship Id="rId1087" Type="http://schemas.openxmlformats.org/officeDocument/2006/relationships/footer" Target="footer149.xml" /><Relationship Id="rId1088" Type="http://schemas.openxmlformats.org/officeDocument/2006/relationships/header" Target="header150.xml" /><Relationship Id="rId1089" Type="http://schemas.openxmlformats.org/officeDocument/2006/relationships/footer" Target="footer150.xml" /><Relationship Id="rId109" Type="http://schemas.openxmlformats.org/officeDocument/2006/relationships/hyperlink" Target="https://advance.lexis.com/api/document?collection=cases-ca&amp;id=urn:contentItem:5F81-YH21-JPGX-S08B-00000-00&amp;context=" TargetMode="External" /><Relationship Id="rId1090" Type="http://schemas.openxmlformats.org/officeDocument/2006/relationships/hyperlink" Target="https://advance.lexis.com/api/document?collection=cases-ca&amp;id=urn:contentItem:5F7T-S7K1-JWXF-20V6-00000-00&amp;context=" TargetMode="External" /><Relationship Id="rId1091" Type="http://schemas.openxmlformats.org/officeDocument/2006/relationships/hyperlink" Target="https://advance.lexis.com/api/document?collection=legislation-ca&amp;id=urn:contentItem:5F41-1FH1-F361-M0HC-00000-00&amp;context=" TargetMode="External" /><Relationship Id="rId1092" Type="http://schemas.openxmlformats.org/officeDocument/2006/relationships/hyperlink" Target="https://advance.lexis.com/api/document?collection=cases-ca&amp;id=urn:contentItem:5F81-YH41-JX8W-M05P-00000-00&amp;context=" TargetMode="External" /><Relationship Id="rId1093" Type="http://schemas.openxmlformats.org/officeDocument/2006/relationships/hyperlink" Target="https://advance.lexis.com/api/document?collection=cases-ca&amp;id=urn:contentItem:5F8P-SC81-JN14-G258-00000-00&amp;context=" TargetMode="External" /><Relationship Id="rId1094" Type="http://schemas.openxmlformats.org/officeDocument/2006/relationships/hyperlink" Target="https://advance.lexis.com/api/document?collection=cases-ca&amp;id=urn:contentItem:5F81-YH41-JX8W-M05N-00000-00&amp;context=" TargetMode="External" /><Relationship Id="rId1095" Type="http://schemas.openxmlformats.org/officeDocument/2006/relationships/hyperlink" Target="https://advance.lexis.com/api/document?collection=cases-ca&amp;id=urn:contentItem:5F81-WC31-F5KY-B4SM-00000-00&amp;context=" TargetMode="External" /><Relationship Id="rId1096" Type="http://schemas.openxmlformats.org/officeDocument/2006/relationships/hyperlink" Target="https://advance.lexis.com/api/document?collection=cases-ca&amp;id=urn:contentItem:5F7T-S7K1-JKHB-62YV-00000-00&amp;context=" TargetMode="External" /><Relationship Id="rId1097" Type="http://schemas.openxmlformats.org/officeDocument/2006/relationships/numbering" Target="numbering.xml" /><Relationship Id="rId1098" Type="http://schemas.openxmlformats.org/officeDocument/2006/relationships/styles" Target="styles.xml" /><Relationship Id="rId11" Type="http://schemas.openxmlformats.org/officeDocument/2006/relationships/hyperlink" Target="https://advance.lexis.com/api/document?collection=cases-ca&amp;id=urn:contentItem:5F7T-S771-JSJC-X02R-00000-00&amp;context=" TargetMode="External" /><Relationship Id="rId110" Type="http://schemas.openxmlformats.org/officeDocument/2006/relationships/hyperlink" Target="https://advance.lexis.com/api/document?collection=cases-ca&amp;id=urn:contentItem:5F16-93F1-FGY5-M2BH-00000-00&amp;context=" TargetMode="External" /><Relationship Id="rId111" Type="http://schemas.openxmlformats.org/officeDocument/2006/relationships/hyperlink" Target="https://advance.lexis.com/api/document?collection=cases-ca&amp;id=urn:contentItem:5F7T-S701-JK4W-M155-00000-00&amp;context=" TargetMode="External" /><Relationship Id="rId112" Type="http://schemas.openxmlformats.org/officeDocument/2006/relationships/hyperlink" Target="https://advance.lexis.com/api/document?collection=cases-ca&amp;id=urn:contentItem:5F7T-S711-FJDY-X3FY-00000-00&amp;context=" TargetMode="External" /><Relationship Id="rId113" Type="http://schemas.openxmlformats.org/officeDocument/2006/relationships/hyperlink" Target="https://advance.lexis.com/api/document?collection=cases-ca&amp;id=urn:contentItem:5F16-9371-JKPJ-G4GT-00000-00&amp;context=" TargetMode="External" /><Relationship Id="rId114" Type="http://schemas.openxmlformats.org/officeDocument/2006/relationships/hyperlink" Target="https://advance.lexis.com/api/document?collection=cases-ca&amp;id=urn:contentItem:5F8P-SD91-F27X-61S6-00000-00&amp;context=" TargetMode="External" /><Relationship Id="rId115" Type="http://schemas.openxmlformats.org/officeDocument/2006/relationships/hyperlink" Target="https://advance.lexis.com/api/document?collection=cases-ca&amp;id=urn:contentItem:5F8P-SDK1-JP9P-G3DN-00000-00&amp;context=" TargetMode="External" /><Relationship Id="rId116" Type="http://schemas.openxmlformats.org/officeDocument/2006/relationships/hyperlink" Target="https://advance.lexis.com/api/document?collection=cases-ca&amp;id=urn:contentItem:5F81-VJX1-FD4T-B2VV-00000-00&amp;context=" TargetMode="External" /><Relationship Id="rId117" Type="http://schemas.openxmlformats.org/officeDocument/2006/relationships/hyperlink" Target="https://advance.lexis.com/api/document?collection=cases-ca&amp;id=urn:contentItem:5F8P-T8W1-F2F4-G1CP-00000-00&amp;context=" TargetMode="External" /><Relationship Id="rId118" Type="http://schemas.openxmlformats.org/officeDocument/2006/relationships/hyperlink" Target="https://advance.lexis.com/api/document?collection=cases-ca&amp;id=urn:contentItem:5F8T-N3S1-JBDT-B0FY-00000-00&amp;context=" TargetMode="External" /><Relationship Id="rId119" Type="http://schemas.openxmlformats.org/officeDocument/2006/relationships/hyperlink" Target="https://advance.lexis.com/api/document?collection=cases-ca&amp;id=urn:contentItem:5F8P-SDC1-FK0M-S3KS-00000-00&amp;context=" TargetMode="External" /><Relationship Id="rId12" Type="http://schemas.openxmlformats.org/officeDocument/2006/relationships/hyperlink" Target="https://advance.lexis.com/api/document?collection=cases-ca&amp;id=urn:contentItem:5F7T-S741-F528-G21K-00000-00&amp;context=" TargetMode="External" /><Relationship Id="rId120" Type="http://schemas.openxmlformats.org/officeDocument/2006/relationships/hyperlink" Target="https://advance.lexis.com/api/document?collection=cases-ca&amp;id=urn:contentItem:5F7T-S751-JGHR-M1Y5-00000-00&amp;context=" TargetMode="External" /><Relationship Id="rId121" Type="http://schemas.openxmlformats.org/officeDocument/2006/relationships/hyperlink" Target="https://advance.lexis.com/api/document?collection=cases-ca&amp;id=urn:contentItem:5F81-VJW1-JF75-M182-00000-00&amp;context=" TargetMode="External" /><Relationship Id="rId122" Type="http://schemas.openxmlformats.org/officeDocument/2006/relationships/hyperlink" Target="https://advance.lexis.com/api/document?collection=cases-ca&amp;id=urn:contentItem:5F8P-SCJ1-JNJT-B3B3-00000-00&amp;context=" TargetMode="External" /><Relationship Id="rId123" Type="http://schemas.openxmlformats.org/officeDocument/2006/relationships/hyperlink" Target="https://advance.lexis.com/api/document?collection=cases-ca&amp;id=urn:contentItem:5F81-VJX1-JX3N-B16S-00000-00&amp;context=" TargetMode="External" /><Relationship Id="rId124" Type="http://schemas.openxmlformats.org/officeDocument/2006/relationships/hyperlink" Target="https://advance.lexis.com/api/document?collection=cases-ca&amp;id=urn:contentItem:5K6Y-81K1-JBT7-X2GJ-00000-00&amp;context=" TargetMode="External" /><Relationship Id="rId125" Type="http://schemas.openxmlformats.org/officeDocument/2006/relationships/header" Target="header22.xml" /><Relationship Id="rId126" Type="http://schemas.openxmlformats.org/officeDocument/2006/relationships/header" Target="header23.xml" /><Relationship Id="rId127" Type="http://schemas.openxmlformats.org/officeDocument/2006/relationships/footer" Target="footer22.xml" /><Relationship Id="rId128" Type="http://schemas.openxmlformats.org/officeDocument/2006/relationships/footer" Target="footer23.xml" /><Relationship Id="rId129" Type="http://schemas.openxmlformats.org/officeDocument/2006/relationships/header" Target="header24.xml" /><Relationship Id="rId13" Type="http://schemas.openxmlformats.org/officeDocument/2006/relationships/hyperlink" Target="https://advance.lexis.com/api/document?collection=cases-ca&amp;id=urn:contentItem:5F8P-SD31-JGHR-M4CG-00000-00&amp;context=" TargetMode="External" /><Relationship Id="rId130" Type="http://schemas.openxmlformats.org/officeDocument/2006/relationships/footer" Target="footer24.xml" /><Relationship Id="rId131" Type="http://schemas.openxmlformats.org/officeDocument/2006/relationships/hyperlink" Target="https://advance.lexis.com/api/document?collection=cases-ca&amp;id=urn:contentItem:5GCC-XVB1-JGHR-M4B9-00000-00&amp;context=" TargetMode="External" /><Relationship Id="rId132" Type="http://schemas.openxmlformats.org/officeDocument/2006/relationships/hyperlink" Target="https://advance.lexis.com/api/document?collection=legislation-ca&amp;id=urn:contentItem:5F41-1FP1-JKHB-60P1-00000-00&amp;context=" TargetMode="External" /><Relationship Id="rId133" Type="http://schemas.openxmlformats.org/officeDocument/2006/relationships/hyperlink" Target="https://advance.lexis.com/api/document?collection=legislation-ca&amp;id=urn:contentItem:5J77-2RG1-JNJT-B16Y-00000-00&amp;context=" TargetMode="External" /><Relationship Id="rId134" Type="http://schemas.openxmlformats.org/officeDocument/2006/relationships/hyperlink" Target="https://advance.lexis.com/api/document?collection=cases-ca&amp;id=urn:contentItem:5F7T-S761-JCBX-S103-00000-00&amp;context=" TargetMode="External" /><Relationship Id="rId135" Type="http://schemas.openxmlformats.org/officeDocument/2006/relationships/header" Target="header25.xml" /><Relationship Id="rId136" Type="http://schemas.openxmlformats.org/officeDocument/2006/relationships/header" Target="header26.xml" /><Relationship Id="rId137" Type="http://schemas.openxmlformats.org/officeDocument/2006/relationships/footer" Target="footer25.xml" /><Relationship Id="rId138" Type="http://schemas.openxmlformats.org/officeDocument/2006/relationships/footer" Target="footer26.xml" /><Relationship Id="rId139" Type="http://schemas.openxmlformats.org/officeDocument/2006/relationships/header" Target="header27.xml" /><Relationship Id="rId14" Type="http://schemas.openxmlformats.org/officeDocument/2006/relationships/header" Target="header4.xml" /><Relationship Id="rId140" Type="http://schemas.openxmlformats.org/officeDocument/2006/relationships/footer" Target="footer27.xml" /><Relationship Id="rId141" Type="http://schemas.openxmlformats.org/officeDocument/2006/relationships/hyperlink" Target="https://advance.lexis.com/api/document?collection=cases-ca&amp;id=urn:contentItem:5F7T-S7F1-FFFC-B1Y4-00000-00&amp;context=" TargetMode="External" /><Relationship Id="rId142" Type="http://schemas.openxmlformats.org/officeDocument/2006/relationships/hyperlink" Target="https://advance.lexis.com/api/document?collection=legislation-ca&amp;id=urn:contentItem:5F41-1FG1-FC1F-M0TW-00000-00&amp;context=" TargetMode="External" /><Relationship Id="rId143" Type="http://schemas.openxmlformats.org/officeDocument/2006/relationships/hyperlink" Target="https://advance.lexis.com/api/document?collection=legislation-ca&amp;id=urn:contentItem:5F41-1FG1-JJYN-B0DY-00000-00&amp;context=" TargetMode="External" /><Relationship Id="rId144" Type="http://schemas.openxmlformats.org/officeDocument/2006/relationships/hyperlink" Target="https://advance.lexis.com/api/document?collection=cases-ca&amp;id=urn:contentItem:5F7T-S7C1-F4NT-X3RV-00000-00&amp;context=" TargetMode="External" /><Relationship Id="rId145" Type="http://schemas.openxmlformats.org/officeDocument/2006/relationships/hyperlink" Target="https://advance.lexis.com/api/document?collection=cases-ca&amp;id=urn:contentItem:5F8T-N3V1-FC1F-M428-00000-00&amp;context=" TargetMode="External" /><Relationship Id="rId146" Type="http://schemas.openxmlformats.org/officeDocument/2006/relationships/hyperlink" Target="https://advance.lexis.com/api/document?collection=cases-ca&amp;id=urn:contentItem:5F2P-NNN1-JCRC-B0CN-00000-00&amp;context=" TargetMode="External" /><Relationship Id="rId147" Type="http://schemas.openxmlformats.org/officeDocument/2006/relationships/hyperlink" Target="https://advance.lexis.com/api/document?collection=cases-ca&amp;id=urn:contentItem:5F7T-S7C1-F4NT-X3BB-00000-00&amp;context=" TargetMode="External" /><Relationship Id="rId148" Type="http://schemas.openxmlformats.org/officeDocument/2006/relationships/hyperlink" Target="https://advance.lexis.com/api/document?collection=cases-ca&amp;id=urn:contentItem:5F7T-S7D1-JN6B-S188-00000-00&amp;context=" TargetMode="External" /><Relationship Id="rId149" Type="http://schemas.openxmlformats.org/officeDocument/2006/relationships/hyperlink" Target="https://advance.lexis.com/api/document?collection=cases-ca&amp;id=urn:contentItem:5F7T-S6T1-F2F4-G1D4-00000-00&amp;context=" TargetMode="External" /><Relationship Id="rId15" Type="http://schemas.openxmlformats.org/officeDocument/2006/relationships/header" Target="header5.xml" /><Relationship Id="rId150" Type="http://schemas.openxmlformats.org/officeDocument/2006/relationships/header" Target="header28.xml" /><Relationship Id="rId151" Type="http://schemas.openxmlformats.org/officeDocument/2006/relationships/header" Target="header29.xml" /><Relationship Id="rId152" Type="http://schemas.openxmlformats.org/officeDocument/2006/relationships/footer" Target="footer28.xml" /><Relationship Id="rId153" Type="http://schemas.openxmlformats.org/officeDocument/2006/relationships/footer" Target="footer29.xml" /><Relationship Id="rId154" Type="http://schemas.openxmlformats.org/officeDocument/2006/relationships/header" Target="header30.xml" /><Relationship Id="rId155" Type="http://schemas.openxmlformats.org/officeDocument/2006/relationships/footer" Target="footer30.xml" /><Relationship Id="rId156" Type="http://schemas.openxmlformats.org/officeDocument/2006/relationships/hyperlink" Target="https://advance.lexis.com/api/document?collection=cases-ca&amp;id=urn:contentItem:5F7T-S7K1-JKHB-62X9-00000-00&amp;context=" TargetMode="External" /><Relationship Id="rId157" Type="http://schemas.openxmlformats.org/officeDocument/2006/relationships/hyperlink" Target="https://advance.lexis.com/api/document?collection=cases-ca&amp;id=urn:contentItem:5F7T-S7K1-F1H1-2216-00000-00&amp;context=" TargetMode="External" /><Relationship Id="rId158" Type="http://schemas.openxmlformats.org/officeDocument/2006/relationships/hyperlink" Target="https://advance.lexis.com/api/document?collection=legislation-ca&amp;id=urn:contentItem:5W07-7G41-JWJ0-G0D4-00000-00&amp;context=" TargetMode="External" /><Relationship Id="rId159" Type="http://schemas.openxmlformats.org/officeDocument/2006/relationships/hyperlink" Target="https://advance.lexis.com/api/document?collection=legislation-ca&amp;id=urn:contentItem:5VYK-WB51-JW09-M4VW-00000-00&amp;context=" TargetMode="External" /><Relationship Id="rId16" Type="http://schemas.openxmlformats.org/officeDocument/2006/relationships/footer" Target="footer4.xml" /><Relationship Id="rId160" Type="http://schemas.openxmlformats.org/officeDocument/2006/relationships/hyperlink" Target="https://advance.lexis.com/api/document?collection=legislation-ca&amp;id=urn:contentItem:5F41-1FM1-FGJR-216H-00000-00&amp;context=" TargetMode="External" /><Relationship Id="rId161" Type="http://schemas.openxmlformats.org/officeDocument/2006/relationships/hyperlink" Target="https://advance.lexis.com/api/document?collection=legislation-ca&amp;id=urn:contentItem:5F3B-B7W1-JTGH-B015-00000-00&amp;context=" TargetMode="External" /><Relationship Id="rId162" Type="http://schemas.openxmlformats.org/officeDocument/2006/relationships/hyperlink" Target="https://advance.lexis.com/api/document?collection=legislation-ca&amp;id=urn:contentItem:5VYK-WB51-FC1F-M3KK-00000-00&amp;context=" TargetMode="External" /><Relationship Id="rId163" Type="http://schemas.openxmlformats.org/officeDocument/2006/relationships/hyperlink" Target="https://advance.lexis.com/api/document?collection=legislation-ca&amp;id=urn:contentItem:5VYK-WB41-F22N-X4VK-00000-00&amp;context=" TargetMode="External" /><Relationship Id="rId164" Type="http://schemas.openxmlformats.org/officeDocument/2006/relationships/hyperlink" Target="https://advance.lexis.com/api/document?collection=cases-ca&amp;id=urn:contentItem:5F8P-SDN1-FC6N-X4FY-00000-00&amp;context=" TargetMode="External" /><Relationship Id="rId165" Type="http://schemas.openxmlformats.org/officeDocument/2006/relationships/hyperlink" Target="https://advance.lexis.com/api/document?collection=cases-ca&amp;id=urn:contentItem:5F8N-K711-FG68-G3YM-00000-00&amp;context=" TargetMode="External" /><Relationship Id="rId166" Type="http://schemas.openxmlformats.org/officeDocument/2006/relationships/hyperlink" Target="https://advance.lexis.com/api/document?collection=cases-ca&amp;id=urn:contentItem:5F81-VJX1-JJYN-B543-00000-00&amp;context=" TargetMode="External" /><Relationship Id="rId167" Type="http://schemas.openxmlformats.org/officeDocument/2006/relationships/hyperlink" Target="https://advance.lexis.com/api/document?collection=cases-ca&amp;id=urn:contentItem:5F8P-SF81-JF75-M1HV-00000-00&amp;context=" TargetMode="External" /><Relationship Id="rId168" Type="http://schemas.openxmlformats.org/officeDocument/2006/relationships/hyperlink" Target="https://advance.lexis.com/api/document?collection=cases-ca&amp;id=urn:contentItem:5F7T-S781-DYMS-61JV-00000-00&amp;context=" TargetMode="External" /><Relationship Id="rId169" Type="http://schemas.openxmlformats.org/officeDocument/2006/relationships/hyperlink" Target="https://advance.lexis.com/api/document?collection=cases-ca&amp;id=urn:contentItem:5F7T-S6Y1-DY33-B0F6-00000-00&amp;context=" TargetMode="External" /><Relationship Id="rId17" Type="http://schemas.openxmlformats.org/officeDocument/2006/relationships/footer" Target="footer5.xml" /><Relationship Id="rId170" Type="http://schemas.openxmlformats.org/officeDocument/2006/relationships/hyperlink" Target="https://advance.lexis.com/api/document?collection=cases-ca&amp;id=urn:contentItem:5F8T-N3S1-JBDT-B09R-00000-00&amp;context=" TargetMode="External" /><Relationship Id="rId171" Type="http://schemas.openxmlformats.org/officeDocument/2006/relationships/hyperlink" Target="https://advance.lexis.com/api/document?collection=cases-ca&amp;id=urn:contentItem:5F7T-S6V1-F2TK-223D-00000-00&amp;context=" TargetMode="External" /><Relationship Id="rId172" Type="http://schemas.openxmlformats.org/officeDocument/2006/relationships/hyperlink" Target="https://advance.lexis.com/api/document?collection=cases-ca&amp;id=urn:contentItem:5F7T-S771-F81W-2294-00000-00&amp;context=" TargetMode="External" /><Relationship Id="rId173" Type="http://schemas.openxmlformats.org/officeDocument/2006/relationships/hyperlink" Target="https://advance.lexis.com/api/document?collection=cases-ca&amp;id=urn:contentItem:5F8W-M4C1-JK4W-M2CH-00000-00&amp;context=" TargetMode="External" /><Relationship Id="rId174" Type="http://schemas.openxmlformats.org/officeDocument/2006/relationships/hyperlink" Target="https://advance.lexis.com/api/document?collection=cases-ca&amp;id=urn:contentItem:5F7T-V421-JNY7-X1CF-00000-00&amp;context=" TargetMode="External" /><Relationship Id="rId175" Type="http://schemas.openxmlformats.org/officeDocument/2006/relationships/hyperlink" Target="https://advance.lexis.com/api/document?collection=legislation-ca&amp;id=urn:contentItem:5VYK-W9V1-F4NT-X507-00000-00&amp;context=" TargetMode="External" /><Relationship Id="rId176" Type="http://schemas.openxmlformats.org/officeDocument/2006/relationships/hyperlink" Target="https://advance.lexis.com/api/document?collection=legislation-ca&amp;id=urn:contentItem:5VYK-WB61-JJD0-G4F3-00000-00&amp;context=" TargetMode="External" /><Relationship Id="rId177" Type="http://schemas.openxmlformats.org/officeDocument/2006/relationships/hyperlink" Target="https://advance.lexis.com/api/document?collection=cases-ca&amp;id=urn:contentItem:5F7V-3DK1-JP9P-G3HV-00000-00&amp;context=" TargetMode="External" /><Relationship Id="rId178" Type="http://schemas.openxmlformats.org/officeDocument/2006/relationships/hyperlink" Target="https://advance.lexis.com/api/document?collection=legislation-ca&amp;id=urn:contentItem:5VYC-10X1-F4GK-M2BP-00000-00&amp;context=" TargetMode="External" /><Relationship Id="rId179" Type="http://schemas.openxmlformats.org/officeDocument/2006/relationships/hyperlink" Target="https://advance.lexis.com/api/document?collection=cases-ca&amp;id=urn:contentItem:5F7T-S731-JNJT-B1YS-00000-00&amp;context=" TargetMode="External" /><Relationship Id="rId18" Type="http://schemas.openxmlformats.org/officeDocument/2006/relationships/header" Target="header6.xml" /><Relationship Id="rId180" Type="http://schemas.openxmlformats.org/officeDocument/2006/relationships/hyperlink" Target="https://advance.lexis.com/api/document?collection=cases-ca&amp;id=urn:contentItem:5F81-VJY1-JWBS-64RM-00000-00&amp;context=" TargetMode="External" /><Relationship Id="rId181" Type="http://schemas.openxmlformats.org/officeDocument/2006/relationships/hyperlink" Target="https://advance.lexis.com/api/document?collection=cases-ca&amp;id=urn:contentItem:5F82-1SH1-F8KH-X1N0-00000-00&amp;context=" TargetMode="External" /><Relationship Id="rId182" Type="http://schemas.openxmlformats.org/officeDocument/2006/relationships/hyperlink" Target="https://advance.lexis.com/api/document?collection=cases-ca&amp;id=urn:contentItem:5F16-93C1-F65M-60HM-00000-00&amp;context=" TargetMode="External" /><Relationship Id="rId183" Type="http://schemas.openxmlformats.org/officeDocument/2006/relationships/hyperlink" Target="https://advance.lexis.com/api/document?collection=cases-ca&amp;id=urn:contentItem:5F7T-S721-FD4T-B0MR-00000-00&amp;context=" TargetMode="External" /><Relationship Id="rId184" Type="http://schemas.openxmlformats.org/officeDocument/2006/relationships/header" Target="header31.xml" /><Relationship Id="rId185" Type="http://schemas.openxmlformats.org/officeDocument/2006/relationships/header" Target="header32.xml" /><Relationship Id="rId186" Type="http://schemas.openxmlformats.org/officeDocument/2006/relationships/footer" Target="footer31.xml" /><Relationship Id="rId187" Type="http://schemas.openxmlformats.org/officeDocument/2006/relationships/footer" Target="footer32.xml" /><Relationship Id="rId188" Type="http://schemas.openxmlformats.org/officeDocument/2006/relationships/header" Target="header33.xml" /><Relationship Id="rId189" Type="http://schemas.openxmlformats.org/officeDocument/2006/relationships/footer" Target="footer33.xml" /><Relationship Id="rId19" Type="http://schemas.openxmlformats.org/officeDocument/2006/relationships/footer" Target="footer6.xml" /><Relationship Id="rId190" Type="http://schemas.openxmlformats.org/officeDocument/2006/relationships/hyperlink" Target="https://advance.lexis.com/api/document?collection=cases-ca&amp;id=urn:contentItem:5F7T-S7F1-JFKM-61JV-00000-00&amp;context=" TargetMode="External" /><Relationship Id="rId191" Type="http://schemas.openxmlformats.org/officeDocument/2006/relationships/hyperlink" Target="https://advance.lexis.com/api/document?collection=legislation-ca&amp;id=urn:contentItem:5TBM-3RM1-F7VM-S13S-00000-00&amp;context=" TargetMode="External" /><Relationship Id="rId192" Type="http://schemas.openxmlformats.org/officeDocument/2006/relationships/hyperlink" Target="https://advance.lexis.com/api/document?collection=cases-ca&amp;id=urn:contentItem:5F7T-S781-F27X-612F-00000-00&amp;context=" TargetMode="External" /><Relationship Id="rId193" Type="http://schemas.openxmlformats.org/officeDocument/2006/relationships/hyperlink" Target="https://advance.lexis.com/api/document?collection=legislation-ca&amp;id=urn:contentItem:5W2C-X5M1-F2TK-22KN-00000-00&amp;context=" TargetMode="External" /><Relationship Id="rId194" Type="http://schemas.openxmlformats.org/officeDocument/2006/relationships/hyperlink" Target="https://advance.lexis.com/api/document?collection=cases-ca&amp;id=urn:contentItem:5F8T-N3V1-FC1F-M497-00000-00&amp;context=" TargetMode="External" /><Relationship Id="rId195" Type="http://schemas.openxmlformats.org/officeDocument/2006/relationships/hyperlink" Target="https://advance.lexis.com/api/document?collection=cases-ca&amp;id=urn:contentItem:5F8T-N3V1-FC1F-M486-00000-00&amp;context=" TargetMode="External" /><Relationship Id="rId196" Type="http://schemas.openxmlformats.org/officeDocument/2006/relationships/hyperlink" Target="https://advance.lexis.com/api/document?collection=cases-ca&amp;id=urn:contentItem:5F8P-SDH1-JBDT-B33G-00000-00&amp;context=" TargetMode="External" /><Relationship Id="rId197" Type="http://schemas.openxmlformats.org/officeDocument/2006/relationships/hyperlink" Target="https://advance.lexis.com/api/document?collection=cases-ca&amp;id=urn:contentItem:5F8P-SDT1-JSRM-63D9-00000-00&amp;context=" TargetMode="External" /><Relationship Id="rId198" Type="http://schemas.openxmlformats.org/officeDocument/2006/relationships/hyperlink" Target="https://advance.lexis.com/api/document?collection=cases-ca&amp;id=urn:contentItem:5F82-1SF1-JB7K-236R-00000-00&amp;context=" TargetMode="External" /><Relationship Id="rId199" Type="http://schemas.openxmlformats.org/officeDocument/2006/relationships/hyperlink" Target="https://advance.lexis.com/api/document?collection=cases-ca&amp;id=urn:contentItem:5F8P-SDM1-F5T5-M2K8-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81-F06F-2428-00000-00&amp;context=" TargetMode="External" /><Relationship Id="rId200" Type="http://schemas.openxmlformats.org/officeDocument/2006/relationships/hyperlink" Target="https://advance.lexis.com/api/document?collection=cases-ca&amp;id=urn:contentItem:5F81-VJX1-JJYN-B519-00000-00&amp;context=" TargetMode="External" /><Relationship Id="rId201" Type="http://schemas.openxmlformats.org/officeDocument/2006/relationships/hyperlink" Target="https://advance.lexis.com/api/document?collection=cases-ca&amp;id=urn:contentItem:5F7T-S751-FJDY-X419-00000-00&amp;context=" TargetMode="External" /><Relationship Id="rId202" Type="http://schemas.openxmlformats.org/officeDocument/2006/relationships/hyperlink" Target="https://advance.lexis.com/api/document?collection=cases-ca&amp;id=urn:contentItem:5F82-1SD1-FC1F-M366-00000-00&amp;context=" TargetMode="External" /><Relationship Id="rId203" Type="http://schemas.openxmlformats.org/officeDocument/2006/relationships/hyperlink" Target="https://advance.lexis.com/api/document?collection=cases-ca&amp;id=urn:contentItem:5F8T-N3V1-FC1F-M46D-00000-00&amp;context=" TargetMode="External" /><Relationship Id="rId204" Type="http://schemas.openxmlformats.org/officeDocument/2006/relationships/hyperlink" Target="https://advance.lexis.com/api/document?collection=cases-ca&amp;id=urn:contentItem:5F81-VJX1-FD4T-B2WK-00000-00&amp;context=" TargetMode="External" /><Relationship Id="rId205" Type="http://schemas.openxmlformats.org/officeDocument/2006/relationships/hyperlink" Target="https://advance.lexis.com/api/document?collection=cases-ca&amp;id=urn:contentItem:5F8P-SGC1-F60C-X3M5-00000-00&amp;context=" TargetMode="External" /><Relationship Id="rId206" Type="http://schemas.openxmlformats.org/officeDocument/2006/relationships/hyperlink" Target="https://advance.lexis.com/api/document?collection=cases-ca&amp;id=urn:contentItem:5F7T-S761-F81W-2256-00000-00&amp;context=" TargetMode="External" /><Relationship Id="rId207" Type="http://schemas.openxmlformats.org/officeDocument/2006/relationships/hyperlink" Target="https://advance.lexis.com/api/document?collection=cases-ca&amp;id=urn:contentItem:5F8P-SDG1-FJDY-X1H0-00000-00&amp;context=" TargetMode="External" /><Relationship Id="rId208" Type="http://schemas.openxmlformats.org/officeDocument/2006/relationships/hyperlink" Target="https://advance.lexis.com/api/document?collection=cases-ca&amp;id=urn:contentItem:5F7T-S731-FG12-62D5-00000-00&amp;context=" TargetMode="External" /><Relationship Id="rId209" Type="http://schemas.openxmlformats.org/officeDocument/2006/relationships/hyperlink" Target="https://advance.lexis.com/api/document?collection=cases-ca&amp;id=urn:contentItem:5F7T-S741-DY89-M3MH-00000-00&amp;context=" TargetMode="External" /><Relationship Id="rId21" Type="http://schemas.openxmlformats.org/officeDocument/2006/relationships/hyperlink" Target="https://advance.lexis.com/api/document?collection=cases-ca&amp;id=urn:contentItem:5F7T-S7G1-JBT7-X40C-00000-00&amp;context=" TargetMode="External" /><Relationship Id="rId210" Type="http://schemas.openxmlformats.org/officeDocument/2006/relationships/hyperlink" Target="https://advance.lexis.com/api/document?collection=cases-ca&amp;id=urn:contentItem:5F7T-S751-F361-M0R6-00000-00&amp;context=" TargetMode="External" /><Relationship Id="rId211" Type="http://schemas.openxmlformats.org/officeDocument/2006/relationships/hyperlink" Target="https://advance.lexis.com/api/document?collection=cases-ca&amp;id=urn:contentItem:5F7T-S7C1-JCJ5-20GK-00000-00&amp;context=" TargetMode="External" /><Relationship Id="rId212" Type="http://schemas.openxmlformats.org/officeDocument/2006/relationships/hyperlink" Target="https://advance.lexis.com/api/document?collection=cases-ca&amp;id=urn:contentItem:5F7T-S741-DY89-M39J-00000-00&amp;context=" TargetMode="External" /><Relationship Id="rId213" Type="http://schemas.openxmlformats.org/officeDocument/2006/relationships/hyperlink" Target="https://advance.lexis.com/api/document?collection=cases-ca&amp;id=urn:contentItem:5F7T-S771-JTGH-B1KF-00000-00&amp;context=" TargetMode="External" /><Relationship Id="rId214" Type="http://schemas.openxmlformats.org/officeDocument/2006/relationships/hyperlink" Target="https://advance.lexis.com/api/document?collection=cases-ca&amp;id=urn:contentItem:5F7T-S7F1-JK4W-M1D5-00000-00&amp;context=" TargetMode="External" /><Relationship Id="rId215" Type="http://schemas.openxmlformats.org/officeDocument/2006/relationships/hyperlink" Target="https://advance.lexis.com/api/document?collection=cases-ca&amp;id=urn:contentItem:5F16-9371-F27X-61RR-00000-00&amp;context=" TargetMode="External" /><Relationship Id="rId216" Type="http://schemas.openxmlformats.org/officeDocument/2006/relationships/hyperlink" Target="https://advance.lexis.com/api/document?collection=cases-ca&amp;id=urn:contentItem:5F8P-SDT1-JJYN-B39V-00000-00&amp;context=" TargetMode="External" /><Relationship Id="rId217" Type="http://schemas.openxmlformats.org/officeDocument/2006/relationships/hyperlink" Target="https://advance.lexis.com/api/document?collection=cases-ca&amp;id=urn:contentItem:5F7T-S7F1-FFFC-B1RB-00000-00&amp;context=" TargetMode="External" /><Relationship Id="rId218" Type="http://schemas.openxmlformats.org/officeDocument/2006/relationships/hyperlink" Target="https://advance.lexis.com/api/document?collection=cases-ca&amp;id=urn:contentItem:5F7T-S781-F7G6-63N4-00000-00&amp;context=" TargetMode="External" /><Relationship Id="rId219" Type="http://schemas.openxmlformats.org/officeDocument/2006/relationships/hyperlink" Target="https://advance.lexis.com/api/document?collection=cases-ca&amp;id=urn:contentItem:5F7T-S7F1-FJTD-G379-00000-00&amp;context=" TargetMode="External" /><Relationship Id="rId22" Type="http://schemas.openxmlformats.org/officeDocument/2006/relationships/hyperlink" Target="https://advance.lexis.com/api/document?collection=cases-ca&amp;id=urn:contentItem:5F81-VJV1-F8D9-M0NM-00000-00&amp;context=" TargetMode="External" /><Relationship Id="rId220" Type="http://schemas.openxmlformats.org/officeDocument/2006/relationships/hyperlink" Target="https://advance.lexis.com/api/document?collection=cases-ca&amp;id=urn:contentItem:5F7T-S771-JJD0-G15J-00000-00&amp;context=" TargetMode="External" /><Relationship Id="rId221" Type="http://schemas.openxmlformats.org/officeDocument/2006/relationships/hyperlink" Target="https://advance.lexis.com/api/document?collection=cases-ca&amp;id=urn:contentItem:5F8P-SDT1-JCJ5-24DM-00000-00&amp;context=" TargetMode="External" /><Relationship Id="rId222" Type="http://schemas.openxmlformats.org/officeDocument/2006/relationships/hyperlink" Target="https://advance.lexis.com/api/document?collection=cases-ca&amp;id=urn:contentItem:5F81-VJX1-FCK4-G1C0-00000-00&amp;context=" TargetMode="External" /><Relationship Id="rId223" Type="http://schemas.openxmlformats.org/officeDocument/2006/relationships/hyperlink" Target="https://advance.lexis.com/api/document?collection=cases-ca&amp;id=urn:contentItem:5F8P-SDP1-JJ1H-X1BC-00000-00&amp;context=" TargetMode="External" /><Relationship Id="rId224" Type="http://schemas.openxmlformats.org/officeDocument/2006/relationships/hyperlink" Target="https://advance.lexis.com/api/document?collection=cases-ca&amp;id=urn:contentItem:5F8P-SDT1-FC6N-X539-00000-00&amp;context=" TargetMode="External" /><Relationship Id="rId225" Type="http://schemas.openxmlformats.org/officeDocument/2006/relationships/hyperlink" Target="https://advance.lexis.com/api/document?collection=cases-ca&amp;id=urn:contentItem:5F7T-S7D1-JN6B-S0WJ-00000-00&amp;context=" TargetMode="External" /><Relationship Id="rId226" Type="http://schemas.openxmlformats.org/officeDocument/2006/relationships/hyperlink" Target="https://advance.lexis.com/api/document?collection=cases-ca&amp;id=urn:contentItem:5F81-VJX1-FGY5-M3C6-00000-00&amp;context=" TargetMode="External" /><Relationship Id="rId227" Type="http://schemas.openxmlformats.org/officeDocument/2006/relationships/hyperlink" Target="https://advance.lexis.com/api/document?collection=cases-ca&amp;id=urn:contentItem:5F82-1SF1-JKPJ-G280-00000-00&amp;context=" TargetMode="External" /><Relationship Id="rId228" Type="http://schemas.openxmlformats.org/officeDocument/2006/relationships/hyperlink" Target="https://advance.lexis.com/api/document?collection=cases-ca&amp;id=urn:contentItem:5F7T-S7D1-JS5Y-B2D4-00000-00&amp;context=" TargetMode="External" /><Relationship Id="rId229" Type="http://schemas.openxmlformats.org/officeDocument/2006/relationships/hyperlink" Target="https://advance.lexis.com/api/document?collection=cases-ca&amp;id=urn:contentItem:5F82-1SF1-F361-M41C-00000-00&amp;context=" TargetMode="External" /><Relationship Id="rId23" Type="http://schemas.openxmlformats.org/officeDocument/2006/relationships/hyperlink" Target="https://advance.lexis.com/api/document?collection=cases-ca&amp;id=urn:contentItem:5F81-VJT1-JK4W-M4G8-00000-00&amp;context=" TargetMode="External" /><Relationship Id="rId230" Type="http://schemas.openxmlformats.org/officeDocument/2006/relationships/hyperlink" Target="https://advance.lexis.com/api/document?collection=cases-ca&amp;id=urn:contentItem:5F7T-S7F1-JK4W-M19F-00000-00&amp;context=" TargetMode="External" /><Relationship Id="rId231" Type="http://schemas.openxmlformats.org/officeDocument/2006/relationships/hyperlink" Target="https://advance.lexis.com/api/document?collection=cases-ca&amp;id=urn:contentItem:5F7T-S701-JJYN-B2WC-00000-00&amp;context=" TargetMode="External" /><Relationship Id="rId232" Type="http://schemas.openxmlformats.org/officeDocument/2006/relationships/hyperlink" Target="https://advance.lexis.com/api/document?collection=cases-ca&amp;id=urn:contentItem:5F81-VJV1-F8D9-M0BS-00000-00&amp;context=" TargetMode="External" /><Relationship Id="rId233" Type="http://schemas.openxmlformats.org/officeDocument/2006/relationships/hyperlink" Target="https://advance.lexis.com/api/document?collection=cases-ca&amp;id=urn:contentItem:5F8T-N3S1-JBDT-B08K-00000-00&amp;context=" TargetMode="External" /><Relationship Id="rId234" Type="http://schemas.openxmlformats.org/officeDocument/2006/relationships/hyperlink" Target="https://advance.lexis.com/api/document?collection=cases-ca&amp;id=urn:contentItem:5F8P-SC81-FFMK-M4R1-00000-00&amp;context=" TargetMode="External" /><Relationship Id="rId235" Type="http://schemas.openxmlformats.org/officeDocument/2006/relationships/hyperlink" Target="https://advance.lexis.com/api/document?collection=cases-ca&amp;id=urn:contentItem:5F16-9381-JJSF-222V-00000-00&amp;context=" TargetMode="External" /><Relationship Id="rId236" Type="http://schemas.openxmlformats.org/officeDocument/2006/relationships/hyperlink" Target="https://advance.lexis.com/api/document?collection=cases-ca&amp;id=urn:contentItem:5F81-VJX1-F5T5-M4HH-00000-00&amp;context=" TargetMode="External" /><Relationship Id="rId237" Type="http://schemas.openxmlformats.org/officeDocument/2006/relationships/hyperlink" Target="https://advance.lexis.com/api/document?collection=cases-ca&amp;id=urn:contentItem:5F81-VJW1-JGPY-X4RK-00000-00&amp;context=" TargetMode="External" /><Relationship Id="rId238" Type="http://schemas.openxmlformats.org/officeDocument/2006/relationships/hyperlink" Target="https://advance.lexis.com/api/document?collection=cases-ca&amp;id=urn:contentItem:5F16-9301-JFDC-X1XW-00000-00&amp;context=" TargetMode="External" /><Relationship Id="rId239" Type="http://schemas.openxmlformats.org/officeDocument/2006/relationships/hyperlink" Target="https://advance.lexis.com/api/document?collection=cases-ca&amp;id=urn:contentItem:5F8T-N3V1-JF75-M3FN-00000-00&amp;context=" TargetMode="External" /><Relationship Id="rId24" Type="http://schemas.openxmlformats.org/officeDocument/2006/relationships/hyperlink" Target="https://advance.lexis.com/api/document?collection=cases-ca&amp;id=urn:contentItem:5F16-9301-JS0R-207S-00000-00&amp;context=" TargetMode="External" /><Relationship Id="rId240" Type="http://schemas.openxmlformats.org/officeDocument/2006/relationships/hyperlink" Target="https://advance.lexis.com/api/document?collection=cases-ca&amp;id=urn:contentItem:5F7T-S7C1-FGRY-B0NK-00000-00&amp;context=" TargetMode="External" /><Relationship Id="rId241" Type="http://schemas.openxmlformats.org/officeDocument/2006/relationships/hyperlink" Target="https://advance.lexis.com/api/document?collection=cases-ca&amp;id=urn:contentItem:5F7T-S7D1-F7ND-G070-00000-00&amp;context=" TargetMode="External" /><Relationship Id="rId242" Type="http://schemas.openxmlformats.org/officeDocument/2006/relationships/hyperlink" Target="https://advance.lexis.com/api/document?collection=cases-ca&amp;id=urn:contentItem:5F7T-S781-F27X-6143-00000-00&amp;context=" TargetMode="External" /><Relationship Id="rId243" Type="http://schemas.openxmlformats.org/officeDocument/2006/relationships/image" Target="media/image1.jpeg" /><Relationship Id="rId244" Type="http://schemas.openxmlformats.org/officeDocument/2006/relationships/image" Target="media/image2.png" /><Relationship Id="rId245" Type="http://schemas.openxmlformats.org/officeDocument/2006/relationships/image" Target="media/image3.jpeg" /><Relationship Id="rId246" Type="http://schemas.openxmlformats.org/officeDocument/2006/relationships/image" Target="media/image4.jpeg" /><Relationship Id="rId247" Type="http://schemas.openxmlformats.org/officeDocument/2006/relationships/header" Target="header34.xml" /><Relationship Id="rId248" Type="http://schemas.openxmlformats.org/officeDocument/2006/relationships/header" Target="header35.xml" /><Relationship Id="rId249" Type="http://schemas.openxmlformats.org/officeDocument/2006/relationships/footer" Target="footer34.xml" /><Relationship Id="rId25" Type="http://schemas.openxmlformats.org/officeDocument/2006/relationships/hyperlink" Target="https://advance.lexis.com/api/document?collection=cases-ca&amp;id=urn:contentItem:5F16-9301-FD4T-B22D-00000-00&amp;context=" TargetMode="External" /><Relationship Id="rId250" Type="http://schemas.openxmlformats.org/officeDocument/2006/relationships/footer" Target="footer35.xml" /><Relationship Id="rId251" Type="http://schemas.openxmlformats.org/officeDocument/2006/relationships/header" Target="header36.xml" /><Relationship Id="rId252" Type="http://schemas.openxmlformats.org/officeDocument/2006/relationships/footer" Target="footer36.xml" /><Relationship Id="rId253" Type="http://schemas.openxmlformats.org/officeDocument/2006/relationships/hyperlink" Target="https://advance.lexis.com/api/document?collection=cases-ca&amp;id=urn:contentItem:5F7T-S7G1-JX3N-B2G2-00000-00&amp;context=" TargetMode="External" /><Relationship Id="rId254" Type="http://schemas.openxmlformats.org/officeDocument/2006/relationships/hyperlink" Target="https://advance.lexis.com/api/document?collection=cases-ca&amp;id=urn:contentItem:5K6Y-81M1-DXHD-G2D6-00000-00&amp;context=" TargetMode="External" /><Relationship Id="rId255" Type="http://schemas.openxmlformats.org/officeDocument/2006/relationships/hyperlink" Target="https://advance.lexis.com/api/document?collection=legislation-ca&amp;id=urn:contentItem:5F41-1FG1-JJYN-B06K-00000-00&amp;context=" TargetMode="External" /><Relationship Id="rId256" Type="http://schemas.openxmlformats.org/officeDocument/2006/relationships/hyperlink" Target="https://advance.lexis.com/api/document?collection=legislation-ca&amp;id=urn:contentItem:5F41-1FH1-JSRM-60KK-00000-00&amp;context=" TargetMode="External" /><Relationship Id="rId257" Type="http://schemas.openxmlformats.org/officeDocument/2006/relationships/hyperlink" Target="https://advance.lexis.com/api/document?collection=cases-ca&amp;id=urn:contentItem:5F7T-S7G1-FCYK-20F6-00000-00&amp;context=" TargetMode="External" /><Relationship Id="rId258" Type="http://schemas.openxmlformats.org/officeDocument/2006/relationships/hyperlink" Target="https://advance.lexis.com/api/document?collection=cases-ca&amp;id=urn:contentItem:5F7T-S7G1-JWR6-S1T2-00000-00&amp;context=" TargetMode="External" /><Relationship Id="rId259" Type="http://schemas.openxmlformats.org/officeDocument/2006/relationships/hyperlink" Target="https://advance.lexis.com/api/document?collection=cases-ca&amp;id=urn:contentItem:5F7T-S7G1-JPP5-21V3-00000-00&amp;context=" TargetMode="External" /><Relationship Id="rId26" Type="http://schemas.openxmlformats.org/officeDocument/2006/relationships/hyperlink" Target="https://advance.lexis.com/api/document?collection=cases-ca&amp;id=urn:contentItem:5F7T-S6Y1-JPP5-21D0-00000-00&amp;context=" TargetMode="External" /><Relationship Id="rId260" Type="http://schemas.openxmlformats.org/officeDocument/2006/relationships/hyperlink" Target="https://advance.lexis.com/api/document?collection=cases-ca&amp;id=urn:contentItem:5F7T-S7G1-F5KY-B1H7-00000-00&amp;context=" TargetMode="External" /><Relationship Id="rId261" Type="http://schemas.openxmlformats.org/officeDocument/2006/relationships/hyperlink" Target="https://advance.lexis.com/api/document?collection=cases-ca&amp;id=urn:contentItem:5F7T-S7F1-JBT7-X2KB-00000-00&amp;context=" TargetMode="External" /><Relationship Id="rId262" Type="http://schemas.openxmlformats.org/officeDocument/2006/relationships/hyperlink" Target="https://advance.lexis.com/api/document?collection=cases-ca&amp;id=urn:contentItem:5F7T-S7B1-JSRM-606V-00000-00&amp;context=" TargetMode="External" /><Relationship Id="rId263" Type="http://schemas.openxmlformats.org/officeDocument/2006/relationships/hyperlink" Target="https://advance.lexis.com/api/document?collection=cases-ca&amp;id=urn:contentItem:5F7T-S781-F900-G138-00000-00&amp;context=" TargetMode="External" /><Relationship Id="rId264" Type="http://schemas.openxmlformats.org/officeDocument/2006/relationships/hyperlink" Target="https://advance.lexis.com/api/document?collection=cases-ca&amp;id=urn:contentItem:5F7T-S781-F27X-615P-00000-00&amp;context=" TargetMode="External" /><Relationship Id="rId265" Type="http://schemas.openxmlformats.org/officeDocument/2006/relationships/hyperlink" Target="https://advance.lexis.com/api/document?collection=cases-ca&amp;id=urn:contentItem:5F7T-S771-JN14-G2PR-00000-00&amp;context=" TargetMode="External" /><Relationship Id="rId266" Type="http://schemas.openxmlformats.org/officeDocument/2006/relationships/hyperlink" Target="https://advance.lexis.com/api/document?collection=cases-ca&amp;id=urn:contentItem:5F8T-N3S1-JT99-250W-00000-00&amp;context=" TargetMode="External" /><Relationship Id="rId267" Type="http://schemas.openxmlformats.org/officeDocument/2006/relationships/hyperlink" Target="https://advance.lexis.com/api/document?collection=cases-ca&amp;id=urn:contentItem:5F7T-S761-F81W-21RK-00000-00&amp;context=" TargetMode="External" /><Relationship Id="rId268" Type="http://schemas.openxmlformats.org/officeDocument/2006/relationships/hyperlink" Target="https://advance.lexis.com/api/document?collection=cases-ca&amp;id=urn:contentItem:5F8T-N3V1-JF75-M3S6-00000-00&amp;context=" TargetMode="External" /><Relationship Id="rId269" Type="http://schemas.openxmlformats.org/officeDocument/2006/relationships/hyperlink" Target="https://advance.lexis.com/api/document?collection=cases-ca&amp;id=urn:contentItem:5F7T-S731-F016-S3D3-00000-00&amp;context=" TargetMode="External" /><Relationship Id="rId27" Type="http://schemas.openxmlformats.org/officeDocument/2006/relationships/hyperlink" Target="https://advance.lexis.com/api/document?collection=cases-ca&amp;id=urn:contentItem:5F8T-N3R1-JJSF-22YV-00000-00&amp;context=" TargetMode="External" /><Relationship Id="rId270" Type="http://schemas.openxmlformats.org/officeDocument/2006/relationships/hyperlink" Target="https://advance.lexis.com/api/document?collection=cases-ca&amp;id=urn:contentItem:5F7T-S751-JCJ5-24CV-00000-00&amp;context=" TargetMode="External" /><Relationship Id="rId271" Type="http://schemas.openxmlformats.org/officeDocument/2006/relationships/hyperlink" Target="https://advance.lexis.com/api/document?collection=cases-ca&amp;id=urn:contentItem:5F7T-S711-JNY7-X30K-00000-00&amp;context=" TargetMode="External" /><Relationship Id="rId272" Type="http://schemas.openxmlformats.org/officeDocument/2006/relationships/hyperlink" Target="https://advance.lexis.com/api/document?collection=cases-ca&amp;id=urn:contentItem:5F7T-S6W1-JYYX-61TX-00000-00&amp;context=" TargetMode="External" /><Relationship Id="rId273" Type="http://schemas.openxmlformats.org/officeDocument/2006/relationships/hyperlink" Target="https://advance.lexis.com/api/document?collection=cases-ca&amp;id=urn:contentItem:5F7T-S731-DY33-B0YN-00000-00&amp;context=" TargetMode="External" /><Relationship Id="rId274" Type="http://schemas.openxmlformats.org/officeDocument/2006/relationships/hyperlink" Target="https://advance.lexis.com/api/document?collection=cases-ca&amp;id=urn:contentItem:5F7T-S731-F1WF-M2HD-00000-00&amp;context=" TargetMode="External" /><Relationship Id="rId275" Type="http://schemas.openxmlformats.org/officeDocument/2006/relationships/hyperlink" Target="https://advance.lexis.com/api/document?collection=cases-ca&amp;id=urn:contentItem:5F7T-S701-JBT7-X23F-00000-00&amp;context=" TargetMode="External" /><Relationship Id="rId276" Type="http://schemas.openxmlformats.org/officeDocument/2006/relationships/hyperlink" Target="https://advance.lexis.com/api/document?collection=cases-ca&amp;id=urn:contentItem:5F7T-S731-FFFC-B0K2-00000-00&amp;context=" TargetMode="External" /><Relationship Id="rId277" Type="http://schemas.openxmlformats.org/officeDocument/2006/relationships/hyperlink" Target="https://advance.lexis.com/api/document?collection=cases-ca&amp;id=urn:contentItem:5F7T-S701-JF75-M4N2-00000-00&amp;context=" TargetMode="External" /><Relationship Id="rId278" Type="http://schemas.openxmlformats.org/officeDocument/2006/relationships/hyperlink" Target="https://advance.lexis.com/api/document?collection=cases-ca&amp;id=urn:contentItem:5F82-1SB1-JPP5-24C9-00000-00&amp;context=" TargetMode="External" /><Relationship Id="rId279" Type="http://schemas.openxmlformats.org/officeDocument/2006/relationships/header" Target="header37.xml" /><Relationship Id="rId28" Type="http://schemas.openxmlformats.org/officeDocument/2006/relationships/header" Target="header7.xml" /><Relationship Id="rId280" Type="http://schemas.openxmlformats.org/officeDocument/2006/relationships/header" Target="header38.xml" /><Relationship Id="rId281" Type="http://schemas.openxmlformats.org/officeDocument/2006/relationships/footer" Target="footer37.xml" /><Relationship Id="rId282" Type="http://schemas.openxmlformats.org/officeDocument/2006/relationships/footer" Target="footer38.xml" /><Relationship Id="rId283" Type="http://schemas.openxmlformats.org/officeDocument/2006/relationships/header" Target="header39.xml" /><Relationship Id="rId284" Type="http://schemas.openxmlformats.org/officeDocument/2006/relationships/footer" Target="footer39.xml" /><Relationship Id="rId285" Type="http://schemas.openxmlformats.org/officeDocument/2006/relationships/hyperlink" Target="https://advance.lexis.com/api/document?collection=cases-ca&amp;id=urn:contentItem:5F7T-S7N1-JC5P-G234-00000-00&amp;context=" TargetMode="External" /><Relationship Id="rId286" Type="http://schemas.openxmlformats.org/officeDocument/2006/relationships/hyperlink" Target="https://advance.lexis.com/api/document?collection=legislation-ca&amp;id=urn:contentItem:5F41-1FH1-F361-M0J2-00000-00&amp;context=" TargetMode="External" /><Relationship Id="rId287" Type="http://schemas.openxmlformats.org/officeDocument/2006/relationships/hyperlink" Target="https://advance.lexis.com/api/document?collection=cases-ca&amp;id=urn:contentItem:5F7T-S711-JNS1-M0X2-00000-00&amp;context=" TargetMode="External" /><Relationship Id="rId288" Type="http://schemas.openxmlformats.org/officeDocument/2006/relationships/hyperlink" Target="https://advance.lexis.com/api/document?collection=cases-ca&amp;id=urn:contentItem:5F7T-S721-FG12-61VW-00000-00&amp;context=" TargetMode="External" /><Relationship Id="rId289" Type="http://schemas.openxmlformats.org/officeDocument/2006/relationships/hyperlink" Target="https://advance.lexis.com/api/document?collection=cases-ca&amp;id=urn:contentItem:5F7T-S7D1-FBFS-S1M7-00000-00&amp;context=" TargetMode="External" /><Relationship Id="rId29" Type="http://schemas.openxmlformats.org/officeDocument/2006/relationships/header" Target="header8.xml" /><Relationship Id="rId290" Type="http://schemas.openxmlformats.org/officeDocument/2006/relationships/hyperlink" Target="https://advance.lexis.com/api/document?collection=cases-ca&amp;id=urn:contentItem:5F7T-S7C1-F7VM-S3T7-00000-00&amp;context=" TargetMode="External" /><Relationship Id="rId291" Type="http://schemas.openxmlformats.org/officeDocument/2006/relationships/hyperlink" Target="https://advance.lexis.com/api/document?collection=cases-ca&amp;id=urn:contentItem:5F7T-S7D1-JN6B-S131-00000-00&amp;context=" TargetMode="External" /><Relationship Id="rId292" Type="http://schemas.openxmlformats.org/officeDocument/2006/relationships/hyperlink" Target="https://advance.lexis.com/api/document?collection=cases-ca&amp;id=urn:contentItem:5F7T-S7H1-F4GK-M3FV-00000-00&amp;context=" TargetMode="External" /><Relationship Id="rId293" Type="http://schemas.openxmlformats.org/officeDocument/2006/relationships/hyperlink" Target="https://advance.lexis.com/api/document?collection=cases-ca&amp;id=urn:contentItem:5F7T-S7H1-JS5Y-B33T-00000-00&amp;context=" TargetMode="External" /><Relationship Id="rId294" Type="http://schemas.openxmlformats.org/officeDocument/2006/relationships/hyperlink" Target="https://advance.lexis.com/api/document?collection=cases-ca&amp;id=urn:contentItem:5F7T-S7J1-JYYX-624X-00000-00&amp;context=" TargetMode="External" /><Relationship Id="rId295" Type="http://schemas.openxmlformats.org/officeDocument/2006/relationships/hyperlink" Target="https://advance.lexis.com/api/document?collection=cases-ca&amp;id=urn:contentItem:5F7T-S7N1-JJ1H-X2WC-00000-00&amp;context=" TargetMode="External" /><Relationship Id="rId296" Type="http://schemas.openxmlformats.org/officeDocument/2006/relationships/hyperlink" Target="https://advance.lexis.com/api/document?collection=cases-ca&amp;id=urn:contentItem:5F7T-S7H1-F4GK-M35D-00000-00&amp;context=" TargetMode="External" /><Relationship Id="rId297" Type="http://schemas.openxmlformats.org/officeDocument/2006/relationships/hyperlink" Target="https://advance.lexis.com/api/document?collection=cases-ca&amp;id=urn:contentItem:5F7T-S7H1-JS5Y-B2V3-00000-00&amp;context=" TargetMode="External" /><Relationship Id="rId298" Type="http://schemas.openxmlformats.org/officeDocument/2006/relationships/hyperlink" Target="https://advance.lexis.com/api/document?collection=cases-ca&amp;id=urn:contentItem:5F7T-S781-F7G6-63NT-00000-00&amp;context=" TargetMode="External" /><Relationship Id="rId299" Type="http://schemas.openxmlformats.org/officeDocument/2006/relationships/hyperlink" Target="https://advance.lexis.com/api/document?collection=cases-ca&amp;id=urn:contentItem:5F7T-S7H1-F4GK-M34T-00000-00&amp;context=" TargetMode="External" /><Relationship Id="rId3" Type="http://schemas.openxmlformats.org/officeDocument/2006/relationships/fontTable" Target="fontTable.xml" /><Relationship Id="rId30" Type="http://schemas.openxmlformats.org/officeDocument/2006/relationships/footer" Target="footer7.xml" /><Relationship Id="rId300" Type="http://schemas.openxmlformats.org/officeDocument/2006/relationships/header" Target="header40.xml" /><Relationship Id="rId301" Type="http://schemas.openxmlformats.org/officeDocument/2006/relationships/header" Target="header41.xml" /><Relationship Id="rId302" Type="http://schemas.openxmlformats.org/officeDocument/2006/relationships/footer" Target="footer40.xml" /><Relationship Id="rId303" Type="http://schemas.openxmlformats.org/officeDocument/2006/relationships/footer" Target="footer41.xml" /><Relationship Id="rId304" Type="http://schemas.openxmlformats.org/officeDocument/2006/relationships/header" Target="header42.xml" /><Relationship Id="rId305" Type="http://schemas.openxmlformats.org/officeDocument/2006/relationships/footer" Target="footer42.xml" /><Relationship Id="rId306" Type="http://schemas.openxmlformats.org/officeDocument/2006/relationships/hyperlink" Target="https://advance.lexis.com/api/document?collection=cases-ca&amp;id=urn:contentItem:5F7T-S7G1-JPP5-21WF-00000-00&amp;context=" TargetMode="External" /><Relationship Id="rId307" Type="http://schemas.openxmlformats.org/officeDocument/2006/relationships/hyperlink" Target="https://advance.lexis.com/api/document?collection=cases-ca&amp;id=urn:contentItem:5F8T-N3V1-JTGH-B18F-00000-00&amp;context=" TargetMode="External" /><Relationship Id="rId308" Type="http://schemas.openxmlformats.org/officeDocument/2006/relationships/hyperlink" Target="https://advance.lexis.com/api/document?collection=cases-ca&amp;id=urn:contentItem:5F8T-N3T1-JFKM-655K-00000-00&amp;context=" TargetMode="External" /><Relationship Id="rId309" Type="http://schemas.openxmlformats.org/officeDocument/2006/relationships/hyperlink" Target="https://advance.lexis.com/api/document?collection=cases-ca&amp;id=urn:contentItem:5F7T-S7G1-JNY7-X443-00000-00&amp;context=" TargetMode="External" /><Relationship Id="rId31" Type="http://schemas.openxmlformats.org/officeDocument/2006/relationships/footer" Target="footer8.xml" /><Relationship Id="rId310" Type="http://schemas.openxmlformats.org/officeDocument/2006/relationships/hyperlink" Target="https://advance.lexis.com/api/document?collection=cases-ca&amp;id=urn:contentItem:5F7T-S7C1-JXG3-X0CY-00000-00&amp;context=" TargetMode="External" /><Relationship Id="rId311" Type="http://schemas.openxmlformats.org/officeDocument/2006/relationships/hyperlink" Target="https://advance.lexis.com/api/document?collection=cases-ca&amp;id=urn:contentItem:5F7T-S7F1-FBN1-21XK-00000-00&amp;context=" TargetMode="External" /><Relationship Id="rId312" Type="http://schemas.openxmlformats.org/officeDocument/2006/relationships/hyperlink" Target="https://advance.lexis.com/api/document?collection=cases-ca&amp;id=urn:contentItem:5F7T-S7F1-DXWW-24K9-00000-00&amp;context=" TargetMode="External" /><Relationship Id="rId313" Type="http://schemas.openxmlformats.org/officeDocument/2006/relationships/hyperlink" Target="https://advance.lexis.com/api/document?collection=cases-ca&amp;id=urn:contentItem:5F7T-S7F1-JX3N-B1HT-00000-00&amp;context=" TargetMode="External" /><Relationship Id="rId314" Type="http://schemas.openxmlformats.org/officeDocument/2006/relationships/hyperlink" Target="https://advance.lexis.com/api/document?collection=cases-ca&amp;id=urn:contentItem:5F7T-S7C1-F7VM-S3SK-00000-00&amp;context=" TargetMode="External" /><Relationship Id="rId315" Type="http://schemas.openxmlformats.org/officeDocument/2006/relationships/hyperlink" Target="https://advance.lexis.com/api/document?collection=cases-ca&amp;id=urn:contentItem:5F7T-S771-JW5H-X20F-00000-00&amp;context=" TargetMode="External" /><Relationship Id="rId316" Type="http://schemas.openxmlformats.org/officeDocument/2006/relationships/hyperlink" Target="https://advance.lexis.com/api/document?collection=cases-ca&amp;id=urn:contentItem:5F7T-S781-F27X-6116-00000-00&amp;context=" TargetMode="External" /><Relationship Id="rId317" Type="http://schemas.openxmlformats.org/officeDocument/2006/relationships/hyperlink" Target="https://advance.lexis.com/api/document?collection=cases-ca&amp;id=urn:contentItem:5F7T-S7C1-F30T-B29F-00000-00&amp;context=" TargetMode="External" /><Relationship Id="rId318" Type="http://schemas.openxmlformats.org/officeDocument/2006/relationships/hyperlink" Target="https://advance.lexis.com/api/document?collection=cases-ca&amp;id=urn:contentItem:5F7T-S771-JN14-G2BK-00000-00&amp;context=" TargetMode="External" /><Relationship Id="rId319" Type="http://schemas.openxmlformats.org/officeDocument/2006/relationships/hyperlink" Target="https://advance.lexis.com/api/document?collection=cases-ca&amp;id=urn:contentItem:5F7T-S7D1-JN6B-S0YJ-00000-00&amp;context=" TargetMode="External" /><Relationship Id="rId32" Type="http://schemas.openxmlformats.org/officeDocument/2006/relationships/header" Target="header9.xml" /><Relationship Id="rId320" Type="http://schemas.openxmlformats.org/officeDocument/2006/relationships/hyperlink" Target="https://advance.lexis.com/api/document?collection=cases-ca&amp;id=urn:contentItem:5F7T-S7D1-FC6N-X0N4-00000-00&amp;context=" TargetMode="External" /><Relationship Id="rId321" Type="http://schemas.openxmlformats.org/officeDocument/2006/relationships/hyperlink" Target="https://advance.lexis.com/api/document?collection=cases-ca&amp;id=urn:contentItem:5F7T-S7F1-JX3N-B19H-00000-00&amp;context=" TargetMode="External" /><Relationship Id="rId322" Type="http://schemas.openxmlformats.org/officeDocument/2006/relationships/hyperlink" Target="https://advance.lexis.com/api/document?collection=cases-ca&amp;id=urn:contentItem:5F7T-S7G1-JNY7-X3SH-00000-00&amp;context=" TargetMode="External" /><Relationship Id="rId323" Type="http://schemas.openxmlformats.org/officeDocument/2006/relationships/hyperlink" Target="https://advance.lexis.com/api/document?collection=cases-ca&amp;id=urn:contentItem:5F7T-S7C1-F4NT-X3BD-00000-00&amp;context=" TargetMode="External" /><Relationship Id="rId324" Type="http://schemas.openxmlformats.org/officeDocument/2006/relationships/header" Target="header43.xml" /><Relationship Id="rId325" Type="http://schemas.openxmlformats.org/officeDocument/2006/relationships/header" Target="header44.xml" /><Relationship Id="rId326" Type="http://schemas.openxmlformats.org/officeDocument/2006/relationships/footer" Target="footer43.xml" /><Relationship Id="rId327" Type="http://schemas.openxmlformats.org/officeDocument/2006/relationships/footer" Target="footer44.xml" /><Relationship Id="rId328" Type="http://schemas.openxmlformats.org/officeDocument/2006/relationships/header" Target="header45.xml" /><Relationship Id="rId329" Type="http://schemas.openxmlformats.org/officeDocument/2006/relationships/footer" Target="footer45.xml" /><Relationship Id="rId33" Type="http://schemas.openxmlformats.org/officeDocument/2006/relationships/footer" Target="footer9.xml" /><Relationship Id="rId330" Type="http://schemas.openxmlformats.org/officeDocument/2006/relationships/hyperlink" Target="https://advance.lexis.com/api/document?collection=cases-ca&amp;id=urn:contentItem:5JFT-GTR1-JKPJ-G33Y-00000-00&amp;context=" TargetMode="External" /><Relationship Id="rId331" Type="http://schemas.openxmlformats.org/officeDocument/2006/relationships/hyperlink" Target="https://advance.lexis.com/api/document?collection=legislation-ca&amp;id=urn:contentItem:5F41-1FP1-JKHB-60SM-00000-00&amp;context=" TargetMode="External" /><Relationship Id="rId332" Type="http://schemas.openxmlformats.org/officeDocument/2006/relationships/hyperlink" Target="https://advance.lexis.com/api/document?collection=legislation-ca&amp;id=urn:contentItem:5F41-1FG1-F4NT-X094-00000-00&amp;context=" TargetMode="External" /><Relationship Id="rId333" Type="http://schemas.openxmlformats.org/officeDocument/2006/relationships/hyperlink" Target="https://advance.lexis.com/api/document?collection=legislation-ca&amp;id=urn:contentItem:5F41-1FK1-DY33-B0PT-00000-00&amp;context=" TargetMode="External" /><Relationship Id="rId334" Type="http://schemas.openxmlformats.org/officeDocument/2006/relationships/hyperlink" Target="https://advance.lexis.com/api/document?collection=cases-ca&amp;id=urn:contentItem:5F7T-S6Y1-F65M-6050-00000-00&amp;context=" TargetMode="External" /><Relationship Id="rId335" Type="http://schemas.openxmlformats.org/officeDocument/2006/relationships/hyperlink" Target="https://advance.lexis.com/api/document?collection=cases-ca&amp;id=urn:contentItem:5F7T-S7H1-JFKM-62NK-00000-00&amp;context=" TargetMode="External" /><Relationship Id="rId336" Type="http://schemas.openxmlformats.org/officeDocument/2006/relationships/hyperlink" Target="https://advance.lexis.com/api/document?collection=cases-ca&amp;id=urn:contentItem:5F7T-S7N1-JW09-M104-00000-00&amp;context=" TargetMode="External" /><Relationship Id="rId337" Type="http://schemas.openxmlformats.org/officeDocument/2006/relationships/hyperlink" Target="https://advance.lexis.com/api/document?collection=cases-ca&amp;id=urn:contentItem:5F7T-S7M1-F4W2-62JF-00000-00&amp;context=" TargetMode="External" /><Relationship Id="rId338" Type="http://schemas.openxmlformats.org/officeDocument/2006/relationships/hyperlink" Target="https://advance.lexis.com/api/document?collection=cases-ca&amp;id=urn:contentItem:5F7T-S7C1-FGRY-B08X-00000-00&amp;context=" TargetMode="External" /><Relationship Id="rId339" Type="http://schemas.openxmlformats.org/officeDocument/2006/relationships/hyperlink" Target="https://advance.lexis.com/api/document?collection=cases-ca&amp;id=urn:contentItem:5GCC-XVC1-F900-G4PN-00000-00&amp;context=" TargetMode="External" /><Relationship Id="rId34" Type="http://schemas.openxmlformats.org/officeDocument/2006/relationships/hyperlink" Target="https://advance.lexis.com/api/document?collection=cases-ca&amp;id=urn:contentItem:5GCC-XVC1-F900-G4PC-00000-00&amp;context=" TargetMode="External" /><Relationship Id="rId340" Type="http://schemas.openxmlformats.org/officeDocument/2006/relationships/hyperlink" Target="https://advance.lexis.com/api/document?collection=cases-ca&amp;id=urn:contentItem:5F7T-S7P1-F2TK-23BX-00000-00&amp;context=" TargetMode="External" /><Relationship Id="rId341" Type="http://schemas.openxmlformats.org/officeDocument/2006/relationships/hyperlink" Target="https://advance.lexis.com/api/document?collection=cases-ca&amp;id=urn:contentItem:5F7T-S6T1-FJTD-G1NM-00000-00&amp;context=" TargetMode="External" /><Relationship Id="rId342" Type="http://schemas.openxmlformats.org/officeDocument/2006/relationships/hyperlink" Target="https://advance.lexis.com/api/document?collection=cases-ca&amp;id=urn:contentItem:5GF9-8HG1-FCYK-20XN-00000-00&amp;context=" TargetMode="External" /><Relationship Id="rId343" Type="http://schemas.openxmlformats.org/officeDocument/2006/relationships/header" Target="header46.xml" /><Relationship Id="rId344" Type="http://schemas.openxmlformats.org/officeDocument/2006/relationships/header" Target="header47.xml" /><Relationship Id="rId345" Type="http://schemas.openxmlformats.org/officeDocument/2006/relationships/footer" Target="footer46.xml" /><Relationship Id="rId346" Type="http://schemas.openxmlformats.org/officeDocument/2006/relationships/footer" Target="footer47.xml" /><Relationship Id="rId347" Type="http://schemas.openxmlformats.org/officeDocument/2006/relationships/header" Target="header48.xml" /><Relationship Id="rId348" Type="http://schemas.openxmlformats.org/officeDocument/2006/relationships/footer" Target="footer48.xml" /><Relationship Id="rId349" Type="http://schemas.openxmlformats.org/officeDocument/2006/relationships/hyperlink" Target="https://advance.lexis.com/api/document?collection=cases-ca&amp;id=urn:contentItem:5MF2-KC41-F60C-X1H6-00000-00&amp;context=" TargetMode="External" /><Relationship Id="rId35" Type="http://schemas.openxmlformats.org/officeDocument/2006/relationships/hyperlink" Target="https://advance.lexis.com/api/document?collection=cases-ca&amp;id=urn:contentItem:5F7T-S7M1-JPP5-22J6-00000-00&amp;context=" TargetMode="External" /><Relationship Id="rId350" Type="http://schemas.openxmlformats.org/officeDocument/2006/relationships/hyperlink" Target="https://advance.lexis.com/api/document?collection=cases-ca&amp;id=urn:contentItem:5KP4-X8R1-JW09-M426-00000-00&amp;context=" TargetMode="External" /><Relationship Id="rId351" Type="http://schemas.openxmlformats.org/officeDocument/2006/relationships/hyperlink" Target="https://advance.lexis.com/api/document?collection=cases-ca&amp;id=urn:contentItem:5F7T-S7F1-FFFC-B1MH-00000-00&amp;context=" TargetMode="External" /><Relationship Id="rId352" Type="http://schemas.openxmlformats.org/officeDocument/2006/relationships/hyperlink" Target="https://advance.lexis.com/api/document?collection=cases-ca&amp;id=urn:contentItem:5F7T-S7D1-F7ND-G0PX-00000-00&amp;context=" TargetMode="External" /><Relationship Id="rId353" Type="http://schemas.openxmlformats.org/officeDocument/2006/relationships/hyperlink" Target="https://advance.lexis.com/api/document?collection=cases-ca&amp;id=urn:contentItem:5F7T-S7G1-F5KY-B1HV-00000-00&amp;context=" TargetMode="External" /><Relationship Id="rId354" Type="http://schemas.openxmlformats.org/officeDocument/2006/relationships/hyperlink" Target="https://advance.lexis.com/api/document?collection=cases-ca&amp;id=urn:contentItem:5F7T-S771-JJD0-G1HF-00000-00&amp;context=" TargetMode="External" /><Relationship Id="rId355" Type="http://schemas.openxmlformats.org/officeDocument/2006/relationships/hyperlink" Target="https://advance.lexis.com/api/document?collection=cases-ca&amp;id=urn:contentItem:5F7T-S731-F60C-X15M-00000-00&amp;context=" TargetMode="External" /><Relationship Id="rId356" Type="http://schemas.openxmlformats.org/officeDocument/2006/relationships/hyperlink" Target="https://advance.lexis.com/api/document?collection=cases-ca&amp;id=urn:contentItem:5K03-MBH1-FFFC-B034-00000-00&amp;context=" TargetMode="External" /><Relationship Id="rId357" Type="http://schemas.openxmlformats.org/officeDocument/2006/relationships/header" Target="header49.xml" /><Relationship Id="rId358" Type="http://schemas.openxmlformats.org/officeDocument/2006/relationships/header" Target="header50.xml" /><Relationship Id="rId359" Type="http://schemas.openxmlformats.org/officeDocument/2006/relationships/footer" Target="footer49.xml" /><Relationship Id="rId36" Type="http://schemas.openxmlformats.org/officeDocument/2006/relationships/hyperlink" Target="https://advance.lexis.com/api/document?collection=cases-ca&amp;id=urn:contentItem:5F8T-N3V1-FC1F-M490-00000-00&amp;context=" TargetMode="External" /><Relationship Id="rId360" Type="http://schemas.openxmlformats.org/officeDocument/2006/relationships/footer" Target="footer50.xml" /><Relationship Id="rId361" Type="http://schemas.openxmlformats.org/officeDocument/2006/relationships/header" Target="header51.xml" /><Relationship Id="rId362" Type="http://schemas.openxmlformats.org/officeDocument/2006/relationships/footer" Target="footer51.xml" /><Relationship Id="rId363" Type="http://schemas.openxmlformats.org/officeDocument/2006/relationships/hyperlink" Target="https://advance.lexis.com/api/document?collection=cases-ca&amp;id=urn:contentItem:5F7T-S7F1-DXWW-240M-00000-00&amp;context=" TargetMode="External" /><Relationship Id="rId364" Type="http://schemas.openxmlformats.org/officeDocument/2006/relationships/header" Target="header52.xml" /><Relationship Id="rId365" Type="http://schemas.openxmlformats.org/officeDocument/2006/relationships/header" Target="header53.xml" /><Relationship Id="rId366" Type="http://schemas.openxmlformats.org/officeDocument/2006/relationships/footer" Target="footer52.xml" /><Relationship Id="rId367" Type="http://schemas.openxmlformats.org/officeDocument/2006/relationships/footer" Target="footer53.xml" /><Relationship Id="rId368" Type="http://schemas.openxmlformats.org/officeDocument/2006/relationships/header" Target="header54.xml" /><Relationship Id="rId369" Type="http://schemas.openxmlformats.org/officeDocument/2006/relationships/footer" Target="footer54.xml" /><Relationship Id="rId37" Type="http://schemas.openxmlformats.org/officeDocument/2006/relationships/hyperlink" Target="https://advance.lexis.com/api/document?collection=cases-ca&amp;id=urn:contentItem:5F7T-S6S1-DXHD-G13M-00000-00&amp;context=" TargetMode="External" /><Relationship Id="rId370" Type="http://schemas.openxmlformats.org/officeDocument/2006/relationships/hyperlink" Target="https://advance.lexis.com/api/document?collection=cases-ca&amp;id=urn:contentItem:5H60-GJS1-FD4T-B163-00000-00&amp;context=" TargetMode="External" /><Relationship Id="rId371" Type="http://schemas.openxmlformats.org/officeDocument/2006/relationships/hyperlink" Target="https://advance.lexis.com/api/document?collection=cases-ca&amp;id=urn:contentItem:5F7T-S7K1-JX3N-B30Y-00000-00&amp;context=" TargetMode="External" /><Relationship Id="rId372" Type="http://schemas.openxmlformats.org/officeDocument/2006/relationships/hyperlink" Target="https://advance.lexis.com/api/document?collection=cases-ca&amp;id=urn:contentItem:5F8T-N3T1-JGHR-M251-00000-00&amp;context=" TargetMode="External" /><Relationship Id="rId373" Type="http://schemas.openxmlformats.org/officeDocument/2006/relationships/hyperlink" Target="https://advance.lexis.com/api/document?collection=cases-ca&amp;id=urn:contentItem:5F8T-N3V1-JF75-M3D0-00000-00&amp;context=" TargetMode="External" /><Relationship Id="rId374" Type="http://schemas.openxmlformats.org/officeDocument/2006/relationships/hyperlink" Target="https://advance.lexis.com/api/document?collection=cases-ca&amp;id=urn:contentItem:5F8T-N3P1-F81W-22CH-00000-00&amp;context=" TargetMode="External" /><Relationship Id="rId375" Type="http://schemas.openxmlformats.org/officeDocument/2006/relationships/hyperlink" Target="https://advance.lexis.com/api/document?collection=cases-ca&amp;id=urn:contentItem:5F8T-N3T1-JFKM-6548-00000-00&amp;context=" TargetMode="External" /><Relationship Id="rId376" Type="http://schemas.openxmlformats.org/officeDocument/2006/relationships/hyperlink" Target="https://advance.lexis.com/api/document?collection=cases-ca&amp;id=urn:contentItem:5HBF-Y861-FGRY-B2CX-00000-00&amp;context=" TargetMode="External" /><Relationship Id="rId377" Type="http://schemas.openxmlformats.org/officeDocument/2006/relationships/hyperlink" Target="https://advance.lexis.com/api/document?collection=cases-ca&amp;id=urn:contentItem:5F7T-S6T1-JJSF-21JT-00000-00&amp;context=" TargetMode="External" /><Relationship Id="rId378" Type="http://schemas.openxmlformats.org/officeDocument/2006/relationships/hyperlink" Target="https://advance.lexis.com/api/document?collection=cases-ca&amp;id=urn:contentItem:5F8P-SG51-JNJT-B4CC-00000-00&amp;context=" TargetMode="External" /><Relationship Id="rId379" Type="http://schemas.openxmlformats.org/officeDocument/2006/relationships/hyperlink" Target="https://advance.lexis.com/api/document?collection=cases-ca&amp;id=urn:contentItem:5F7T-S7G1-JWR6-S1Y2-00000-00&amp;context=" TargetMode="External" /><Relationship Id="rId38" Type="http://schemas.openxmlformats.org/officeDocument/2006/relationships/hyperlink" Target="https://advance.lexis.com/api/document?collection=cases-ca&amp;id=urn:contentItem:5F7T-S6T1-JTNR-M2MX-00000-00&amp;context=" TargetMode="External" /><Relationship Id="rId380" Type="http://schemas.openxmlformats.org/officeDocument/2006/relationships/hyperlink" Target="https://advance.lexis.com/api/document?collection=cases-ca&amp;id=urn:contentItem:5F7T-S7H1-JG02-S3K5-00000-00&amp;context=" TargetMode="External" /><Relationship Id="rId381" Type="http://schemas.openxmlformats.org/officeDocument/2006/relationships/hyperlink" Target="https://advance.lexis.com/api/document?collection=cases-ca&amp;id=urn:contentItem:5F7T-S6T1-FD4T-B05K-00000-00&amp;context=" TargetMode="External" /><Relationship Id="rId382" Type="http://schemas.openxmlformats.org/officeDocument/2006/relationships/hyperlink" Target="https://advance.lexis.com/api/document?collection=cases-ca&amp;id=urn:contentItem:5F7T-S7D1-DY89-M3VG-00000-00&amp;context=" TargetMode="External" /><Relationship Id="rId383" Type="http://schemas.openxmlformats.org/officeDocument/2006/relationships/hyperlink" Target="https://advance.lexis.com/api/document?collection=cases-ca&amp;id=urn:contentItem:5F7V-3DK1-JNY7-X2CK-00000-00&amp;context=" TargetMode="External" /><Relationship Id="rId384" Type="http://schemas.openxmlformats.org/officeDocument/2006/relationships/hyperlink" Target="https://advance.lexis.com/api/document?collection=cases-ca&amp;id=urn:contentItem:5F7T-S6Y1-F7G6-62PG-00000-00&amp;context=" TargetMode="External" /><Relationship Id="rId385" Type="http://schemas.openxmlformats.org/officeDocument/2006/relationships/header" Target="header55.xml" /><Relationship Id="rId386" Type="http://schemas.openxmlformats.org/officeDocument/2006/relationships/header" Target="header56.xml" /><Relationship Id="rId387" Type="http://schemas.openxmlformats.org/officeDocument/2006/relationships/footer" Target="footer55.xml" /><Relationship Id="rId388" Type="http://schemas.openxmlformats.org/officeDocument/2006/relationships/footer" Target="footer56.xml" /><Relationship Id="rId389" Type="http://schemas.openxmlformats.org/officeDocument/2006/relationships/header" Target="header57.xml" /><Relationship Id="rId39" Type="http://schemas.openxmlformats.org/officeDocument/2006/relationships/hyperlink" Target="https://advance.lexis.com/api/document?collection=cases-ca&amp;id=urn:contentItem:5F7T-S771-F2TK-22YF-00000-00&amp;context=" TargetMode="External" /><Relationship Id="rId390" Type="http://schemas.openxmlformats.org/officeDocument/2006/relationships/footer" Target="footer57.xml" /><Relationship Id="rId391" Type="http://schemas.openxmlformats.org/officeDocument/2006/relationships/hyperlink" Target="https://advance.lexis.com/api/document?collection=cases-ca&amp;id=urn:contentItem:5F7T-S7M1-JJK6-S1YR-00000-00&amp;context=" TargetMode="External" /><Relationship Id="rId392" Type="http://schemas.openxmlformats.org/officeDocument/2006/relationships/hyperlink" Target="https://advance.lexis.com/api/document?collection=cases-ca&amp;id=urn:contentItem:5F7T-S6Y1-JPP5-210J-00000-00&amp;context=" TargetMode="External" /><Relationship Id="rId393" Type="http://schemas.openxmlformats.org/officeDocument/2006/relationships/hyperlink" Target="https://advance.lexis.com/api/document?collection=cases-ca&amp;id=urn:contentItem:5F7T-S751-JG02-S29N-00000-00&amp;context=" TargetMode="External" /><Relationship Id="rId394" Type="http://schemas.openxmlformats.org/officeDocument/2006/relationships/hyperlink" Target="https://advance.lexis.com/api/document?collection=cases-ca&amp;id=urn:contentItem:5F8T-N3V1-FC1F-M4BS-00000-00&amp;context=" TargetMode="External" /><Relationship Id="rId395" Type="http://schemas.openxmlformats.org/officeDocument/2006/relationships/hyperlink" Target="https://advance.lexis.com/api/document?collection=cases-ca&amp;id=urn:contentItem:5F7T-S7J1-JGBH-B24T-00000-00&amp;context=" TargetMode="External" /><Relationship Id="rId396" Type="http://schemas.openxmlformats.org/officeDocument/2006/relationships/hyperlink" Target="https://advance.lexis.com/api/document?collection=cases-ca&amp;id=urn:contentItem:5F7T-S7B1-FH4C-X3BW-00000-00&amp;context=" TargetMode="External" /><Relationship Id="rId397" Type="http://schemas.openxmlformats.org/officeDocument/2006/relationships/header" Target="header58.xml" /><Relationship Id="rId398" Type="http://schemas.openxmlformats.org/officeDocument/2006/relationships/header" Target="header59.xml" /><Relationship Id="rId399" Type="http://schemas.openxmlformats.org/officeDocument/2006/relationships/footer" Target="footer58.xm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11-F4GK-M2FW-00000-00&amp;context=" TargetMode="External" /><Relationship Id="rId400" Type="http://schemas.openxmlformats.org/officeDocument/2006/relationships/footer" Target="footer59.xml" /><Relationship Id="rId401" Type="http://schemas.openxmlformats.org/officeDocument/2006/relationships/header" Target="header60.xml" /><Relationship Id="rId402" Type="http://schemas.openxmlformats.org/officeDocument/2006/relationships/footer" Target="footer60.xml" /><Relationship Id="rId403" Type="http://schemas.openxmlformats.org/officeDocument/2006/relationships/hyperlink" Target="https://advance.lexis.com/api/document?collection=cases-ca&amp;id=urn:contentItem:5JH9-BW81-F22N-X47P-00000-00&amp;context=" TargetMode="External" /><Relationship Id="rId404" Type="http://schemas.openxmlformats.org/officeDocument/2006/relationships/hyperlink" Target="https://advance.lexis.com/api/document?collection=legislation-ca&amp;id=urn:contentItem:5TBM-3RN1-F2TK-240T-00000-00&amp;context=" TargetMode="External" /><Relationship Id="rId405" Type="http://schemas.openxmlformats.org/officeDocument/2006/relationships/hyperlink" Target="https://advance.lexis.com/api/document?collection=legislation-ca&amp;id=urn:contentItem:5F41-1FN1-JBDT-B0YH-00000-00&amp;context=" TargetMode="External" /><Relationship Id="rId406" Type="http://schemas.openxmlformats.org/officeDocument/2006/relationships/hyperlink" Target="https://advance.lexis.com/api/document?collection=legislation-ca&amp;id=urn:contentItem:5F3B-B941-JJYN-B026-00000-00&amp;context=" TargetMode="External" /><Relationship Id="rId407" Type="http://schemas.openxmlformats.org/officeDocument/2006/relationships/hyperlink" Target="https://advance.lexis.com/api/document?collection=legislation-ca&amp;id=urn:contentItem:5W07-7G31-DY33-B016-00000-00&amp;context=" TargetMode="External" /><Relationship Id="rId408" Type="http://schemas.openxmlformats.org/officeDocument/2006/relationships/hyperlink" Target="https://advance.lexis.com/api/document?collection=legislation-ca&amp;id=urn:contentItem:5F41-1FJ1-F5KY-B1KS-00000-00&amp;context=" TargetMode="External" /><Relationship Id="rId409" Type="http://schemas.openxmlformats.org/officeDocument/2006/relationships/hyperlink" Target="https://advance.lexis.com/api/document?collection=legislation-ca&amp;id=urn:contentItem:5VYK-W9Y1-JKB3-X1D7-00000-00&amp;context=" TargetMode="External" /><Relationship Id="rId41" Type="http://schemas.openxmlformats.org/officeDocument/2006/relationships/hyperlink" Target="https://advance.lexis.com/api/document?collection=cases-ca&amp;id=urn:contentItem:5F7T-S741-F528-G2FD-00000-00&amp;context=" TargetMode="External" /><Relationship Id="rId410" Type="http://schemas.openxmlformats.org/officeDocument/2006/relationships/hyperlink" Target="https://advance.lexis.com/api/document?collection=cases-ca&amp;id=urn:contentItem:5F7T-S7P1-JSJC-X1CY-00000-00&amp;context=" TargetMode="External" /><Relationship Id="rId411" Type="http://schemas.openxmlformats.org/officeDocument/2006/relationships/hyperlink" Target="https://advance.lexis.com/api/document?collection=cases-ca&amp;id=urn:contentItem:5F7T-S7N1-F06F-24SF-00000-00&amp;context=" TargetMode="External" /><Relationship Id="rId412" Type="http://schemas.openxmlformats.org/officeDocument/2006/relationships/hyperlink" Target="https://advance.lexis.com/api/document?collection=cases-ca&amp;id=urn:contentItem:5GC0-VTK1-FGRY-B413-00000-00&amp;context=" TargetMode="External" /><Relationship Id="rId413" Type="http://schemas.openxmlformats.org/officeDocument/2006/relationships/hyperlink" Target="https://advance.lexis.com/api/document?collection=cases-ca&amp;id=urn:contentItem:5GCC-XVB1-JSXV-G0GF-00000-00&amp;context=" TargetMode="External" /><Relationship Id="rId414" Type="http://schemas.openxmlformats.org/officeDocument/2006/relationships/hyperlink" Target="https://advance.lexis.com/api/document?collection=cases-ca&amp;id=urn:contentItem:5F7T-S7P1-JNJT-B2P3-00000-00&amp;context=" TargetMode="External" /><Relationship Id="rId415" Type="http://schemas.openxmlformats.org/officeDocument/2006/relationships/hyperlink" Target="https://advance.lexis.com/api/document?collection=cases-ca&amp;id=urn:contentItem:5F7T-S7H1-JFKM-6264-00000-00&amp;context=" TargetMode="External" /><Relationship Id="rId416" Type="http://schemas.openxmlformats.org/officeDocument/2006/relationships/hyperlink" Target="https://advance.lexis.com/api/document?collection=cases-ca&amp;id=urn:contentItem:5F7T-S6X1-F1H1-20SP-00000-00&amp;context=" TargetMode="External" /><Relationship Id="rId417" Type="http://schemas.openxmlformats.org/officeDocument/2006/relationships/hyperlink" Target="https://advance.lexis.com/api/document?collection=cases-ca&amp;id=urn:contentItem:5F8T-N3V1-FH4C-X248-00000-00&amp;context=" TargetMode="External" /><Relationship Id="rId418" Type="http://schemas.openxmlformats.org/officeDocument/2006/relationships/hyperlink" Target="https://advance.lexis.com/api/document?collection=cases-ca&amp;id=urn:contentItem:5F8P-SF91-JGPY-X4YJ-00000-00&amp;context=" TargetMode="External" /><Relationship Id="rId419" Type="http://schemas.openxmlformats.org/officeDocument/2006/relationships/hyperlink" Target="https://advance.lexis.com/api/document?collection=cases-ca&amp;id=urn:contentItem:5F8P-SGB1-F873-B306-00000-00&amp;context=" TargetMode="External" /><Relationship Id="rId42" Type="http://schemas.openxmlformats.org/officeDocument/2006/relationships/hyperlink" Target="https://advance.lexis.com/api/document?collection=cases-ca&amp;id=urn:contentItem:5F7T-S7K1-F1H1-22DB-00000-00&amp;context=" TargetMode="External" /><Relationship Id="rId420" Type="http://schemas.openxmlformats.org/officeDocument/2006/relationships/hyperlink" Target="https://advance.lexis.com/api/document?collection=cases-ca&amp;id=urn:contentItem:5F8T-N3V1-FH4C-X24N-00000-00&amp;context=" TargetMode="External" /><Relationship Id="rId421" Type="http://schemas.openxmlformats.org/officeDocument/2006/relationships/hyperlink" Target="https://advance.lexis.com/api/document?collection=cases-ca&amp;id=urn:contentItem:5K6Y-81M1-F81W-23K2-00000-00&amp;context=" TargetMode="External" /><Relationship Id="rId422" Type="http://schemas.openxmlformats.org/officeDocument/2006/relationships/hyperlink" Target="https://advance.lexis.com/api/document?collection=cases-ca&amp;id=urn:contentItem:5F8P-SFT1-JJK6-S243-00000-00&amp;context=" TargetMode="External" /><Relationship Id="rId423" Type="http://schemas.openxmlformats.org/officeDocument/2006/relationships/hyperlink" Target="https://advance.lexis.com/api/document?collection=cases-ca&amp;id=urn:contentItem:5F81-VJX1-FFTT-X1FY-00000-00&amp;context=" TargetMode="External" /><Relationship Id="rId424" Type="http://schemas.openxmlformats.org/officeDocument/2006/relationships/hyperlink" Target="https://advance.lexis.com/api/document?collection=cases-ca&amp;id=urn:contentItem:5F8T-N3T1-JGHR-M278-00000-00&amp;context=" TargetMode="External" /><Relationship Id="rId425" Type="http://schemas.openxmlformats.org/officeDocument/2006/relationships/hyperlink" Target="https://advance.lexis.com/api/document?collection=cases-ca&amp;id=urn:contentItem:5GCC-XVB1-FK0M-S4V5-00000-00&amp;context=" TargetMode="External" /><Relationship Id="rId426" Type="http://schemas.openxmlformats.org/officeDocument/2006/relationships/header" Target="header61.xml" /><Relationship Id="rId427" Type="http://schemas.openxmlformats.org/officeDocument/2006/relationships/header" Target="header62.xml" /><Relationship Id="rId428" Type="http://schemas.openxmlformats.org/officeDocument/2006/relationships/footer" Target="footer61.xml" /><Relationship Id="rId429" Type="http://schemas.openxmlformats.org/officeDocument/2006/relationships/footer" Target="footer62.xml" /><Relationship Id="rId43" Type="http://schemas.openxmlformats.org/officeDocument/2006/relationships/hyperlink" Target="https://advance.lexis.com/api/document?collection=cases-ca&amp;id=urn:contentItem:5F7T-S7N1-JW09-M134-00000-00&amp;context=" TargetMode="External" /><Relationship Id="rId430" Type="http://schemas.openxmlformats.org/officeDocument/2006/relationships/header" Target="header63.xml" /><Relationship Id="rId431" Type="http://schemas.openxmlformats.org/officeDocument/2006/relationships/footer" Target="footer63.xml" /><Relationship Id="rId432" Type="http://schemas.openxmlformats.org/officeDocument/2006/relationships/hyperlink" Target="https://advance.lexis.com/api/document?collection=cases-ca&amp;id=urn:contentItem:5HGY-CT81-F900-G3CV-00000-00&amp;context=" TargetMode="External" /><Relationship Id="rId433" Type="http://schemas.openxmlformats.org/officeDocument/2006/relationships/hyperlink" Target="https://advance.lexis.com/api/document?collection=legislation-ca&amp;id=urn:contentItem:5F41-1FG1-F4NT-X0GX-00000-00&amp;context=" TargetMode="External" /><Relationship Id="rId434" Type="http://schemas.openxmlformats.org/officeDocument/2006/relationships/header" Target="header64.xml" /><Relationship Id="rId435" Type="http://schemas.openxmlformats.org/officeDocument/2006/relationships/header" Target="header65.xml" /><Relationship Id="rId436" Type="http://schemas.openxmlformats.org/officeDocument/2006/relationships/footer" Target="footer64.xml" /><Relationship Id="rId437" Type="http://schemas.openxmlformats.org/officeDocument/2006/relationships/footer" Target="footer65.xml" /><Relationship Id="rId438" Type="http://schemas.openxmlformats.org/officeDocument/2006/relationships/header" Target="header66.xml" /><Relationship Id="rId439" Type="http://schemas.openxmlformats.org/officeDocument/2006/relationships/footer" Target="footer66.xml" /><Relationship Id="rId44" Type="http://schemas.openxmlformats.org/officeDocument/2006/relationships/hyperlink" Target="https://advance.lexis.com/api/document?collection=cases-ca&amp;id=urn:contentItem:5F8T-N3V1-FH4C-X1XK-00000-00&amp;context=" TargetMode="External" /><Relationship Id="rId440" Type="http://schemas.openxmlformats.org/officeDocument/2006/relationships/hyperlink" Target="https://advance.lexis.com/api/document?collection=cases-ca&amp;id=urn:contentItem:5K6X-H241-JNS1-M0R8-00000-00&amp;context=" TargetMode="External" /><Relationship Id="rId441" Type="http://schemas.openxmlformats.org/officeDocument/2006/relationships/hyperlink" Target="https://advance.lexis.com/api/document?collection=cases-ca&amp;id=urn:contentItem:5F7T-S7K1-JSJC-X10K-00000-00&amp;context=" TargetMode="External" /><Relationship Id="rId442" Type="http://schemas.openxmlformats.org/officeDocument/2006/relationships/header" Target="header67.xml" /><Relationship Id="rId443" Type="http://schemas.openxmlformats.org/officeDocument/2006/relationships/header" Target="header68.xml" /><Relationship Id="rId444" Type="http://schemas.openxmlformats.org/officeDocument/2006/relationships/footer" Target="footer67.xml" /><Relationship Id="rId445" Type="http://schemas.openxmlformats.org/officeDocument/2006/relationships/footer" Target="footer68.xml" /><Relationship Id="rId446" Type="http://schemas.openxmlformats.org/officeDocument/2006/relationships/header" Target="header69.xml" /><Relationship Id="rId447" Type="http://schemas.openxmlformats.org/officeDocument/2006/relationships/footer" Target="footer69.xml" /><Relationship Id="rId448" Type="http://schemas.openxmlformats.org/officeDocument/2006/relationships/hyperlink" Target="https://advance.lexis.com/api/document?collection=cases-ca&amp;id=urn:contentItem:5F7T-S7H1-JCRC-B10T-00000-00&amp;context=" TargetMode="External" /><Relationship Id="rId449" Type="http://schemas.openxmlformats.org/officeDocument/2006/relationships/hyperlink" Target="https://advance.lexis.com/api/document?collection=cases-ca&amp;id=urn:contentItem:5F8T-N3V1-JTGH-B153-00000-00&amp;context=" TargetMode="External" /><Relationship Id="rId45" Type="http://schemas.openxmlformats.org/officeDocument/2006/relationships/hyperlink" Target="https://advance.lexis.com/api/document?collection=cases-ca&amp;id=urn:contentItem:5F7T-S7N1-JJ1H-X2MV-00000-00&amp;context=" TargetMode="External" /><Relationship Id="rId450" Type="http://schemas.openxmlformats.org/officeDocument/2006/relationships/hyperlink" Target="https://advance.lexis.com/api/document?collection=cases-ca&amp;id=urn:contentItem:5F7T-S6V1-JFKM-6133-00000-00&amp;context=" TargetMode="External" /><Relationship Id="rId451" Type="http://schemas.openxmlformats.org/officeDocument/2006/relationships/hyperlink" Target="https://advance.lexis.com/api/document?collection=cases-ca&amp;id=urn:contentItem:5F7T-S741-F57G-S1WG-00000-00&amp;context=" TargetMode="External" /><Relationship Id="rId452" Type="http://schemas.openxmlformats.org/officeDocument/2006/relationships/hyperlink" Target="https://advance.lexis.com/api/document?collection=cases-ca&amp;id=urn:contentItem:5F7T-S761-FGJR-22PB-00000-00&amp;context=" TargetMode="External" /><Relationship Id="rId453" Type="http://schemas.openxmlformats.org/officeDocument/2006/relationships/hyperlink" Target="https://advance.lexis.com/api/document?collection=cases-ca&amp;id=urn:contentItem:5F7T-S7G1-JX3N-B2FW-00000-00&amp;context=" TargetMode="External" /><Relationship Id="rId454" Type="http://schemas.openxmlformats.org/officeDocument/2006/relationships/hyperlink" Target="https://advance.lexis.com/api/document?collection=cases-ca&amp;id=urn:contentItem:5F7T-S721-F06F-230Y-00000-00&amp;context=" TargetMode="External" /><Relationship Id="rId455" Type="http://schemas.openxmlformats.org/officeDocument/2006/relationships/hyperlink" Target="https://advance.lexis.com/api/document?collection=cases-ca&amp;id=urn:contentItem:5F7T-S7H1-F4GK-M352-00000-00&amp;context=" TargetMode="External" /><Relationship Id="rId456" Type="http://schemas.openxmlformats.org/officeDocument/2006/relationships/hyperlink" Target="https://advance.lexis.com/api/document?collection=cases-ca&amp;id=urn:contentItem:5F7T-S7H1-JFSV-G37B-00000-00&amp;context=" TargetMode="External" /><Relationship Id="rId457" Type="http://schemas.openxmlformats.org/officeDocument/2006/relationships/hyperlink" Target="https://advance.lexis.com/api/document?collection=cases-ca&amp;id=urn:contentItem:5F7T-S7F1-FBN1-21D4-00000-00&amp;context=" TargetMode="External" /><Relationship Id="rId458" Type="http://schemas.openxmlformats.org/officeDocument/2006/relationships/hyperlink" Target="https://advance.lexis.com/api/document?collection=cases-ca&amp;id=urn:contentItem:5F7T-S7D1-FFFC-B1K3-00000-00&amp;context=" TargetMode="External" /><Relationship Id="rId459" Type="http://schemas.openxmlformats.org/officeDocument/2006/relationships/hyperlink" Target="https://advance.lexis.com/api/document?collection=cases-ca&amp;id=urn:contentItem:5F7T-S7C1-F30T-B26K-00000-00&amp;context=" TargetMode="External" /><Relationship Id="rId46" Type="http://schemas.openxmlformats.org/officeDocument/2006/relationships/hyperlink" Target="https://advance.lexis.com/api/document?collection=cases-ca&amp;id=urn:contentItem:5F7T-S7K1-F528-G2MR-00000-00&amp;context=" TargetMode="External" /><Relationship Id="rId460" Type="http://schemas.openxmlformats.org/officeDocument/2006/relationships/hyperlink" Target="https://advance.lexis.com/api/document?collection=cases-ca&amp;id=urn:contentItem:5F7T-S7G1-F5KY-B1BX-00000-00&amp;context=" TargetMode="External" /><Relationship Id="rId461" Type="http://schemas.openxmlformats.org/officeDocument/2006/relationships/hyperlink" Target="https://advance.lexis.com/api/document?collection=cases-ca&amp;id=urn:contentItem:5F7T-S751-JGHR-M1S8-00000-00&amp;context=" TargetMode="External" /><Relationship Id="rId462" Type="http://schemas.openxmlformats.org/officeDocument/2006/relationships/hyperlink" Target="https://advance.lexis.com/api/document?collection=cases-ca&amp;id=urn:contentItem:5F7T-S741-F8D9-M1WW-00000-00&amp;context=" TargetMode="External" /><Relationship Id="rId463" Type="http://schemas.openxmlformats.org/officeDocument/2006/relationships/hyperlink" Target="https://advance.lexis.com/api/document?collection=cases-ca&amp;id=urn:contentItem:5F7T-S7C1-JCJ5-20GF-00000-00&amp;context=" TargetMode="External" /><Relationship Id="rId464" Type="http://schemas.openxmlformats.org/officeDocument/2006/relationships/hyperlink" Target="https://advance.lexis.com/api/document?collection=cases-ca&amp;id=urn:contentItem:5F7T-S7D1-FC6N-X0N6-00000-00&amp;context=" TargetMode="External" /><Relationship Id="rId465" Type="http://schemas.openxmlformats.org/officeDocument/2006/relationships/hyperlink" Target="https://advance.lexis.com/api/document?collection=cases-ca&amp;id=urn:contentItem:5F7T-S7H1-JFSV-G2S7-00000-00&amp;context=" TargetMode="External" /><Relationship Id="rId466" Type="http://schemas.openxmlformats.org/officeDocument/2006/relationships/hyperlink" Target="https://advance.lexis.com/api/document?collection=cases-ca&amp;id=urn:contentItem:5F7T-S7H1-JS5Y-B2XK-00000-00&amp;context=" TargetMode="External" /><Relationship Id="rId467" Type="http://schemas.openxmlformats.org/officeDocument/2006/relationships/hyperlink" Target="https://advance.lexis.com/api/document?collection=cases-ca&amp;id=urn:contentItem:5F7T-S7H1-FCSB-S39F-00000-00&amp;context=" TargetMode="External" /><Relationship Id="rId468" Type="http://schemas.openxmlformats.org/officeDocument/2006/relationships/header" Target="header70.xml" /><Relationship Id="rId469" Type="http://schemas.openxmlformats.org/officeDocument/2006/relationships/header" Target="header71.xml" /><Relationship Id="rId47" Type="http://schemas.openxmlformats.org/officeDocument/2006/relationships/hyperlink" Target="https://advance.lexis.com/api/document?collection=cases-ca&amp;id=urn:contentItem:5F7T-S711-JNY7-X340-00000-00&amp;context=" TargetMode="External" /><Relationship Id="rId470" Type="http://schemas.openxmlformats.org/officeDocument/2006/relationships/footer" Target="footer70.xml" /><Relationship Id="rId471" Type="http://schemas.openxmlformats.org/officeDocument/2006/relationships/footer" Target="footer71.xml" /><Relationship Id="rId472" Type="http://schemas.openxmlformats.org/officeDocument/2006/relationships/header" Target="header72.xml" /><Relationship Id="rId473" Type="http://schemas.openxmlformats.org/officeDocument/2006/relationships/footer" Target="footer72.xml" /><Relationship Id="rId474" Type="http://schemas.openxmlformats.org/officeDocument/2006/relationships/hyperlink" Target="https://advance.lexis.com/api/document?collection=cases-ca&amp;id=urn:contentItem:5F7T-S7F1-JX3N-B1B6-00000-00&amp;context=" TargetMode="External" /><Relationship Id="rId475" Type="http://schemas.openxmlformats.org/officeDocument/2006/relationships/hyperlink" Target="https://advance.lexis.com/api/document?collection=cases-ca&amp;id=urn:contentItem:5K6X-WKH1-K0HK-239B-00000-00&amp;context=" TargetMode="External" /><Relationship Id="rId476" Type="http://schemas.openxmlformats.org/officeDocument/2006/relationships/hyperlink" Target="https://advance.lexis.com/api/document?collection=cases-ca&amp;id=urn:contentItem:5F7T-S7C1-F7VM-S3R5-00000-00&amp;context=" TargetMode="External" /><Relationship Id="rId477" Type="http://schemas.openxmlformats.org/officeDocument/2006/relationships/hyperlink" Target="https://advance.lexis.com/api/document?collection=cases-ca&amp;id=urn:contentItem:5F7T-S751-JP4G-61C7-00000-00&amp;context=" TargetMode="External" /><Relationship Id="rId478" Type="http://schemas.openxmlformats.org/officeDocument/2006/relationships/hyperlink" Target="https://advance.lexis.com/api/document?collection=cases-ca&amp;id=urn:contentItem:5F7T-S7G1-JX3N-B2J8-00000-00&amp;context=" TargetMode="External" /><Relationship Id="rId479" Type="http://schemas.openxmlformats.org/officeDocument/2006/relationships/hyperlink" Target="https://advance.lexis.com/api/document?collection=cases-ca&amp;id=urn:contentItem:5F7T-S741-F528-G237-00000-00&amp;context=" TargetMode="External" /><Relationship Id="rId48" Type="http://schemas.openxmlformats.org/officeDocument/2006/relationships/hyperlink" Target="https://advance.lexis.com/api/document?collection=cases-ca&amp;id=urn:contentItem:5F7T-S7N1-JGHR-M38N-00000-00&amp;context=" TargetMode="External" /><Relationship Id="rId480" Type="http://schemas.openxmlformats.org/officeDocument/2006/relationships/hyperlink" Target="https://advance.lexis.com/api/document?collection=cases-ca&amp;id=urn:contentItem:5F7T-S761-F81W-21N5-00000-00&amp;context=" TargetMode="External" /><Relationship Id="rId481" Type="http://schemas.openxmlformats.org/officeDocument/2006/relationships/hyperlink" Target="https://advance.lexis.com/api/document?collection=cases-ca&amp;id=urn:contentItem:5F8T-N3S1-JBDT-B06N-00000-00&amp;context=" TargetMode="External" /><Relationship Id="rId482" Type="http://schemas.openxmlformats.org/officeDocument/2006/relationships/hyperlink" Target="https://advance.lexis.com/api/document?collection=cases-ca&amp;id=urn:contentItem:5F81-VJV1-F8D9-M0HP-00000-00&amp;context=" TargetMode="External" /><Relationship Id="rId483" Type="http://schemas.openxmlformats.org/officeDocument/2006/relationships/hyperlink" Target="https://advance.lexis.com/api/document?collection=cases-ca&amp;id=urn:contentItem:5F7T-S7G1-JPP5-21S2-00000-00&amp;context=" TargetMode="External" /><Relationship Id="rId484" Type="http://schemas.openxmlformats.org/officeDocument/2006/relationships/hyperlink" Target="https://advance.lexis.com/api/document?collection=cases-ca&amp;id=urn:contentItem:5F7T-S6Y1-JF75-M3TH-00000-00&amp;context=" TargetMode="External" /><Relationship Id="rId485" Type="http://schemas.openxmlformats.org/officeDocument/2006/relationships/hyperlink" Target="https://advance.lexis.com/api/document?collection=cases-ca&amp;id=urn:contentItem:5F8T-N3T1-JJSF-23F8-00000-00&amp;context=" TargetMode="External" /><Relationship Id="rId486" Type="http://schemas.openxmlformats.org/officeDocument/2006/relationships/hyperlink" Target="https://advance.lexis.com/api/document?collection=cases-ca&amp;id=urn:contentItem:5F8T-N3T1-JFKM-6519-00000-00&amp;context=" TargetMode="External" /><Relationship Id="rId487" Type="http://schemas.openxmlformats.org/officeDocument/2006/relationships/hyperlink" Target="https://advance.lexis.com/api/document?collection=cases-ca&amp;id=urn:contentItem:5F81-VJV1-F8D9-M108-00000-00&amp;context=" TargetMode="External" /><Relationship Id="rId488" Type="http://schemas.openxmlformats.org/officeDocument/2006/relationships/hyperlink" Target="https://advance.lexis.com/api/document?collection=cases-ca&amp;id=urn:contentItem:5F7T-S7D1-JN6B-S0XD-00000-00&amp;context=" TargetMode="External" /><Relationship Id="rId489" Type="http://schemas.openxmlformats.org/officeDocument/2006/relationships/hyperlink" Target="https://advance.lexis.com/api/document?collection=cases-ca&amp;id=urn:contentItem:5F8P-SCM1-FJM6-6153-00000-00&amp;context=" TargetMode="External" /><Relationship Id="rId49" Type="http://schemas.openxmlformats.org/officeDocument/2006/relationships/header" Target="header10.xml" /><Relationship Id="rId490" Type="http://schemas.openxmlformats.org/officeDocument/2006/relationships/hyperlink" Target="https://advance.lexis.com/api/document?collection=cases-ca&amp;id=urn:contentItem:5F81-VJX1-JYYX-607K-00000-00&amp;context=" TargetMode="External" /><Relationship Id="rId491" Type="http://schemas.openxmlformats.org/officeDocument/2006/relationships/hyperlink" Target="https://advance.lexis.com/api/document?collection=cases-ca&amp;id=urn:contentItem:5F16-9311-JW09-M55B-00000-00&amp;context=" TargetMode="External" /><Relationship Id="rId492" Type="http://schemas.openxmlformats.org/officeDocument/2006/relationships/hyperlink" Target="https://advance.lexis.com/api/document?collection=cases-ca&amp;id=urn:contentItem:5F16-9321-JJK6-S1KM-00000-00&amp;context=" TargetMode="External" /><Relationship Id="rId493" Type="http://schemas.openxmlformats.org/officeDocument/2006/relationships/hyperlink" Target="https://advance.lexis.com/api/document?collection=cases-ca&amp;id=urn:contentItem:5F16-9341-JK4W-M3F3-00000-00&amp;context=" TargetMode="External" /><Relationship Id="rId494" Type="http://schemas.openxmlformats.org/officeDocument/2006/relationships/hyperlink" Target="https://advance.lexis.com/api/document?collection=cases-ca&amp;id=urn:contentItem:5F7T-S701-JK4W-M10T-00000-00&amp;context=" TargetMode="External" /><Relationship Id="rId495" Type="http://schemas.openxmlformats.org/officeDocument/2006/relationships/hyperlink" Target="https://advance.lexis.com/api/document?collection=cases-ca&amp;id=urn:contentItem:5F7T-S781-F06F-240G-00000-00&amp;context=" TargetMode="External" /><Relationship Id="rId496" Type="http://schemas.openxmlformats.org/officeDocument/2006/relationships/hyperlink" Target="https://advance.lexis.com/api/document?collection=cases-ca&amp;id=urn:contentItem:5F16-92V1-FBV7-B4JT-00000-00&amp;context=" TargetMode="External" /><Relationship Id="rId497" Type="http://schemas.openxmlformats.org/officeDocument/2006/relationships/hyperlink" Target="https://advance.lexis.com/api/document?collection=cases-ca&amp;id=urn:contentItem:5F16-92W1-F4GK-M337-00000-00&amp;context=" TargetMode="External" /><Relationship Id="rId498" Type="http://schemas.openxmlformats.org/officeDocument/2006/relationships/hyperlink" Target="https://advance.lexis.com/api/document?collection=cases-ca&amp;id=urn:contentItem:5F7T-S6V1-F2TK-220Y-00000-00&amp;context=" TargetMode="External" /><Relationship Id="rId499" Type="http://schemas.openxmlformats.org/officeDocument/2006/relationships/hyperlink" Target="https://advance.lexis.com/api/document?collection=cases-ca&amp;id=urn:contentItem:5F7T-S6V1-JC0G-629K-00000-00&amp;context=" TargetMode="External" /><Relationship Id="rId5" Type="http://schemas.openxmlformats.org/officeDocument/2006/relationships/header" Target="header2.xml" /><Relationship Id="rId50" Type="http://schemas.openxmlformats.org/officeDocument/2006/relationships/header" Target="header11.xml" /><Relationship Id="rId500" Type="http://schemas.openxmlformats.org/officeDocument/2006/relationships/hyperlink" Target="https://advance.lexis.com/api/document?collection=cases-ca&amp;id=urn:contentItem:5F7T-S6S1-F60C-X0PP-00000-00&amp;context=" TargetMode="External" /><Relationship Id="rId501" Type="http://schemas.openxmlformats.org/officeDocument/2006/relationships/hyperlink" Target="https://advance.lexis.com/api/document?collection=cases-ca&amp;id=urn:contentItem:5F8T-N3R1-JJSF-22KH-00000-00&amp;context=" TargetMode="External" /><Relationship Id="rId502" Type="http://schemas.openxmlformats.org/officeDocument/2006/relationships/hyperlink" Target="https://advance.lexis.com/api/document?collection=cases-ca&amp;id=urn:contentItem:5F7T-S6V1-JTNR-M3HD-00000-00&amp;context=" TargetMode="External" /><Relationship Id="rId503" Type="http://schemas.openxmlformats.org/officeDocument/2006/relationships/hyperlink" Target="https://advance.lexis.com/api/document?collection=cases-ca&amp;id=urn:contentItem:5F7T-S6W1-F528-G1X0-00000-00&amp;context=" TargetMode="External" /><Relationship Id="rId504" Type="http://schemas.openxmlformats.org/officeDocument/2006/relationships/hyperlink" Target="https://advance.lexis.com/api/document?collection=cases-ca&amp;id=urn:contentItem:5F8P-SCG1-FC1F-M1N9-00000-00&amp;context=" TargetMode="External" /><Relationship Id="rId505" Type="http://schemas.openxmlformats.org/officeDocument/2006/relationships/hyperlink" Target="https://advance.lexis.com/api/document?collection=cases-ca&amp;id=urn:contentItem:5F8T-N3V1-FC1F-M3W8-00000-00&amp;context=" TargetMode="External" /><Relationship Id="rId506" Type="http://schemas.openxmlformats.org/officeDocument/2006/relationships/hyperlink" Target="https://advance.lexis.com/api/document?collection=cases-ca&amp;id=urn:contentItem:5F8P-SDM1-JNS1-M0K7-00000-00&amp;context=" TargetMode="External" /><Relationship Id="rId507" Type="http://schemas.openxmlformats.org/officeDocument/2006/relationships/hyperlink" Target="https://advance.lexis.com/api/document?collection=cases-ca&amp;id=urn:contentItem:5F7T-S7C1-F4NT-X3TG-00000-00&amp;context=" TargetMode="External" /><Relationship Id="rId508" Type="http://schemas.openxmlformats.org/officeDocument/2006/relationships/hyperlink" Target="https://advance.lexis.com/api/document?collection=cases-ca&amp;id=urn:contentItem:5F8P-SBV1-JKB3-X3YK-00000-00&amp;context=" TargetMode="External" /><Relationship Id="rId509" Type="http://schemas.openxmlformats.org/officeDocument/2006/relationships/header" Target="header73.xml" /><Relationship Id="rId51" Type="http://schemas.openxmlformats.org/officeDocument/2006/relationships/footer" Target="footer10.xml" /><Relationship Id="rId510" Type="http://schemas.openxmlformats.org/officeDocument/2006/relationships/header" Target="header74.xml" /><Relationship Id="rId511" Type="http://schemas.openxmlformats.org/officeDocument/2006/relationships/footer" Target="footer73.xml" /><Relationship Id="rId512" Type="http://schemas.openxmlformats.org/officeDocument/2006/relationships/footer" Target="footer74.xml" /><Relationship Id="rId513" Type="http://schemas.openxmlformats.org/officeDocument/2006/relationships/header" Target="header75.xml" /><Relationship Id="rId514" Type="http://schemas.openxmlformats.org/officeDocument/2006/relationships/footer" Target="footer75.xml" /><Relationship Id="rId515" Type="http://schemas.openxmlformats.org/officeDocument/2006/relationships/hyperlink" Target="https://advance.lexis.com/api/document?collection=cases-ca&amp;id=urn:contentItem:5F7T-S7G1-JNY7-X450-00000-00&amp;context=" TargetMode="External" /><Relationship Id="rId516" Type="http://schemas.openxmlformats.org/officeDocument/2006/relationships/hyperlink" Target="https://advance.lexis.com/api/document?collection=cases-ca&amp;id=urn:contentItem:5F7T-S731-JNJT-B1W0-00000-00&amp;context=" TargetMode="External" /><Relationship Id="rId517" Type="http://schemas.openxmlformats.org/officeDocument/2006/relationships/hyperlink" Target="https://advance.lexis.com/api/document?collection=cases-ca&amp;id=urn:contentItem:5F7T-S6T1-FJTD-G1BM-00000-00&amp;context=" TargetMode="External" /><Relationship Id="rId518" Type="http://schemas.openxmlformats.org/officeDocument/2006/relationships/hyperlink" Target="https://advance.lexis.com/api/document?collection=cases-ca&amp;id=urn:contentItem:5F7T-S751-JX3N-B0YM-00000-00&amp;context=" TargetMode="External" /><Relationship Id="rId519" Type="http://schemas.openxmlformats.org/officeDocument/2006/relationships/hyperlink" Target="https://advance.lexis.com/api/document?collection=cases-ca&amp;id=urn:contentItem:5F8T-N3T1-JFKM-6549-00000-00&amp;context=" TargetMode="External" /><Relationship Id="rId52" Type="http://schemas.openxmlformats.org/officeDocument/2006/relationships/footer" Target="footer11.xml" /><Relationship Id="rId520" Type="http://schemas.openxmlformats.org/officeDocument/2006/relationships/hyperlink" Target="https://advance.lexis.com/api/document?collection=cases-ca&amp;id=urn:contentItem:5F7T-S711-JC0G-62KR-00000-00&amp;context=" TargetMode="External" /><Relationship Id="rId521" Type="http://schemas.openxmlformats.org/officeDocument/2006/relationships/hyperlink" Target="https://advance.lexis.com/api/document?collection=cases-ca&amp;id=urn:contentItem:5F8T-N3V1-JTGH-B17G-00000-00&amp;context=" TargetMode="External" /><Relationship Id="rId522" Type="http://schemas.openxmlformats.org/officeDocument/2006/relationships/hyperlink" Target="https://advance.lexis.com/api/document?collection=cases-ca&amp;id=urn:contentItem:5F81-VJX1-JJYN-B523-00000-00&amp;context=" TargetMode="External" /><Relationship Id="rId523" Type="http://schemas.openxmlformats.org/officeDocument/2006/relationships/hyperlink" Target="https://advance.lexis.com/api/document?collection=cases-ca&amp;id=urn:contentItem:5F7T-S781-F06F-23TR-00000-00&amp;context=" TargetMode="External" /><Relationship Id="rId524" Type="http://schemas.openxmlformats.org/officeDocument/2006/relationships/hyperlink" Target="https://advance.lexis.com/api/document?collection=cases-ca&amp;id=urn:contentItem:5F7T-S7C1-FCSB-S28G-00000-00&amp;context=" TargetMode="External" /><Relationship Id="rId525" Type="http://schemas.openxmlformats.org/officeDocument/2006/relationships/hyperlink" Target="https://advance.lexis.com/api/document?collection=cases-ca&amp;id=urn:contentItem:5F7T-S6W1-F528-G1H4-00000-00&amp;context=" TargetMode="External" /><Relationship Id="rId526" Type="http://schemas.openxmlformats.org/officeDocument/2006/relationships/hyperlink" Target="https://advance.lexis.com/api/document?collection=cases-ca&amp;id=urn:contentItem:5F16-9301-F8KH-X358-00000-00&amp;context=" TargetMode="External" /><Relationship Id="rId527" Type="http://schemas.openxmlformats.org/officeDocument/2006/relationships/hyperlink" Target="https://advance.lexis.com/api/document?collection=cases-ca&amp;id=urn:contentItem:5F8P-SG31-JCBX-S3VV-00000-00&amp;context=" TargetMode="External" /><Relationship Id="rId528" Type="http://schemas.openxmlformats.org/officeDocument/2006/relationships/hyperlink" Target="https://advance.lexis.com/api/document?collection=cases-ca&amp;id=urn:contentItem:5F8P-SBT1-JWBS-64F4-00000-00&amp;context=" TargetMode="External" /><Relationship Id="rId529" Type="http://schemas.openxmlformats.org/officeDocument/2006/relationships/hyperlink" Target="https://advance.lexis.com/api/document?collection=cases-ca&amp;id=urn:contentItem:5F7T-S6P1-F30T-B1N6-00000-00&amp;context=" TargetMode="External" /><Relationship Id="rId53" Type="http://schemas.openxmlformats.org/officeDocument/2006/relationships/header" Target="header12.xml" /><Relationship Id="rId530" Type="http://schemas.openxmlformats.org/officeDocument/2006/relationships/hyperlink" Target="https://advance.lexis.com/api/document?collection=cases-ca&amp;id=urn:contentItem:5F7T-S6V1-JNS1-M06M-00000-00&amp;context=" TargetMode="External" /><Relationship Id="rId531" Type="http://schemas.openxmlformats.org/officeDocument/2006/relationships/hyperlink" Target="https://advance.lexis.com/api/document?collection=cases-ca&amp;id=urn:contentItem:5F7T-S761-F81W-21N3-00000-00&amp;context=" TargetMode="External" /><Relationship Id="rId532" Type="http://schemas.openxmlformats.org/officeDocument/2006/relationships/hyperlink" Target="https://advance.lexis.com/api/document?collection=cases-ca&amp;id=urn:contentItem:5F7T-S7D1-JN6B-S0S6-00000-00&amp;context=" TargetMode="External" /><Relationship Id="rId533" Type="http://schemas.openxmlformats.org/officeDocument/2006/relationships/header" Target="header76.xml" /><Relationship Id="rId534" Type="http://schemas.openxmlformats.org/officeDocument/2006/relationships/header" Target="header77.xml" /><Relationship Id="rId535" Type="http://schemas.openxmlformats.org/officeDocument/2006/relationships/footer" Target="footer76.xml" /><Relationship Id="rId536" Type="http://schemas.openxmlformats.org/officeDocument/2006/relationships/footer" Target="footer77.xml" /><Relationship Id="rId537" Type="http://schemas.openxmlformats.org/officeDocument/2006/relationships/header" Target="header78.xml" /><Relationship Id="rId538" Type="http://schemas.openxmlformats.org/officeDocument/2006/relationships/footer" Target="footer78.xml" /><Relationship Id="rId539" Type="http://schemas.openxmlformats.org/officeDocument/2006/relationships/hyperlink" Target="https://advance.lexis.com/api/document?collection=cases-ca&amp;id=urn:contentItem:5PN3-9YF1-JG02-S3N8-00000-00&amp;context=" TargetMode="External" /><Relationship Id="rId54" Type="http://schemas.openxmlformats.org/officeDocument/2006/relationships/footer" Target="footer12.xml" /><Relationship Id="rId540" Type="http://schemas.openxmlformats.org/officeDocument/2006/relationships/hyperlink" Target="https://advance.lexis.com/api/document?collection=cases-ca&amp;id=urn:contentItem:5F7T-S7M1-JCRC-B1DV-00000-00&amp;context=" TargetMode="External" /><Relationship Id="rId541" Type="http://schemas.openxmlformats.org/officeDocument/2006/relationships/hyperlink" Target="https://advance.lexis.com/api/document?collection=cases-ca&amp;id=urn:contentItem:5F7T-S6T1-JP9P-G0X4-00000-00&amp;context=" TargetMode="External" /><Relationship Id="rId542" Type="http://schemas.openxmlformats.org/officeDocument/2006/relationships/hyperlink" Target="https://advance.lexis.com/api/document?collection=cases-ca&amp;id=urn:contentItem:5F8T-N3V1-FC1F-M4D3-00000-00&amp;context=" TargetMode="External" /><Relationship Id="rId543" Type="http://schemas.openxmlformats.org/officeDocument/2006/relationships/hyperlink" Target="https://advance.lexis.com/api/document?collection=cases-ca&amp;id=urn:contentItem:5F8P-SCJ1-F900-G3CP-00000-00&amp;context=" TargetMode="External" /><Relationship Id="rId544" Type="http://schemas.openxmlformats.org/officeDocument/2006/relationships/hyperlink" Target="https://advance.lexis.com/api/document?collection=cases-ca&amp;id=urn:contentItem:5F7T-XPR1-JCBX-S24B-00000-00&amp;context=" TargetMode="External" /><Relationship Id="rId545" Type="http://schemas.openxmlformats.org/officeDocument/2006/relationships/hyperlink" Target="https://advance.lexis.com/api/document?collection=cases-ca&amp;id=urn:contentItem:5F8P-SF21-F873-B1FW-00000-00&amp;context=" TargetMode="External" /><Relationship Id="rId546" Type="http://schemas.openxmlformats.org/officeDocument/2006/relationships/header" Target="header79.xml" /><Relationship Id="rId547" Type="http://schemas.openxmlformats.org/officeDocument/2006/relationships/header" Target="header80.xml" /><Relationship Id="rId548" Type="http://schemas.openxmlformats.org/officeDocument/2006/relationships/footer" Target="footer79.xml" /><Relationship Id="rId549" Type="http://schemas.openxmlformats.org/officeDocument/2006/relationships/footer" Target="footer80.xml" /><Relationship Id="rId55" Type="http://schemas.openxmlformats.org/officeDocument/2006/relationships/hyperlink" Target="https://advance.lexis.com/api/document?collection=cases-ca&amp;id=urn:contentItem:5F7T-S7H1-JFSV-G2P6-00000-00&amp;context=" TargetMode="External" /><Relationship Id="rId550" Type="http://schemas.openxmlformats.org/officeDocument/2006/relationships/header" Target="header81.xml" /><Relationship Id="rId551" Type="http://schemas.openxmlformats.org/officeDocument/2006/relationships/footer" Target="footer81.xml" /><Relationship Id="rId552" Type="http://schemas.openxmlformats.org/officeDocument/2006/relationships/hyperlink" Target="https://advance.lexis.com/api/document?collection=cases-ca&amp;id=urn:contentItem:5GXH-CVG1-F2F4-G0MJ-00000-00&amp;context=" TargetMode="External" /><Relationship Id="rId553" Type="http://schemas.openxmlformats.org/officeDocument/2006/relationships/hyperlink" Target="https://advance.lexis.com/api/document?collection=cases-ca&amp;id=urn:contentItem:5K6Y-81T1-JYYX-61XH-00000-00&amp;context=" TargetMode="External" /><Relationship Id="rId554" Type="http://schemas.openxmlformats.org/officeDocument/2006/relationships/hyperlink" Target="https://advance.lexis.com/api/document?collection=cases-ca&amp;id=urn:contentItem:5F7T-S7K1-JWXF-20X0-00000-00&amp;context=" TargetMode="External" /><Relationship Id="rId555" Type="http://schemas.openxmlformats.org/officeDocument/2006/relationships/hyperlink" Target="https://advance.lexis.com/api/document?collection=cases-ca&amp;id=urn:contentItem:5F7T-S7D1-JN6B-S119-00000-00&amp;context=" TargetMode="External" /><Relationship Id="rId556" Type="http://schemas.openxmlformats.org/officeDocument/2006/relationships/hyperlink" Target="https://advance.lexis.com/api/document?collection=cases-ca&amp;id=urn:contentItem:5F7T-S7F1-JK4W-M1T2-00000-00&amp;context=" TargetMode="External" /><Relationship Id="rId557" Type="http://schemas.openxmlformats.org/officeDocument/2006/relationships/hyperlink" Target="https://advance.lexis.com/api/document?collection=cases-ca&amp;id=urn:contentItem:5F7T-S7N1-JWR6-S2GP-00000-00&amp;context=" TargetMode="External" /><Relationship Id="rId558" Type="http://schemas.openxmlformats.org/officeDocument/2006/relationships/hyperlink" Target="https://advance.lexis.com/api/document?collection=cases-ca&amp;id=urn:contentItem:5F7T-S7P1-JSJC-X1F1-00000-00&amp;context=" TargetMode="External" /><Relationship Id="rId559" Type="http://schemas.openxmlformats.org/officeDocument/2006/relationships/hyperlink" Target="https://advance.lexis.com/api/document?collection=cases-ca&amp;id=urn:contentItem:5F7T-S7P1-JCRC-B287-00000-00&amp;context=" TargetMode="External" /><Relationship Id="rId56" Type="http://schemas.openxmlformats.org/officeDocument/2006/relationships/hyperlink" Target="https://advance.lexis.com/api/document?collection=cases-ca&amp;id=urn:contentItem:5F7H-KW51-JP4G-607J-00000-00&amp;context=" TargetMode="External" /><Relationship Id="rId560" Type="http://schemas.openxmlformats.org/officeDocument/2006/relationships/hyperlink" Target="https://advance.lexis.com/api/document?collection=cases-ca&amp;id=urn:contentItem:5F7T-S7N1-JC5P-G1XT-00000-00&amp;context=" TargetMode="External" /><Relationship Id="rId561" Type="http://schemas.openxmlformats.org/officeDocument/2006/relationships/hyperlink" Target="https://advance.lexis.com/api/document?collection=cases-ca&amp;id=urn:contentItem:5F7T-S7P1-JSJC-X1D9-00000-00&amp;context=" TargetMode="External" /><Relationship Id="rId562" Type="http://schemas.openxmlformats.org/officeDocument/2006/relationships/header" Target="header82.xml" /><Relationship Id="rId563" Type="http://schemas.openxmlformats.org/officeDocument/2006/relationships/header" Target="header83.xml" /><Relationship Id="rId564" Type="http://schemas.openxmlformats.org/officeDocument/2006/relationships/footer" Target="footer82.xml" /><Relationship Id="rId565" Type="http://schemas.openxmlformats.org/officeDocument/2006/relationships/footer" Target="footer83.xml" /><Relationship Id="rId566" Type="http://schemas.openxmlformats.org/officeDocument/2006/relationships/header" Target="header84.xml" /><Relationship Id="rId567" Type="http://schemas.openxmlformats.org/officeDocument/2006/relationships/footer" Target="footer84.xml" /><Relationship Id="rId568" Type="http://schemas.openxmlformats.org/officeDocument/2006/relationships/hyperlink" Target="https://advance.lexis.com/api/document?collection=cases-ca&amp;id=urn:contentItem:5F7T-S7M1-DYMS-61YD-00000-00&amp;context=" TargetMode="External" /><Relationship Id="rId569" Type="http://schemas.openxmlformats.org/officeDocument/2006/relationships/hyperlink" Target="https://advance.lexis.com/api/document?collection=cases-ca&amp;id=urn:contentItem:5F7T-S7K1-DY33-B1DH-00000-00&amp;context=" TargetMode="External" /><Relationship Id="rId57" Type="http://schemas.openxmlformats.org/officeDocument/2006/relationships/hyperlink" Target="https://advance.lexis.com/api/document?collection=cases-ca&amp;id=urn:contentItem:5F8P-SDS1-F1WF-M272-00000-00&amp;context=" TargetMode="External" /><Relationship Id="rId570" Type="http://schemas.openxmlformats.org/officeDocument/2006/relationships/hyperlink" Target="https://advance.lexis.com/api/document?collection=legislation-ca&amp;id=urn:contentItem:5F41-1FJ1-F5DR-206Y-00000-00&amp;context=" TargetMode="External" /><Relationship Id="rId571" Type="http://schemas.openxmlformats.org/officeDocument/2006/relationships/header" Target="header85.xml" /><Relationship Id="rId572" Type="http://schemas.openxmlformats.org/officeDocument/2006/relationships/header" Target="header86.xml" /><Relationship Id="rId573" Type="http://schemas.openxmlformats.org/officeDocument/2006/relationships/footer" Target="footer85.xml" /><Relationship Id="rId574" Type="http://schemas.openxmlformats.org/officeDocument/2006/relationships/footer" Target="footer86.xml" /><Relationship Id="rId575" Type="http://schemas.openxmlformats.org/officeDocument/2006/relationships/header" Target="header87.xml" /><Relationship Id="rId576" Type="http://schemas.openxmlformats.org/officeDocument/2006/relationships/footer" Target="footer87.xml" /><Relationship Id="rId577" Type="http://schemas.openxmlformats.org/officeDocument/2006/relationships/hyperlink" Target="https://advance.lexis.com/api/document?collection=cases-ca&amp;id=urn:contentItem:5F7T-S7P1-JSJC-X1PS-00000-00&amp;context=" TargetMode="External" /><Relationship Id="rId578" Type="http://schemas.openxmlformats.org/officeDocument/2006/relationships/hyperlink" Target="https://advance.lexis.com/api/document?collection=legislation-ca&amp;id=urn:contentItem:5F41-1FJ1-JBDT-B02W-00000-00&amp;context=" TargetMode="External" /><Relationship Id="rId579" Type="http://schemas.openxmlformats.org/officeDocument/2006/relationships/hyperlink" Target="https://advance.lexis.com/api/document?collection=legislation-ca&amp;id=urn:contentItem:5VYK-WB11-F5KY-B48X-00000-00&amp;context=" TargetMode="External" /><Relationship Id="rId58" Type="http://schemas.openxmlformats.org/officeDocument/2006/relationships/hyperlink" Target="https://advance.lexis.com/api/document?collection=cases-ca&amp;id=urn:contentItem:5F7T-S6W1-JB7K-21F4-00000-00&amp;context=" TargetMode="External" /><Relationship Id="rId580" Type="http://schemas.openxmlformats.org/officeDocument/2006/relationships/hyperlink" Target="https://advance.lexis.com/api/document?collection=legislation-ca&amp;id=urn:contentItem:5F41-1FG1-F4NT-X09N-00000-00&amp;context=" TargetMode="External" /><Relationship Id="rId581" Type="http://schemas.openxmlformats.org/officeDocument/2006/relationships/hyperlink" Target="https://advance.lexis.com/api/document?collection=legislation-ca&amp;id=urn:contentItem:5F41-1FM1-FJM6-61MX-00000-00&amp;context=" TargetMode="External" /><Relationship Id="rId582" Type="http://schemas.openxmlformats.org/officeDocument/2006/relationships/hyperlink" Target="https://advance.lexis.com/api/document?collection=legislation-ca&amp;id=urn:contentItem:5F41-1FJ1-JKPJ-G161-00000-00&amp;context=" TargetMode="External" /><Relationship Id="rId583" Type="http://schemas.openxmlformats.org/officeDocument/2006/relationships/hyperlink" Target="https://advance.lexis.com/api/document?collection=cases-ca&amp;id=urn:contentItem:5F8T-N3V1-JTGH-B1DR-00000-00&amp;context=" TargetMode="External" /><Relationship Id="rId584" Type="http://schemas.openxmlformats.org/officeDocument/2006/relationships/hyperlink" Target="https://advance.lexis.com/api/document?collection=cases-ca&amp;id=urn:contentItem:5F7T-S711-F4W2-61KF-00000-00&amp;context=" TargetMode="External" /><Relationship Id="rId585" Type="http://schemas.openxmlformats.org/officeDocument/2006/relationships/hyperlink" Target="https://advance.lexis.com/api/document?collection=cases-ca&amp;id=urn:contentItem:5F82-1SB1-JW09-M3T9-00000-00&amp;context=" TargetMode="External" /><Relationship Id="rId586" Type="http://schemas.openxmlformats.org/officeDocument/2006/relationships/hyperlink" Target="https://advance.lexis.com/api/document?collection=cases-ca&amp;id=urn:contentItem:5F7T-S771-F81W-229G-00000-00&amp;context=" TargetMode="External" /><Relationship Id="rId587" Type="http://schemas.openxmlformats.org/officeDocument/2006/relationships/hyperlink" Target="https://advance.lexis.com/api/document?collection=cases-ca&amp;id=urn:contentItem:5F82-1SF1-K054-G40B-00000-00&amp;context=" TargetMode="External" /><Relationship Id="rId588" Type="http://schemas.openxmlformats.org/officeDocument/2006/relationships/hyperlink" Target="https://advance.lexis.com/api/document?collection=cases-ca&amp;id=urn:contentItem:5F7T-S7K1-DY33-B1VH-00000-00&amp;context=" TargetMode="External" /><Relationship Id="rId589" Type="http://schemas.openxmlformats.org/officeDocument/2006/relationships/hyperlink" Target="https://advance.lexis.com/api/document?collection=cases-ca&amp;id=urn:contentItem:5F8P-SCP1-JWJ0-G1HJ-00000-00&amp;context=" TargetMode="External" /><Relationship Id="rId59" Type="http://schemas.openxmlformats.org/officeDocument/2006/relationships/hyperlink" Target="https://advance.lexis.com/api/document?collection=cases-ca&amp;id=urn:contentItem:5F7T-S7G1-FBFS-S2MN-00000-00&amp;context=" TargetMode="External" /><Relationship Id="rId590" Type="http://schemas.openxmlformats.org/officeDocument/2006/relationships/hyperlink" Target="https://advance.lexis.com/api/document?collection=cases-ca&amp;id=urn:contentItem:5F8P-SCW1-FBV7-B2F1-00000-00&amp;context=" TargetMode="External" /><Relationship Id="rId591" Type="http://schemas.openxmlformats.org/officeDocument/2006/relationships/hyperlink" Target="https://advance.lexis.com/api/document?collection=cases-ca&amp;id=urn:contentItem:5F7T-S7G1-JNY7-X44B-00000-00&amp;context=" TargetMode="External" /><Relationship Id="rId592" Type="http://schemas.openxmlformats.org/officeDocument/2006/relationships/hyperlink" Target="https://advance.lexis.com/api/document?collection=cases-ca&amp;id=urn:contentItem:5F8T-N3V1-JTGH-B111-00000-00&amp;context=" TargetMode="External" /><Relationship Id="rId593" Type="http://schemas.openxmlformats.org/officeDocument/2006/relationships/hyperlink" Target="https://advance.lexis.com/api/document?collection=cases-ca&amp;id=urn:contentItem:5F8P-SBV1-DXWW-2288-00000-00&amp;context=" TargetMode="External" /><Relationship Id="rId594" Type="http://schemas.openxmlformats.org/officeDocument/2006/relationships/hyperlink" Target="https://advance.lexis.com/api/document?collection=cases-ca&amp;id=urn:contentItem:5F8P-JND1-F06F-2553-00000-00&amp;context=" TargetMode="External" /><Relationship Id="rId595" Type="http://schemas.openxmlformats.org/officeDocument/2006/relationships/hyperlink" Target="https://advance.lexis.com/api/document?collection=cases-ca&amp;id=urn:contentItem:5XR8-3W11-JPP5-24VR-00000-00&amp;context=" TargetMode="External" /><Relationship Id="rId596" Type="http://schemas.openxmlformats.org/officeDocument/2006/relationships/hyperlink" Target="https://advance.lexis.com/api/document?collection=cases-ca&amp;id=urn:contentItem:5F7T-S7K1-F1H1-22HR-00000-00&amp;context=" TargetMode="External" /><Relationship Id="rId597" Type="http://schemas.openxmlformats.org/officeDocument/2006/relationships/hyperlink" Target="https://advance.lexis.com/api/document?collection=cases-ca&amp;id=urn:contentItem:5F7T-S7M1-JCRC-B1TH-00000-00&amp;context=" TargetMode="External" /><Relationship Id="rId598" Type="http://schemas.openxmlformats.org/officeDocument/2006/relationships/hyperlink" Target="https://advance.lexis.com/api/document?collection=cases-ca&amp;id=urn:contentItem:5F8T-N3V1-JTGH-B0YP-00000-00&amp;context=" TargetMode="External" /><Relationship Id="rId599" Type="http://schemas.openxmlformats.org/officeDocument/2006/relationships/hyperlink" Target="https://advance.lexis.com/api/document?collection=cases-ca&amp;id=urn:contentItem:5F7T-S7C1-F30T-B1YC-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61-JX8W-M2W3-00000-00&amp;context=" TargetMode="External" /><Relationship Id="rId600" Type="http://schemas.openxmlformats.org/officeDocument/2006/relationships/hyperlink" Target="https://advance.lexis.com/api/document?collection=cases-ca&amp;id=urn:contentItem:5F7T-S7N1-F57G-S2CH-00000-00&amp;context=" TargetMode="External" /><Relationship Id="rId601" Type="http://schemas.openxmlformats.org/officeDocument/2006/relationships/hyperlink" Target="https://advance.lexis.com/api/document?collection=cases-ca&amp;id=urn:contentItem:5F7T-S7N1-JWR6-S2FF-00000-00&amp;context=" TargetMode="External" /><Relationship Id="rId602" Type="http://schemas.openxmlformats.org/officeDocument/2006/relationships/hyperlink" Target="https://advance.lexis.com/api/document?collection=cases-ca&amp;id=urn:contentItem:5F7T-S7N1-JJ1H-X32W-00000-00&amp;context=" TargetMode="External" /><Relationship Id="rId603" Type="http://schemas.openxmlformats.org/officeDocument/2006/relationships/hyperlink" Target="https://advance.lexis.com/api/document?collection=cases-ca&amp;id=urn:contentItem:5F8T-N3V1-JTGH-B12T-00000-00&amp;context=" TargetMode="External" /><Relationship Id="rId604" Type="http://schemas.openxmlformats.org/officeDocument/2006/relationships/hyperlink" Target="https://advance.lexis.com/api/document?collection=cases-ca&amp;id=urn:contentItem:5F7T-S761-F7ND-G4MY-00000-00&amp;context=" TargetMode="External" /><Relationship Id="rId605" Type="http://schemas.openxmlformats.org/officeDocument/2006/relationships/hyperlink" Target="https://advance.lexis.com/api/document?collection=cases-ca&amp;id=urn:contentItem:5F82-1SD1-F8D9-M2GF-00000-00&amp;context=" TargetMode="External" /><Relationship Id="rId606" Type="http://schemas.openxmlformats.org/officeDocument/2006/relationships/hyperlink" Target="https://advance.lexis.com/api/document?collection=cases-ca&amp;id=urn:contentItem:5F7T-S7F1-JFKM-61NW-00000-00&amp;context=" TargetMode="External" /><Relationship Id="rId607" Type="http://schemas.openxmlformats.org/officeDocument/2006/relationships/hyperlink" Target="https://advance.lexis.com/api/document?collection=cases-ca&amp;id=urn:contentItem:5F8T-N3V1-JF75-M3VS-00000-00&amp;context=" TargetMode="External" /><Relationship Id="rId608" Type="http://schemas.openxmlformats.org/officeDocument/2006/relationships/hyperlink" Target="https://advance.lexis.com/api/document?collection=cases-ca&amp;id=urn:contentItem:5F7T-S6Y1-F81W-215K-00000-00&amp;context=" TargetMode="External" /><Relationship Id="rId609" Type="http://schemas.openxmlformats.org/officeDocument/2006/relationships/hyperlink" Target="https://advance.lexis.com/api/document?collection=cases-ca&amp;id=urn:contentItem:5F8T-N3V1-JTGH-B19N-00000-00&amp;context=" TargetMode="External" /><Relationship Id="rId61" Type="http://schemas.openxmlformats.org/officeDocument/2006/relationships/hyperlink" Target="https://advance.lexis.com/api/document?collection=cases-ca&amp;id=urn:contentItem:5F7T-S741-F2F4-G2B9-00000-00&amp;context=" TargetMode="External" /><Relationship Id="rId610" Type="http://schemas.openxmlformats.org/officeDocument/2006/relationships/hyperlink" Target="https://advance.lexis.com/api/document?collection=cases-ca&amp;id=urn:contentItem:5F8T-N3V1-FC1F-M49J-00000-00&amp;context=" TargetMode="External" /><Relationship Id="rId611" Type="http://schemas.openxmlformats.org/officeDocument/2006/relationships/hyperlink" Target="https://advance.lexis.com/api/document?collection=cases-ca&amp;id=urn:contentItem:5F7T-S7J1-DXWW-24P3-00000-00&amp;context=" TargetMode="External" /><Relationship Id="rId612" Type="http://schemas.openxmlformats.org/officeDocument/2006/relationships/hyperlink" Target="https://advance.lexis.com/api/document?collection=cases-ca&amp;id=urn:contentItem:5F7T-S7M1-JPP5-22N3-00000-00&amp;context=" TargetMode="External" /><Relationship Id="rId613" Type="http://schemas.openxmlformats.org/officeDocument/2006/relationships/hyperlink" Target="https://advance.lexis.com/api/document?collection=cases-ca&amp;id=urn:contentItem:5F7T-S7J1-JYYX-62F2-00000-00&amp;context=" TargetMode="External" /><Relationship Id="rId614" Type="http://schemas.openxmlformats.org/officeDocument/2006/relationships/hyperlink" Target="https://advance.lexis.com/api/document?collection=cases-ca&amp;id=urn:contentItem:5F16-9341-JK4W-M340-00000-00&amp;context=" TargetMode="External" /><Relationship Id="rId615" Type="http://schemas.openxmlformats.org/officeDocument/2006/relationships/hyperlink" Target="https://advance.lexis.com/api/document?collection=cases-ca&amp;id=urn:contentItem:5F7T-S7M1-JJK6-S20B-00000-00&amp;context=" TargetMode="External" /><Relationship Id="rId616" Type="http://schemas.openxmlformats.org/officeDocument/2006/relationships/hyperlink" Target="https://advance.lexis.com/api/document?collection=cases-ca&amp;id=urn:contentItem:5F8T-N3S1-JT99-24WS-00000-00&amp;context=" TargetMode="External" /><Relationship Id="rId617" Type="http://schemas.openxmlformats.org/officeDocument/2006/relationships/hyperlink" Target="https://advance.lexis.com/api/document?collection=cases-ca&amp;id=urn:contentItem:5F8P-SGB1-F873-B2YK-00000-00&amp;context=" TargetMode="External" /><Relationship Id="rId618" Type="http://schemas.openxmlformats.org/officeDocument/2006/relationships/hyperlink" Target="https://advance.lexis.com/api/document?collection=cases-ca&amp;id=urn:contentItem:5F81-VJY1-JWBS-64MX-00000-00&amp;context=" TargetMode="External" /><Relationship Id="rId619" Type="http://schemas.openxmlformats.org/officeDocument/2006/relationships/hyperlink" Target="https://advance.lexis.com/api/document?collection=cases-ca&amp;id=urn:contentItem:5F82-1SH1-F22N-X2SC-00000-00&amp;context=" TargetMode="External" /><Relationship Id="rId62" Type="http://schemas.openxmlformats.org/officeDocument/2006/relationships/hyperlink" Target="https://advance.lexis.com/api/document?collection=cases-ca&amp;id=urn:contentItem:5F7T-S701-F8KH-X150-00000-00&amp;context=" TargetMode="External" /><Relationship Id="rId620" Type="http://schemas.openxmlformats.org/officeDocument/2006/relationships/hyperlink" Target="https://advance.lexis.com/api/document?collection=cases-ca&amp;id=urn:contentItem:5F7T-S6X1-K0BB-S0PF-00000-00&amp;context=" TargetMode="External" /><Relationship Id="rId621" Type="http://schemas.openxmlformats.org/officeDocument/2006/relationships/hyperlink" Target="https://advance.lexis.com/api/document?collection=cases-ca&amp;id=urn:contentItem:5F16-9371-F27X-61M1-00000-00&amp;context=" TargetMode="External" /><Relationship Id="rId622" Type="http://schemas.openxmlformats.org/officeDocument/2006/relationships/hyperlink" Target="https://advance.lexis.com/api/document?collection=cases-ca&amp;id=urn:contentItem:5F7V-3DF1-JP4G-63WC-00000-00&amp;context=" TargetMode="External" /><Relationship Id="rId623" Type="http://schemas.openxmlformats.org/officeDocument/2006/relationships/hyperlink" Target="https://advance.lexis.com/api/document?collection=cases-ca&amp;id=urn:contentItem:5F82-1S91-JGBH-B47D-00000-00&amp;context=" TargetMode="External" /><Relationship Id="rId624" Type="http://schemas.openxmlformats.org/officeDocument/2006/relationships/hyperlink" Target="https://advance.lexis.com/api/document?collection=cases-ca&amp;id=urn:contentItem:5F7T-S7F1-JFKM-61R9-00000-00&amp;context=" TargetMode="External" /><Relationship Id="rId625" Type="http://schemas.openxmlformats.org/officeDocument/2006/relationships/hyperlink" Target="https://advance.lexis.com/api/document?collection=cases-ca&amp;id=urn:contentItem:5F8T-N3V1-JF75-M3DT-00000-00&amp;context=" TargetMode="External" /><Relationship Id="rId626" Type="http://schemas.openxmlformats.org/officeDocument/2006/relationships/header" Target="header88.xml" /><Relationship Id="rId627" Type="http://schemas.openxmlformats.org/officeDocument/2006/relationships/header" Target="header89.xml" /><Relationship Id="rId628" Type="http://schemas.openxmlformats.org/officeDocument/2006/relationships/footer" Target="footer88.xml" /><Relationship Id="rId629" Type="http://schemas.openxmlformats.org/officeDocument/2006/relationships/footer" Target="footer89.xml" /><Relationship Id="rId63" Type="http://schemas.openxmlformats.org/officeDocument/2006/relationships/hyperlink" Target="https://advance.lexis.com/api/document?collection=cases-ca&amp;id=urn:contentItem:5F7T-S711-JNS1-M14R-00000-00&amp;context=" TargetMode="External" /><Relationship Id="rId630" Type="http://schemas.openxmlformats.org/officeDocument/2006/relationships/header" Target="header90.xml" /><Relationship Id="rId631" Type="http://schemas.openxmlformats.org/officeDocument/2006/relationships/footer" Target="footer90.xml" /><Relationship Id="rId632" Type="http://schemas.openxmlformats.org/officeDocument/2006/relationships/hyperlink" Target="https://advance.lexis.com/api/document?collection=cases-ca&amp;id=urn:contentItem:5P28-FHM1-F8D9-M0KV-00000-00&amp;context=" TargetMode="External" /><Relationship Id="rId633" Type="http://schemas.openxmlformats.org/officeDocument/2006/relationships/hyperlink" Target="https://advance.lexis.com/api/document?collection=cases-ca&amp;id=urn:contentItem:5PRV-KT01-F8SS-62T6-00000-00&amp;context=" TargetMode="External" /><Relationship Id="rId634" Type="http://schemas.openxmlformats.org/officeDocument/2006/relationships/hyperlink" Target="https://advance.lexis.com/api/document?collection=legislation-ca&amp;id=urn:contentItem:5F3B-B9V1-F016-S4GH-00000-00&amp;context=" TargetMode="External" /><Relationship Id="rId635" Type="http://schemas.openxmlformats.org/officeDocument/2006/relationships/hyperlink" Target="https://advance.lexis.com/api/document?collection=legislation-ca&amp;id=urn:contentItem:5F3B-B9X1-FFMK-M09R-00000-00&amp;context=" TargetMode="External" /><Relationship Id="rId636" Type="http://schemas.openxmlformats.org/officeDocument/2006/relationships/hyperlink" Target="https://advance.lexis.com/api/document?collection=legislation-ca&amp;id=urn:contentItem:5F3B-B9X1-FFMK-M0B4-00000-00&amp;context=" TargetMode="External" /><Relationship Id="rId637" Type="http://schemas.openxmlformats.org/officeDocument/2006/relationships/hyperlink" Target="https://advance.lexis.com/api/document?collection=legislation-ca&amp;id=urn:contentItem:5VYK-WB51-K054-G4Y8-00000-00&amp;context=" TargetMode="External" /><Relationship Id="rId638" Type="http://schemas.openxmlformats.org/officeDocument/2006/relationships/hyperlink" Target="https://advance.lexis.com/api/document?collection=cases-ca&amp;id=urn:contentItem:5F7T-S7M1-DYMS-623R-00000-00&amp;context=" TargetMode="External" /><Relationship Id="rId639" Type="http://schemas.openxmlformats.org/officeDocument/2006/relationships/hyperlink" Target="https://advance.lexis.com/api/document?collection=cases-ca&amp;id=urn:contentItem:5F7T-S7N1-F57G-S26C-00000-00&amp;context=" TargetMode="External" /><Relationship Id="rId64" Type="http://schemas.openxmlformats.org/officeDocument/2006/relationships/hyperlink" Target="https://advance.lexis.com/api/document?collection=cases-ca&amp;id=urn:contentItem:5F7T-S6T1-F2F4-G1FF-00000-00&amp;context=" TargetMode="External" /><Relationship Id="rId640" Type="http://schemas.openxmlformats.org/officeDocument/2006/relationships/hyperlink" Target="https://advance.lexis.com/api/document?collection=cases-ca&amp;id=urn:contentItem:5GJP-TM61-FBV7-B4V1-00000-00&amp;context=" TargetMode="External" /><Relationship Id="rId641" Type="http://schemas.openxmlformats.org/officeDocument/2006/relationships/hyperlink" Target="https://advance.lexis.com/api/document?collection=cases-ca&amp;id=urn:contentItem:5F7T-S7M1-JNCK-22TG-00000-00&amp;context=" TargetMode="External" /><Relationship Id="rId642" Type="http://schemas.openxmlformats.org/officeDocument/2006/relationships/hyperlink" Target="https://advance.lexis.com/api/document?collection=cases-ca&amp;id=urn:contentItem:5F8T-N3V1-FC1F-M4CN-00000-00&amp;context=" TargetMode="External" /><Relationship Id="rId643" Type="http://schemas.openxmlformats.org/officeDocument/2006/relationships/hyperlink" Target="https://advance.lexis.com/api/document?collection=cases-ca&amp;id=urn:contentItem:5F8N-K751-FGJR-23SR-00000-00&amp;context=" TargetMode="External" /><Relationship Id="rId644" Type="http://schemas.openxmlformats.org/officeDocument/2006/relationships/hyperlink" Target="https://advance.lexis.com/api/document?collection=cases-ca&amp;id=urn:contentItem:5F8N-K751-F016-S4G4-00000-00&amp;context=" TargetMode="External" /><Relationship Id="rId645" Type="http://schemas.openxmlformats.org/officeDocument/2006/relationships/hyperlink" Target="https://advance.lexis.com/api/document?collection=cases-ca&amp;id=urn:contentItem:5F7T-S7P1-JSJC-X1RD-00000-00&amp;context=" TargetMode="External" /><Relationship Id="rId646" Type="http://schemas.openxmlformats.org/officeDocument/2006/relationships/hyperlink" Target="https://advance.lexis.com/api/document?collection=cases-ca&amp;id=urn:contentItem:5F7T-S7N1-JJ1H-X2SP-00000-00&amp;context=" TargetMode="External" /><Relationship Id="rId647" Type="http://schemas.openxmlformats.org/officeDocument/2006/relationships/hyperlink" Target="https://advance.lexis.com/api/document?collection=cases-ca&amp;id=urn:contentItem:5F8P-SFX1-JJK6-S2GD-00000-00&amp;context=" TargetMode="External" /><Relationship Id="rId648" Type="http://schemas.openxmlformats.org/officeDocument/2006/relationships/hyperlink" Target="https://advance.lexis.com/api/document?collection=cases-ca&amp;id=urn:contentItem:5F8P-SFY1-F5DR-21V9-00000-00&amp;context=" TargetMode="External" /><Relationship Id="rId649" Type="http://schemas.openxmlformats.org/officeDocument/2006/relationships/hyperlink" Target="https://advance.lexis.com/api/document?collection=cases-ca&amp;id=urn:contentItem:5F7T-S7K1-DY33-B1FD-00000-00&amp;context=" TargetMode="External" /><Relationship Id="rId65" Type="http://schemas.openxmlformats.org/officeDocument/2006/relationships/hyperlink" Target="https://advance.lexis.com/api/document?collection=cases-ca&amp;id=urn:contentItem:5F7T-S6W1-F7ND-G2KM-00000-00&amp;context=" TargetMode="External" /><Relationship Id="rId650" Type="http://schemas.openxmlformats.org/officeDocument/2006/relationships/hyperlink" Target="https://advance.lexis.com/api/document?collection=cases-ca&amp;id=urn:contentItem:5GN8-FRT1-FC6N-X1YJ-00000-00&amp;context=" TargetMode="External" /><Relationship Id="rId651" Type="http://schemas.openxmlformats.org/officeDocument/2006/relationships/hyperlink" Target="https://advance.lexis.com/api/document?collection=cases-ca&amp;id=urn:contentItem:5F7T-S7P1-JCRC-B22B-00000-00&amp;context=" TargetMode="External" /><Relationship Id="rId652" Type="http://schemas.openxmlformats.org/officeDocument/2006/relationships/hyperlink" Target="https://advance.lexis.com/api/document?collection=cases-ca&amp;id=urn:contentItem:5F7T-S7P1-JP4G-61N2-00000-00&amp;context=" TargetMode="External" /><Relationship Id="rId653" Type="http://schemas.openxmlformats.org/officeDocument/2006/relationships/hyperlink" Target="https://advance.lexis.com/api/document?collection=cases-ca&amp;id=urn:contentItem:5JXC-X5T1-F8SS-616T-00000-00&amp;context=" TargetMode="External" /><Relationship Id="rId654" Type="http://schemas.openxmlformats.org/officeDocument/2006/relationships/hyperlink" Target="https://advance.lexis.com/api/document?collection=cases-ca&amp;id=urn:contentItem:5F7T-S7N1-F06F-24P8-00000-00&amp;context=" TargetMode="External" /><Relationship Id="rId655" Type="http://schemas.openxmlformats.org/officeDocument/2006/relationships/hyperlink" Target="https://advance.lexis.com/api/document?collection=cases-ca&amp;id=urn:contentItem:5F7T-S7F1-F7VM-S4BH-00000-00&amp;context=" TargetMode="External" /><Relationship Id="rId656" Type="http://schemas.openxmlformats.org/officeDocument/2006/relationships/hyperlink" Target="https://advance.lexis.com/api/document?collection=cases-ca&amp;id=urn:contentItem:5F7T-S7D1-DY89-M43G-00000-00&amp;context=" TargetMode="External" /><Relationship Id="rId657" Type="http://schemas.openxmlformats.org/officeDocument/2006/relationships/hyperlink" Target="https://advance.lexis.com/api/document?collection=cases-ca&amp;id=urn:contentItem:5F7T-S7N1-JW09-M11K-00000-00&amp;context=" TargetMode="External" /><Relationship Id="rId658" Type="http://schemas.openxmlformats.org/officeDocument/2006/relationships/hyperlink" Target="https://advance.lexis.com/api/document?collection=cases-ca&amp;id=urn:contentItem:5F7T-S7N1-JGHR-M2X4-00000-00&amp;context=" TargetMode="External" /><Relationship Id="rId659" Type="http://schemas.openxmlformats.org/officeDocument/2006/relationships/hyperlink" Target="https://advance.lexis.com/api/document?collection=cases-ca&amp;id=urn:contentItem:5F7T-S7N1-F06F-24GM-00000-00&amp;context=" TargetMode="External" /><Relationship Id="rId66" Type="http://schemas.openxmlformats.org/officeDocument/2006/relationships/hyperlink" Target="https://advance.lexis.com/api/document?collection=cases-ca&amp;id=urn:contentItem:5F7T-S6V1-F2TK-22G9-00000-00&amp;context=" TargetMode="External" /><Relationship Id="rId660" Type="http://schemas.openxmlformats.org/officeDocument/2006/relationships/hyperlink" Target="https://advance.lexis.com/api/document?collection=cases-ca&amp;id=urn:contentItem:5F8P-SCM1-FJM6-60VW-00000-00&amp;context=" TargetMode="External" /><Relationship Id="rId661" Type="http://schemas.openxmlformats.org/officeDocument/2006/relationships/hyperlink" Target="https://advance.lexis.com/api/document?collection=cases-ca&amp;id=urn:contentItem:5F7T-S7N1-JC5P-G1Y5-00000-00&amp;context=" TargetMode="External" /><Relationship Id="rId662" Type="http://schemas.openxmlformats.org/officeDocument/2006/relationships/header" Target="header91.xml" /><Relationship Id="rId663" Type="http://schemas.openxmlformats.org/officeDocument/2006/relationships/header" Target="header92.xml" /><Relationship Id="rId664" Type="http://schemas.openxmlformats.org/officeDocument/2006/relationships/footer" Target="footer91.xml" /><Relationship Id="rId665" Type="http://schemas.openxmlformats.org/officeDocument/2006/relationships/footer" Target="footer92.xml" /><Relationship Id="rId666" Type="http://schemas.openxmlformats.org/officeDocument/2006/relationships/header" Target="header93.xml" /><Relationship Id="rId667" Type="http://schemas.openxmlformats.org/officeDocument/2006/relationships/footer" Target="footer93.xml" /><Relationship Id="rId668" Type="http://schemas.openxmlformats.org/officeDocument/2006/relationships/hyperlink" Target="https://advance.lexis.com/api/document?collection=cases-ca&amp;id=urn:contentItem:5MRB-VMB1-K054-G0MR-00000-00&amp;context=" TargetMode="External" /><Relationship Id="rId669" Type="http://schemas.openxmlformats.org/officeDocument/2006/relationships/hyperlink" Target="https://advance.lexis.com/api/document?collection=legislation-ca&amp;id=urn:contentItem:5F41-1FH1-F361-M0H8-00000-00&amp;context=" TargetMode="External" /><Relationship Id="rId67" Type="http://schemas.openxmlformats.org/officeDocument/2006/relationships/hyperlink" Target="https://advance.lexis.com/api/document?collection=cases-ca&amp;id=urn:contentItem:5F7T-S751-JP4G-613B-00000-00&amp;context=" TargetMode="External" /><Relationship Id="rId670" Type="http://schemas.openxmlformats.org/officeDocument/2006/relationships/hyperlink" Target="https://advance.lexis.com/api/document?collection=cases-ca&amp;id=urn:contentItem:5F7T-S7C1-FCSB-S2DJ-00000-00&amp;context=" TargetMode="External" /><Relationship Id="rId671" Type="http://schemas.openxmlformats.org/officeDocument/2006/relationships/hyperlink" Target="https://advance.lexis.com/api/document?collection=cases-ca&amp;id=urn:contentItem:5F7T-S7K1-JX3N-B2V4-00000-00&amp;context=" TargetMode="External" /><Relationship Id="rId672" Type="http://schemas.openxmlformats.org/officeDocument/2006/relationships/hyperlink" Target="https://advance.lexis.com/api/document?collection=cases-ca&amp;id=urn:contentItem:5F7T-S7N1-F06F-24KX-00000-00&amp;context=" TargetMode="External" /><Relationship Id="rId673" Type="http://schemas.openxmlformats.org/officeDocument/2006/relationships/hyperlink" Target="https://advance.lexis.com/api/document?collection=cases-ca&amp;id=urn:contentItem:5F8T-N3P1-F7ND-G14C-00000-00&amp;context=" TargetMode="External" /><Relationship Id="rId674" Type="http://schemas.openxmlformats.org/officeDocument/2006/relationships/hyperlink" Target="https://advance.lexis.com/api/document?collection=cases-ca&amp;id=urn:contentItem:5F81-YGW1-DYFH-X025-00000-00&amp;context=" TargetMode="External" /><Relationship Id="rId675" Type="http://schemas.openxmlformats.org/officeDocument/2006/relationships/hyperlink" Target="https://advance.lexis.com/api/document?collection=cases-ca&amp;id=urn:contentItem:5F8P-SC71-JK4W-M2MK-00000-00&amp;context=" TargetMode="External" /><Relationship Id="rId676" Type="http://schemas.openxmlformats.org/officeDocument/2006/relationships/hyperlink" Target="https://advance.lexis.com/api/document?collection=cases-ca&amp;id=urn:contentItem:5F8T-N3V1-JF75-M3WX-00000-00&amp;context=" TargetMode="External" /><Relationship Id="rId677" Type="http://schemas.openxmlformats.org/officeDocument/2006/relationships/hyperlink" Target="https://advance.lexis.com/api/document?collection=cases-ca&amp;id=urn:contentItem:5F16-9321-FC1F-M53V-00000-00&amp;context=" TargetMode="External" /><Relationship Id="rId678" Type="http://schemas.openxmlformats.org/officeDocument/2006/relationships/hyperlink" Target="https://advance.lexis.com/api/document?collection=cases-ca&amp;id=urn:contentItem:5F7T-S711-JG02-S1F6-00000-00&amp;context=" TargetMode="External" /><Relationship Id="rId679" Type="http://schemas.openxmlformats.org/officeDocument/2006/relationships/hyperlink" Target="https://advance.lexis.com/api/document?collection=cases-ca&amp;id=urn:contentItem:5F7T-S7N1-JWR6-S2JD-00000-00&amp;context=" TargetMode="External" /><Relationship Id="rId68" Type="http://schemas.openxmlformats.org/officeDocument/2006/relationships/hyperlink" Target="https://advance.lexis.com/api/document?collection=cases-ca&amp;id=urn:contentItem:5F7T-S7F1-FJTD-G3KJ-00000-00&amp;context=" TargetMode="External" /><Relationship Id="rId680" Type="http://schemas.openxmlformats.org/officeDocument/2006/relationships/hyperlink" Target="https://advance.lexis.com/api/document?collection=cases-ca&amp;id=urn:contentItem:5F7T-S6T1-FJTD-G1NJ-00000-00&amp;context=" TargetMode="External" /><Relationship Id="rId681" Type="http://schemas.openxmlformats.org/officeDocument/2006/relationships/hyperlink" Target="https://advance.lexis.com/api/document?collection=cases-ca&amp;id=urn:contentItem:5HHT-8531-JCRC-B111-00000-00&amp;context=" TargetMode="External" /><Relationship Id="rId682" Type="http://schemas.openxmlformats.org/officeDocument/2006/relationships/hyperlink" Target="https://advance.lexis.com/api/document?collection=cases-ca&amp;id=urn:contentItem:5F7T-S7F1-FBN1-21Y2-00000-00&amp;context=" TargetMode="External" /><Relationship Id="rId683" Type="http://schemas.openxmlformats.org/officeDocument/2006/relationships/hyperlink" Target="https://advance.lexis.com/api/document?collection=cases-ca&amp;id=urn:contentItem:5F7T-S7M1-JNCK-22GR-00000-00&amp;context=" TargetMode="External" /><Relationship Id="rId684" Type="http://schemas.openxmlformats.org/officeDocument/2006/relationships/hyperlink" Target="https://advance.lexis.com/api/document?collection=cases-ca&amp;id=urn:contentItem:5F7T-S7M1-JFSV-G3NM-00000-00&amp;context=" TargetMode="External" /><Relationship Id="rId685" Type="http://schemas.openxmlformats.org/officeDocument/2006/relationships/hyperlink" Target="https://advance.lexis.com/api/document?collection=cases-ca&amp;id=urn:contentItem:5F7T-S7K1-F528-G2XC-00000-00&amp;context=" TargetMode="External" /><Relationship Id="rId686" Type="http://schemas.openxmlformats.org/officeDocument/2006/relationships/hyperlink" Target="https://advance.lexis.com/api/document?collection=cases-ca&amp;id=urn:contentItem:5F7T-S7M1-F4W2-626V-00000-00&amp;context=" TargetMode="External" /><Relationship Id="rId687" Type="http://schemas.openxmlformats.org/officeDocument/2006/relationships/hyperlink" Target="https://advance.lexis.com/api/document?collection=cases-ca&amp;id=urn:contentItem:5G6C-VP51-F7VM-S0N3-00000-00&amp;context=" TargetMode="External" /><Relationship Id="rId688" Type="http://schemas.openxmlformats.org/officeDocument/2006/relationships/hyperlink" Target="https://advance.lexis.com/api/document?collection=cases-ca&amp;id=urn:contentItem:5F7T-S7N1-F57G-S2PF-00000-00&amp;context=" TargetMode="External" /><Relationship Id="rId689" Type="http://schemas.openxmlformats.org/officeDocument/2006/relationships/hyperlink" Target="https://advance.lexis.com/api/document?collection=cases-ca&amp;id=urn:contentItem:5F7T-S7M1-F4W2-626S-00000-00&amp;context=" TargetMode="External" /><Relationship Id="rId69" Type="http://schemas.openxmlformats.org/officeDocument/2006/relationships/hyperlink" Target="https://advance.lexis.com/api/document?collection=cases-ca&amp;id=urn:contentItem:5F7T-S701-JJ6S-61KT-00000-00&amp;context=" TargetMode="External" /><Relationship Id="rId690" Type="http://schemas.openxmlformats.org/officeDocument/2006/relationships/hyperlink" Target="https://advance.lexis.com/api/document?collection=cases-ca&amp;id=urn:contentItem:5F7T-S7B1-FH4C-X381-00000-00&amp;context=" TargetMode="External" /><Relationship Id="rId691" Type="http://schemas.openxmlformats.org/officeDocument/2006/relationships/hyperlink" Target="https://advance.lexis.com/api/document?collection=cases-ca&amp;id=urn:contentItem:5GCC-XVB1-JGHR-M4HX-00000-00&amp;context=" TargetMode="External" /><Relationship Id="rId692" Type="http://schemas.openxmlformats.org/officeDocument/2006/relationships/hyperlink" Target="https://advance.lexis.com/api/document?collection=cases-ca&amp;id=urn:contentItem:5GCC-XVB1-FK0M-S53D-00000-00&amp;context=" TargetMode="External" /><Relationship Id="rId693" Type="http://schemas.openxmlformats.org/officeDocument/2006/relationships/hyperlink" Target="https://advance.lexis.com/api/document?collection=cases-ca&amp;id=urn:contentItem:5GCC-XVB1-JSXV-G060-00000-00&amp;context=" TargetMode="External" /><Relationship Id="rId694" Type="http://schemas.openxmlformats.org/officeDocument/2006/relationships/hyperlink" Target="https://advance.lexis.com/api/document?collection=cases-ca&amp;id=urn:contentItem:5F7T-S7M1-F4W2-629B-00000-00&amp;context=" TargetMode="External" /><Relationship Id="rId695" Type="http://schemas.openxmlformats.org/officeDocument/2006/relationships/hyperlink" Target="https://advance.lexis.com/api/document?collection=cases-ca&amp;id=urn:contentItem:5M43-BH51-DXHD-G241-00000-00&amp;context=" TargetMode="External" /><Relationship Id="rId696" Type="http://schemas.openxmlformats.org/officeDocument/2006/relationships/hyperlink" Target="https://advance.lexis.com/api/document?collection=cases-ca&amp;id=urn:contentItem:5F7T-S7M1-JFSV-G3FG-00000-00&amp;context=" TargetMode="External" /><Relationship Id="rId697" Type="http://schemas.openxmlformats.org/officeDocument/2006/relationships/hyperlink" Target="https://advance.lexis.com/api/document?collection=cases-ca&amp;id=urn:contentItem:5GCC-XVB1-JGHR-M48S-00000-00&amp;context=" TargetMode="External" /><Relationship Id="rId698" Type="http://schemas.openxmlformats.org/officeDocument/2006/relationships/hyperlink" Target="https://advance.lexis.com/api/document?collection=cases-ca&amp;id=urn:contentItem:5F7T-S7N1-JJ1H-X30K-00000-00&amp;context=" TargetMode="External" /><Relationship Id="rId699" Type="http://schemas.openxmlformats.org/officeDocument/2006/relationships/hyperlink" Target="https://advance.lexis.com/api/document?collection=cases-ca&amp;id=urn:contentItem:5GCC-XVB1-JSXV-G0C7-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8T-N3V1-FC1F-M41J-00000-00&amp;context=" TargetMode="External" /><Relationship Id="rId700" Type="http://schemas.openxmlformats.org/officeDocument/2006/relationships/hyperlink" Target="https://advance.lexis.com/api/document?collection=cases-ca&amp;id=urn:contentItem:5F7T-S7M1-JJK6-S1KF-00000-00&amp;context=" TargetMode="External" /><Relationship Id="rId701" Type="http://schemas.openxmlformats.org/officeDocument/2006/relationships/hyperlink" Target="https://advance.lexis.com/api/document?collection=cases-ca&amp;id=urn:contentItem:5GCC-XVC1-F900-G4VD-00000-00&amp;context=" TargetMode="External" /><Relationship Id="rId702" Type="http://schemas.openxmlformats.org/officeDocument/2006/relationships/hyperlink" Target="https://advance.lexis.com/api/document?collection=cases-ca&amp;id=urn:contentItem:5F7T-S7K1-DY33-B1KS-00000-00&amp;context=" TargetMode="External" /><Relationship Id="rId703" Type="http://schemas.openxmlformats.org/officeDocument/2006/relationships/hyperlink" Target="https://advance.lexis.com/api/document?collection=cases-ca&amp;id=urn:contentItem:5K56-XS31-FC6N-X36V-00000-00&amp;context=" TargetMode="External" /><Relationship Id="rId704" Type="http://schemas.openxmlformats.org/officeDocument/2006/relationships/hyperlink" Target="https://advance.lexis.com/api/document?collection=cases-ca&amp;id=urn:contentItem:5JN4-S1R1-FGJR-236B-00000-00&amp;context=" TargetMode="External" /><Relationship Id="rId705" Type="http://schemas.openxmlformats.org/officeDocument/2006/relationships/hyperlink" Target="https://advance.lexis.com/api/document?collection=cases-ca&amp;id=urn:contentItem:5F7T-S7P1-JNJT-B2BB-00000-00&amp;context=" TargetMode="External" /><Relationship Id="rId706" Type="http://schemas.openxmlformats.org/officeDocument/2006/relationships/hyperlink" Target="https://advance.lexis.com/api/document?collection=cases-ca&amp;id=urn:contentItem:5GCC-XVB1-JSXV-G0BF-00000-00&amp;context=" TargetMode="External" /><Relationship Id="rId707" Type="http://schemas.openxmlformats.org/officeDocument/2006/relationships/hyperlink" Target="https://advance.lexis.com/api/document?collection=cases-ca&amp;id=urn:contentItem:5F7T-S7N1-F06F-24SM-00000-00&amp;context=" TargetMode="External" /><Relationship Id="rId708" Type="http://schemas.openxmlformats.org/officeDocument/2006/relationships/hyperlink" Target="https://advance.lexis.com/api/document?collection=cases-ca&amp;id=urn:contentItem:5HR4-FPP1-JG02-S2B9-00000-00&amp;context=" TargetMode="External" /><Relationship Id="rId709" Type="http://schemas.openxmlformats.org/officeDocument/2006/relationships/hyperlink" Target="https://advance.lexis.com/api/document?collection=cases-ca&amp;id=urn:contentItem:5F7T-S7F1-JK4W-M1CF-00000-00&amp;context=" TargetMode="External" /><Relationship Id="rId71" Type="http://schemas.openxmlformats.org/officeDocument/2006/relationships/header" Target="header13.xml" /><Relationship Id="rId710" Type="http://schemas.openxmlformats.org/officeDocument/2006/relationships/hyperlink" Target="https://advance.lexis.com/api/document?collection=cases-ca&amp;id=urn:contentItem:5F7T-S7P1-JNJT-B2B4-00000-00&amp;context=" TargetMode="External" /><Relationship Id="rId711" Type="http://schemas.openxmlformats.org/officeDocument/2006/relationships/hyperlink" Target="https://advance.lexis.com/api/document?collection=cases-ca&amp;id=urn:contentItem:5J17-BK31-F5T5-M24J-00000-00&amp;context=" TargetMode="External" /><Relationship Id="rId712" Type="http://schemas.openxmlformats.org/officeDocument/2006/relationships/hyperlink" Target="https://advance.lexis.com/api/document?collection=cases-ca&amp;id=urn:contentItem:5F8T-N3T1-JJSF-234V-00000-00&amp;context=" TargetMode="External" /><Relationship Id="rId713" Type="http://schemas.openxmlformats.org/officeDocument/2006/relationships/hyperlink" Target="https://advance.lexis.com/api/document?collection=cases-ca&amp;id=urn:contentItem:5F7T-S7D1-JN6B-S13K-00000-00&amp;context=" TargetMode="External" /><Relationship Id="rId714" Type="http://schemas.openxmlformats.org/officeDocument/2006/relationships/hyperlink" Target="https://advance.lexis.com/api/document?collection=cases-ca&amp;id=urn:contentItem:5F7T-S7M1-F4W2-62D0-00000-00&amp;context=" TargetMode="External" /><Relationship Id="rId715" Type="http://schemas.openxmlformats.org/officeDocument/2006/relationships/hyperlink" Target="https://advance.lexis.com/api/document?collection=cases-ca&amp;id=urn:contentItem:5F7T-S7F1-F7VM-S475-00000-00&amp;context=" TargetMode="External" /><Relationship Id="rId716" Type="http://schemas.openxmlformats.org/officeDocument/2006/relationships/header" Target="header94.xml" /><Relationship Id="rId717" Type="http://schemas.openxmlformats.org/officeDocument/2006/relationships/header" Target="header95.xml" /><Relationship Id="rId718" Type="http://schemas.openxmlformats.org/officeDocument/2006/relationships/footer" Target="footer94.xml" /><Relationship Id="rId719" Type="http://schemas.openxmlformats.org/officeDocument/2006/relationships/footer" Target="footer95.xml" /><Relationship Id="rId72" Type="http://schemas.openxmlformats.org/officeDocument/2006/relationships/header" Target="header14.xml" /><Relationship Id="rId720" Type="http://schemas.openxmlformats.org/officeDocument/2006/relationships/header" Target="header96.xml" /><Relationship Id="rId721" Type="http://schemas.openxmlformats.org/officeDocument/2006/relationships/footer" Target="footer96.xml" /><Relationship Id="rId722" Type="http://schemas.openxmlformats.org/officeDocument/2006/relationships/hyperlink" Target="https://advance.lexis.com/api/document?collection=cases-ca&amp;id=urn:contentItem:5F7T-S7M1-JFSV-G3DB-00000-00&amp;context=" TargetMode="External" /><Relationship Id="rId723" Type="http://schemas.openxmlformats.org/officeDocument/2006/relationships/hyperlink" Target="https://advance.lexis.com/api/document?collection=legislation-ca&amp;id=urn:contentItem:5F41-1FJ1-JPGX-S0S5-00000-00&amp;context=" TargetMode="External" /><Relationship Id="rId724" Type="http://schemas.openxmlformats.org/officeDocument/2006/relationships/hyperlink" Target="https://advance.lexis.com/api/document?collection=cases-ca&amp;id=urn:contentItem:5F7T-S7C1-F4NT-X44D-00000-00&amp;context=" TargetMode="External" /><Relationship Id="rId725" Type="http://schemas.openxmlformats.org/officeDocument/2006/relationships/hyperlink" Target="https://advance.lexis.com/api/document?collection=cases-ca&amp;id=urn:contentItem:5F7T-S7D1-JXG3-X0PB-00000-00&amp;context=" TargetMode="External" /><Relationship Id="rId726" Type="http://schemas.openxmlformats.org/officeDocument/2006/relationships/hyperlink" Target="https://advance.lexis.com/api/document?collection=cases-ca&amp;id=urn:contentItem:5F7T-S7G1-JWR6-S1R8-00000-00&amp;context=" TargetMode="External" /><Relationship Id="rId727" Type="http://schemas.openxmlformats.org/officeDocument/2006/relationships/hyperlink" Target="https://advance.lexis.com/api/document?collection=cases-ca&amp;id=urn:contentItem:5F7T-S7C1-JS0R-22G1-00000-00&amp;context=" TargetMode="External" /><Relationship Id="rId728" Type="http://schemas.openxmlformats.org/officeDocument/2006/relationships/header" Target="header97.xml" /><Relationship Id="rId729" Type="http://schemas.openxmlformats.org/officeDocument/2006/relationships/header" Target="header98.xml" /><Relationship Id="rId73" Type="http://schemas.openxmlformats.org/officeDocument/2006/relationships/footer" Target="footer13.xml" /><Relationship Id="rId730" Type="http://schemas.openxmlformats.org/officeDocument/2006/relationships/footer" Target="footer97.xml" /><Relationship Id="rId731" Type="http://schemas.openxmlformats.org/officeDocument/2006/relationships/footer" Target="footer98.xml" /><Relationship Id="rId732" Type="http://schemas.openxmlformats.org/officeDocument/2006/relationships/header" Target="header99.xml" /><Relationship Id="rId733" Type="http://schemas.openxmlformats.org/officeDocument/2006/relationships/footer" Target="footer99.xml" /><Relationship Id="rId734" Type="http://schemas.openxmlformats.org/officeDocument/2006/relationships/hyperlink" Target="https://advance.lexis.com/api/document?collection=cases-ca&amp;id=urn:contentItem:5F7T-S7K1-JNY7-X4GT-00000-00&amp;context=" TargetMode="External" /><Relationship Id="rId735" Type="http://schemas.openxmlformats.org/officeDocument/2006/relationships/hyperlink" Target="https://advance.lexis.com/api/document?collection=cases-ca&amp;id=urn:contentItem:5F7T-S6X1-JXNB-6314-00000-00&amp;context=" TargetMode="External" /><Relationship Id="rId736" Type="http://schemas.openxmlformats.org/officeDocument/2006/relationships/hyperlink" Target="https://advance.lexis.com/api/document?collection=cases-ca&amp;id=urn:contentItem:5F7T-S751-JGHR-M1RJ-00000-00&amp;context=" TargetMode="External" /><Relationship Id="rId737" Type="http://schemas.openxmlformats.org/officeDocument/2006/relationships/hyperlink" Target="https://advance.lexis.com/api/document?collection=cases-ca&amp;id=urn:contentItem:5F8T-N3S1-JBDT-B01P-00000-00&amp;context=" TargetMode="External" /><Relationship Id="rId738" Type="http://schemas.openxmlformats.org/officeDocument/2006/relationships/hyperlink" Target="https://advance.lexis.com/api/document?collection=cases-ca&amp;id=urn:contentItem:5F8T-N3T1-JGHR-M21F-00000-00&amp;context=" TargetMode="External" /><Relationship Id="rId739" Type="http://schemas.openxmlformats.org/officeDocument/2006/relationships/hyperlink" Target="https://advance.lexis.com/api/document?collection=cases-ca&amp;id=urn:contentItem:5F7T-S6Y1-JNY7-X2P6-00000-00&amp;context=" TargetMode="External" /><Relationship Id="rId74" Type="http://schemas.openxmlformats.org/officeDocument/2006/relationships/footer" Target="footer14.xml" /><Relationship Id="rId740" Type="http://schemas.openxmlformats.org/officeDocument/2006/relationships/hyperlink" Target="https://advance.lexis.com/api/document?collection=cases-ca&amp;id=urn:contentItem:5F8T-N3T1-JFKM-6524-00000-00&amp;context=" TargetMode="External" /><Relationship Id="rId741" Type="http://schemas.openxmlformats.org/officeDocument/2006/relationships/hyperlink" Target="https://advance.lexis.com/api/document?collection=cases-ca&amp;id=urn:contentItem:5F8T-N3S1-JT99-250X-00000-00&amp;context=" TargetMode="External" /><Relationship Id="rId742" Type="http://schemas.openxmlformats.org/officeDocument/2006/relationships/hyperlink" Target="https://advance.lexis.com/api/document?collection=cases-ca&amp;id=urn:contentItem:5F7T-S7K1-JSJC-X17V-00000-00&amp;context=" TargetMode="External" /><Relationship Id="rId743" Type="http://schemas.openxmlformats.org/officeDocument/2006/relationships/hyperlink" Target="https://advance.lexis.com/api/document?collection=cases-ca&amp;id=urn:contentItem:5F7T-S7H1-F016-S3XH-00000-00&amp;context=" TargetMode="External" /><Relationship Id="rId744" Type="http://schemas.openxmlformats.org/officeDocument/2006/relationships/hyperlink" Target="https://advance.lexis.com/api/document?collection=cases-ca&amp;id=urn:contentItem:5F7T-S7F1-JBT7-X2MK-00000-00&amp;context=" TargetMode="External" /><Relationship Id="rId745" Type="http://schemas.openxmlformats.org/officeDocument/2006/relationships/header" Target="header100.xml" /><Relationship Id="rId746" Type="http://schemas.openxmlformats.org/officeDocument/2006/relationships/header" Target="header101.xml" /><Relationship Id="rId747" Type="http://schemas.openxmlformats.org/officeDocument/2006/relationships/footer" Target="footer100.xml" /><Relationship Id="rId748" Type="http://schemas.openxmlformats.org/officeDocument/2006/relationships/footer" Target="footer101.xml" /><Relationship Id="rId749" Type="http://schemas.openxmlformats.org/officeDocument/2006/relationships/header" Target="header102.xml" /><Relationship Id="rId75" Type="http://schemas.openxmlformats.org/officeDocument/2006/relationships/header" Target="header15.xml" /><Relationship Id="rId750" Type="http://schemas.openxmlformats.org/officeDocument/2006/relationships/footer" Target="footer102.xml" /><Relationship Id="rId751" Type="http://schemas.openxmlformats.org/officeDocument/2006/relationships/hyperlink" Target="https://advance.lexis.com/api/document?collection=cases-ca&amp;id=urn:contentItem:5F7T-S7N1-JW09-M0NT-00000-00&amp;context=" TargetMode="External" /><Relationship Id="rId752" Type="http://schemas.openxmlformats.org/officeDocument/2006/relationships/hyperlink" Target="https://advance.lexis.com/api/document?collection=legislation-ca&amp;id=urn:contentItem:5WC4-20J1-FGCG-S47R-00000-00&amp;context=" TargetMode="External" /><Relationship Id="rId753" Type="http://schemas.openxmlformats.org/officeDocument/2006/relationships/hyperlink" Target="https://advance.lexis.com/api/document?collection=legislation-ca&amp;id=urn:contentItem:5F41-1FG1-JC0G-61TM-00000-00&amp;context=" TargetMode="External" /><Relationship Id="rId754" Type="http://schemas.openxmlformats.org/officeDocument/2006/relationships/hyperlink" Target="https://advance.lexis.com/api/document?collection=legislation-ca&amp;id=urn:contentItem:5F41-1FG1-FBN1-20VP-00000-00&amp;context=" TargetMode="External" /><Relationship Id="rId755" Type="http://schemas.openxmlformats.org/officeDocument/2006/relationships/hyperlink" Target="https://advance.lexis.com/api/document?collection=cases-ca&amp;id=urn:contentItem:5F7T-S7K1-DY33-B1C0-00000-00&amp;context=" TargetMode="External" /><Relationship Id="rId756" Type="http://schemas.openxmlformats.org/officeDocument/2006/relationships/hyperlink" Target="https://advance.lexis.com/api/document?collection=cases-ca&amp;id=urn:contentItem:5F7T-S7M1-JPP5-22K4-00000-00&amp;context=" TargetMode="External" /><Relationship Id="rId757" Type="http://schemas.openxmlformats.org/officeDocument/2006/relationships/hyperlink" Target="https://advance.lexis.com/api/document?collection=cases-ca&amp;id=urn:contentItem:5F7T-S7G1-JBT7-X413-00000-00&amp;context=" TargetMode="External" /><Relationship Id="rId758" Type="http://schemas.openxmlformats.org/officeDocument/2006/relationships/hyperlink" Target="https://advance.lexis.com/api/document?collection=cases-ca&amp;id=urn:contentItem:5F7T-S7H1-K054-G2BY-00000-00&amp;context=" TargetMode="External" /><Relationship Id="rId759" Type="http://schemas.openxmlformats.org/officeDocument/2006/relationships/hyperlink" Target="https://advance.lexis.com/api/document?collection=cases-ca&amp;id=urn:contentItem:5F7T-S781-F06F-23N8-00000-00&amp;context=" TargetMode="External" /><Relationship Id="rId76" Type="http://schemas.openxmlformats.org/officeDocument/2006/relationships/footer" Target="footer15.xml" /><Relationship Id="rId760" Type="http://schemas.openxmlformats.org/officeDocument/2006/relationships/hyperlink" Target="https://advance.lexis.com/api/document?collection=cases-ca&amp;id=urn:contentItem:5F8T-N3V1-FH4C-X22N-00000-00&amp;context=" TargetMode="External" /><Relationship Id="rId761" Type="http://schemas.openxmlformats.org/officeDocument/2006/relationships/hyperlink" Target="https://advance.lexis.com/api/document?collection=cases-ca&amp;id=urn:contentItem:5FBB-JF41-JT99-22C4-00000-00&amp;context=" TargetMode="External" /><Relationship Id="rId762" Type="http://schemas.openxmlformats.org/officeDocument/2006/relationships/hyperlink" Target="https://advance.lexis.com/api/document?collection=cases-ca&amp;id=urn:contentItem:5F8P-SF91-JSC5-M22B-00000-00&amp;context=" TargetMode="External" /><Relationship Id="rId763" Type="http://schemas.openxmlformats.org/officeDocument/2006/relationships/hyperlink" Target="https://advance.lexis.com/api/document?collection=cases-ca&amp;id=urn:contentItem:5F8P-SFH1-JS0R-20JR-00000-00&amp;context=" TargetMode="External" /><Relationship Id="rId764" Type="http://schemas.openxmlformats.org/officeDocument/2006/relationships/hyperlink" Target="https://advance.lexis.com/api/document?collection=cases-ca&amp;id=urn:contentItem:5F8T-N3R1-FJDY-X34J-00000-00&amp;context=" TargetMode="External" /><Relationship Id="rId765" Type="http://schemas.openxmlformats.org/officeDocument/2006/relationships/hyperlink" Target="https://advance.lexis.com/api/document?collection=cases-ca&amp;id=urn:contentItem:5F8T-N3V1-FH4C-X1W4-00000-00&amp;context=" TargetMode="External" /><Relationship Id="rId766" Type="http://schemas.openxmlformats.org/officeDocument/2006/relationships/hyperlink" Target="https://advance.lexis.com/api/document?collection=cases-ca&amp;id=urn:contentItem:5F8T-N3V1-JTGH-B14Y-00000-00&amp;context=" TargetMode="External" /><Relationship Id="rId767" Type="http://schemas.openxmlformats.org/officeDocument/2006/relationships/hyperlink" Target="https://advance.lexis.com/api/document?collection=cases-ca&amp;id=urn:contentItem:5F8T-N3V1-FC1F-M43T-00000-00&amp;context=" TargetMode="External" /><Relationship Id="rId768" Type="http://schemas.openxmlformats.org/officeDocument/2006/relationships/hyperlink" Target="https://advance.lexis.com/api/document?collection=cases-ca&amp;id=urn:contentItem:5F8T-N3T1-JGHR-M1Y9-00000-00&amp;context=" TargetMode="External" /><Relationship Id="rId769" Type="http://schemas.openxmlformats.org/officeDocument/2006/relationships/hyperlink" Target="https://advance.lexis.com/api/document?collection=cases-ca&amp;id=urn:contentItem:5F7T-S771-JW5H-X1TR-00000-00&amp;context=" TargetMode="External" /><Relationship Id="rId77" Type="http://schemas.openxmlformats.org/officeDocument/2006/relationships/hyperlink" Target="https://advance.lexis.com/api/document?collection=cases-ca&amp;id=urn:contentItem:5F7T-S7G1-JPP5-222S-00000-00&amp;context=" TargetMode="External" /><Relationship Id="rId770" Type="http://schemas.openxmlformats.org/officeDocument/2006/relationships/hyperlink" Target="https://advance.lexis.com/api/document?collection=cases-ca&amp;id=urn:contentItem:5F8T-N3V1-FC1F-M4C9-00000-00&amp;context=" TargetMode="External" /><Relationship Id="rId771" Type="http://schemas.openxmlformats.org/officeDocument/2006/relationships/hyperlink" Target="https://advance.lexis.com/api/document?collection=cases-ca&amp;id=urn:contentItem:5F8T-N3V1-FH4C-X1XY-00000-00&amp;context=" TargetMode="External" /><Relationship Id="rId772" Type="http://schemas.openxmlformats.org/officeDocument/2006/relationships/hyperlink" Target="https://advance.lexis.com/api/document?collection=cases-ca&amp;id=urn:contentItem:5F8T-N3V1-FC1F-M48G-00000-00&amp;context=" TargetMode="External" /><Relationship Id="rId773" Type="http://schemas.openxmlformats.org/officeDocument/2006/relationships/hyperlink" Target="https://advance.lexis.com/api/document?collection=cases-ca&amp;id=urn:contentItem:5F8T-N3V1-JTGH-B159-00000-00&amp;context=" TargetMode="External" /><Relationship Id="rId774" Type="http://schemas.openxmlformats.org/officeDocument/2006/relationships/hyperlink" Target="https://advance.lexis.com/api/document?collection=cases-ca&amp;id=urn:contentItem:5F8T-N3V1-FH4C-X1VX-00000-00&amp;context=" TargetMode="External" /><Relationship Id="rId775" Type="http://schemas.openxmlformats.org/officeDocument/2006/relationships/header" Target="header103.xml" /><Relationship Id="rId776" Type="http://schemas.openxmlformats.org/officeDocument/2006/relationships/header" Target="header104.xml" /><Relationship Id="rId777" Type="http://schemas.openxmlformats.org/officeDocument/2006/relationships/footer" Target="footer103.xml" /><Relationship Id="rId778" Type="http://schemas.openxmlformats.org/officeDocument/2006/relationships/footer" Target="footer104.xml" /><Relationship Id="rId779" Type="http://schemas.openxmlformats.org/officeDocument/2006/relationships/header" Target="header105.xml" /><Relationship Id="rId78" Type="http://schemas.openxmlformats.org/officeDocument/2006/relationships/hyperlink" Target="https://advance.lexis.com/api/document?collection=cases-ca&amp;id=urn:contentItem:5F7T-S6Y1-F65M-609V-00000-00&amp;context=" TargetMode="External" /><Relationship Id="rId780" Type="http://schemas.openxmlformats.org/officeDocument/2006/relationships/footer" Target="footer105.xml" /><Relationship Id="rId781" Type="http://schemas.openxmlformats.org/officeDocument/2006/relationships/hyperlink" Target="https://advance.lexis.com/api/document?collection=cases-ca&amp;id=urn:contentItem:5F7T-S7G1-F5KY-B1R6-00000-00&amp;context=" TargetMode="External" /><Relationship Id="rId782" Type="http://schemas.openxmlformats.org/officeDocument/2006/relationships/hyperlink" Target="https://advance.lexis.com/api/document?collection=legislation-ca&amp;id=urn:contentItem:5F41-1FN1-JBDT-B0J5-00000-00&amp;context=" TargetMode="External" /><Relationship Id="rId783" Type="http://schemas.openxmlformats.org/officeDocument/2006/relationships/hyperlink" Target="https://advance.lexis.com/api/document?collection=cases-ca&amp;id=urn:contentItem:5F7T-S6Y1-JTNR-M4PK-00000-00&amp;context=" TargetMode="External" /><Relationship Id="rId784" Type="http://schemas.openxmlformats.org/officeDocument/2006/relationships/hyperlink" Target="https://advance.lexis.com/api/document?collection=cases-ca&amp;id=urn:contentItem:5F7T-S7F1-JBT7-X2R8-00000-00&amp;context=" TargetMode="External" /><Relationship Id="rId785" Type="http://schemas.openxmlformats.org/officeDocument/2006/relationships/hyperlink" Target="https://advance.lexis.com/api/document?collection=cases-ca&amp;id=urn:contentItem:5F7T-S751-F361-M0SR-00000-00&amp;context=" TargetMode="External" /><Relationship Id="rId786" Type="http://schemas.openxmlformats.org/officeDocument/2006/relationships/hyperlink" Target="https://advance.lexis.com/api/document?collection=cases-ca&amp;id=urn:contentItem:5F7T-S771-F361-M1HH-00000-00&amp;context=" TargetMode="External" /><Relationship Id="rId787" Type="http://schemas.openxmlformats.org/officeDocument/2006/relationships/hyperlink" Target="https://advance.lexis.com/api/document?collection=cases-ca&amp;id=urn:contentItem:5F7T-S6T1-F361-M02B-00000-00&amp;context=" TargetMode="External" /><Relationship Id="rId788" Type="http://schemas.openxmlformats.org/officeDocument/2006/relationships/hyperlink" Target="https://advance.lexis.com/api/document?collection=cases-ca&amp;id=urn:contentItem:5F7T-S7C1-JSRM-60TH-00000-00&amp;context=" TargetMode="External" /><Relationship Id="rId789" Type="http://schemas.openxmlformats.org/officeDocument/2006/relationships/hyperlink" Target="https://advance.lexis.com/api/document?collection=cases-ca&amp;id=urn:contentItem:5F7T-S761-F7ND-G48N-00000-00&amp;context=" TargetMode="External" /><Relationship Id="rId79" Type="http://schemas.openxmlformats.org/officeDocument/2006/relationships/hyperlink" Target="https://advance.lexis.com/api/document?collection=cases-ca&amp;id=urn:contentItem:5F7T-S701-JJ6S-61S9-00000-00&amp;context=" TargetMode="External" /><Relationship Id="rId790" Type="http://schemas.openxmlformats.org/officeDocument/2006/relationships/hyperlink" Target="https://advance.lexis.com/api/document?collection=cases-ca&amp;id=urn:contentItem:5F7T-S721-F4NT-X2W2-00000-00&amp;context=" TargetMode="External" /><Relationship Id="rId791" Type="http://schemas.openxmlformats.org/officeDocument/2006/relationships/hyperlink" Target="https://advance.lexis.com/api/document?collection=cases-ca&amp;id=urn:contentItem:5F7T-S741-F2F4-G2CF-00000-00&amp;context=" TargetMode="External" /><Relationship Id="rId792" Type="http://schemas.openxmlformats.org/officeDocument/2006/relationships/hyperlink" Target="https://advance.lexis.com/api/document?collection=cases-ca&amp;id=urn:contentItem:5F7T-S701-FJDY-X28D-00000-00&amp;context=" TargetMode="External" /><Relationship Id="rId793" Type="http://schemas.openxmlformats.org/officeDocument/2006/relationships/hyperlink" Target="https://advance.lexis.com/api/document?collection=cases-ca&amp;id=urn:contentItem:5F7T-S7D1-JG02-S2M6-00000-00&amp;context=" TargetMode="External" /><Relationship Id="rId794" Type="http://schemas.openxmlformats.org/officeDocument/2006/relationships/hyperlink" Target="https://advance.lexis.com/api/document?collection=cases-ca&amp;id=urn:contentItem:5F7T-S741-DY89-M3D3-00000-00&amp;context=" TargetMode="External" /><Relationship Id="rId795" Type="http://schemas.openxmlformats.org/officeDocument/2006/relationships/hyperlink" Target="https://advance.lexis.com/api/document?collection=cases-ca&amp;id=urn:contentItem:5F7T-S721-FD4T-B12Y-00000-00&amp;context=" TargetMode="External" /><Relationship Id="rId796" Type="http://schemas.openxmlformats.org/officeDocument/2006/relationships/hyperlink" Target="https://advance.lexis.com/api/document?collection=cases-ca&amp;id=urn:contentItem:5F8P-SD31-JC5P-G1WR-00000-00&amp;context=" TargetMode="External" /><Relationship Id="rId797" Type="http://schemas.openxmlformats.org/officeDocument/2006/relationships/hyperlink" Target="https://advance.lexis.com/api/document?collection=cases-ca&amp;id=urn:contentItem:5F7T-S7F1-FJTD-G3C2-00000-00&amp;context=" TargetMode="External" /><Relationship Id="rId798" Type="http://schemas.openxmlformats.org/officeDocument/2006/relationships/hyperlink" Target="https://advance.lexis.com/api/document?collection=cases-ca&amp;id=urn:contentItem:5F7T-S781-F7G6-63S3-00000-00&amp;context=" TargetMode="External" /><Relationship Id="rId799" Type="http://schemas.openxmlformats.org/officeDocument/2006/relationships/hyperlink" Target="https://advance.lexis.com/api/document?collection=cases-ca&amp;id=urn:contentItem:5F7T-S7F1-DXWW-2476-00000-00&amp;context=" TargetMode="External" /><Relationship Id="rId8" Type="http://schemas.openxmlformats.org/officeDocument/2006/relationships/header" Target="header3.xml" /><Relationship Id="rId80" Type="http://schemas.openxmlformats.org/officeDocument/2006/relationships/header" Target="header16.xml" /><Relationship Id="rId800" Type="http://schemas.openxmlformats.org/officeDocument/2006/relationships/hyperlink" Target="https://advance.lexis.com/api/document?collection=cases-ca&amp;id=urn:contentItem:5F8T-N3V1-JTGH-B10X-00000-00&amp;context=" TargetMode="External" /><Relationship Id="rId801" Type="http://schemas.openxmlformats.org/officeDocument/2006/relationships/hyperlink" Target="https://advance.lexis.com/api/document?collection=cases-ca&amp;id=urn:contentItem:5F8T-N3V1-FC1F-M4G2-00000-00&amp;context=" TargetMode="External" /><Relationship Id="rId802" Type="http://schemas.openxmlformats.org/officeDocument/2006/relationships/hyperlink" Target="https://advance.lexis.com/api/document?collection=cases-ca&amp;id=urn:contentItem:5F7T-S7F1-FFFC-B25Y-00000-00&amp;context=" TargetMode="External" /><Relationship Id="rId803" Type="http://schemas.openxmlformats.org/officeDocument/2006/relationships/hyperlink" Target="https://advance.lexis.com/api/document?collection=cases-ca&amp;id=urn:contentItem:5F7T-S7C1-F30T-B284-00000-00&amp;context=" TargetMode="External" /><Relationship Id="rId804" Type="http://schemas.openxmlformats.org/officeDocument/2006/relationships/hyperlink" Target="https://advance.lexis.com/api/document?collection=cases-ca&amp;id=urn:contentItem:5F8T-N3V1-JFKM-601D-00000-00&amp;context=" TargetMode="External" /><Relationship Id="rId805" Type="http://schemas.openxmlformats.org/officeDocument/2006/relationships/hyperlink" Target="https://advance.lexis.com/api/document?collection=cases-ca&amp;id=urn:contentItem:5F81-VJX1-JJYN-B529-00000-00&amp;context=" TargetMode="External" /><Relationship Id="rId806" Type="http://schemas.openxmlformats.org/officeDocument/2006/relationships/hyperlink" Target="https://advance.lexis.com/api/document?collection=cases-ca&amp;id=urn:contentItem:5F8T-N3V1-FC1F-M4DC-00000-00&amp;context=" TargetMode="External" /><Relationship Id="rId807" Type="http://schemas.openxmlformats.org/officeDocument/2006/relationships/hyperlink" Target="https://advance.lexis.com/api/document?collection=cases-ca&amp;id=urn:contentItem:5F81-VJX1-JKPJ-G1FM-00000-00&amp;context=" TargetMode="External" /><Relationship Id="rId808" Type="http://schemas.openxmlformats.org/officeDocument/2006/relationships/hyperlink" Target="https://advance.lexis.com/api/document?collection=cases-ca&amp;id=urn:contentItem:5F8N-K6W1-JNJT-B50T-00000-00&amp;context=" TargetMode="External" /><Relationship Id="rId809" Type="http://schemas.openxmlformats.org/officeDocument/2006/relationships/hyperlink" Target="https://advance.lexis.com/api/document?collection=cases-ca&amp;id=urn:contentItem:5F7V-3DG1-JJK6-S3K7-00000-00&amp;context=" TargetMode="External" /><Relationship Id="rId81" Type="http://schemas.openxmlformats.org/officeDocument/2006/relationships/header" Target="header17.xml" /><Relationship Id="rId810" Type="http://schemas.openxmlformats.org/officeDocument/2006/relationships/hyperlink" Target="https://advance.lexis.com/api/document?collection=cases-ca&amp;id=urn:contentItem:5F7V-3DG1-JJK6-S3YV-00000-00&amp;context=" TargetMode="External" /><Relationship Id="rId811" Type="http://schemas.openxmlformats.org/officeDocument/2006/relationships/hyperlink" Target="https://advance.lexis.com/api/document?collection=cases-ca&amp;id=urn:contentItem:5F7T-S771-JW5H-X232-00000-00&amp;context=" TargetMode="External" /><Relationship Id="rId812" Type="http://schemas.openxmlformats.org/officeDocument/2006/relationships/hyperlink" Target="https://advance.lexis.com/api/document?collection=cases-ca&amp;id=urn:contentItem:5F7T-S7D1-FCSB-S33F-00000-00&amp;context=" TargetMode="External" /><Relationship Id="rId813" Type="http://schemas.openxmlformats.org/officeDocument/2006/relationships/hyperlink" Target="https://advance.lexis.com/api/document?collection=cases-ca&amp;id=urn:contentItem:5F7T-S741-F57G-S1SH-00000-00&amp;context=" TargetMode="External" /><Relationship Id="rId814" Type="http://schemas.openxmlformats.org/officeDocument/2006/relationships/header" Target="header106.xml" /><Relationship Id="rId815" Type="http://schemas.openxmlformats.org/officeDocument/2006/relationships/header" Target="header107.xml" /><Relationship Id="rId816" Type="http://schemas.openxmlformats.org/officeDocument/2006/relationships/footer" Target="footer106.xml" /><Relationship Id="rId817" Type="http://schemas.openxmlformats.org/officeDocument/2006/relationships/footer" Target="footer107.xml" /><Relationship Id="rId818" Type="http://schemas.openxmlformats.org/officeDocument/2006/relationships/header" Target="header108.xml" /><Relationship Id="rId819" Type="http://schemas.openxmlformats.org/officeDocument/2006/relationships/footer" Target="footer108.xml" /><Relationship Id="rId82" Type="http://schemas.openxmlformats.org/officeDocument/2006/relationships/footer" Target="footer16.xml" /><Relationship Id="rId820" Type="http://schemas.openxmlformats.org/officeDocument/2006/relationships/hyperlink" Target="https://advance.lexis.com/api/document?collection=cases-ca&amp;id=urn:contentItem:5F7T-S7M1-JNCK-228D-00000-00&amp;context=" TargetMode="External" /><Relationship Id="rId821" Type="http://schemas.openxmlformats.org/officeDocument/2006/relationships/hyperlink" Target="https://advance.lexis.com/api/document?collection=legislation-ca&amp;id=urn:contentItem:5F3B-B911-DXWW-22DW-00000-00&amp;context=" TargetMode="External" /><Relationship Id="rId822" Type="http://schemas.openxmlformats.org/officeDocument/2006/relationships/hyperlink" Target="https://advance.lexis.com/api/document?collection=legislation-ca&amp;id=urn:contentItem:5FBX-WGD1-DY33-B0MF-00000-00&amp;context=" TargetMode="External" /><Relationship Id="rId823" Type="http://schemas.openxmlformats.org/officeDocument/2006/relationships/hyperlink" Target="https://advance.lexis.com/api/document?collection=legislation-ca&amp;id=urn:contentItem:5X76-XJ31-JKB3-X2FB-00000-00&amp;context=" TargetMode="External" /><Relationship Id="rId824" Type="http://schemas.openxmlformats.org/officeDocument/2006/relationships/hyperlink" Target="https://advance.lexis.com/api/document?collection=legislation-ca&amp;id=urn:contentItem:5F41-1FJ1-JPGX-S0R7-00000-00&amp;context=" TargetMode="External" /><Relationship Id="rId825" Type="http://schemas.openxmlformats.org/officeDocument/2006/relationships/hyperlink" Target="https://advance.lexis.com/api/document?collection=legislation-ca&amp;id=urn:contentItem:5F3B-BBP1-JNY7-X0J2-00000-00&amp;context=" TargetMode="External" /><Relationship Id="rId826" Type="http://schemas.openxmlformats.org/officeDocument/2006/relationships/hyperlink" Target="https://advance.lexis.com/api/document?collection=legislation-ca&amp;id=urn:contentItem:5F3B-BBY1-JB7K-201N-00000-00&amp;context=" TargetMode="External" /><Relationship Id="rId827" Type="http://schemas.openxmlformats.org/officeDocument/2006/relationships/hyperlink" Target="https://advance.lexis.com/api/document?collection=legislation-ca&amp;id=urn:contentItem:5G4J-1511-JSC5-M2DB-00000-00&amp;context=" TargetMode="External" /><Relationship Id="rId828" Type="http://schemas.openxmlformats.org/officeDocument/2006/relationships/hyperlink" Target="https://advance.lexis.com/api/document?collection=cases-ca&amp;id=urn:contentItem:5F7T-S761-JX8W-M304-00000-00&amp;context=" TargetMode="External" /><Relationship Id="rId829" Type="http://schemas.openxmlformats.org/officeDocument/2006/relationships/hyperlink" Target="https://advance.lexis.com/api/document?collection=cases-ca&amp;id=urn:contentItem:5F7D-TJY1-FJDY-X0B0-00000-00&amp;context=" TargetMode="External" /><Relationship Id="rId83" Type="http://schemas.openxmlformats.org/officeDocument/2006/relationships/footer" Target="footer17.xml" /><Relationship Id="rId830" Type="http://schemas.openxmlformats.org/officeDocument/2006/relationships/hyperlink" Target="https://advance.lexis.com/api/document?collection=legislation-ca&amp;id=urn:contentItem:5VYK-W9V1-JF1Y-B3JC-00000-00&amp;context=" TargetMode="External" /><Relationship Id="rId831" Type="http://schemas.openxmlformats.org/officeDocument/2006/relationships/hyperlink" Target="https://advance.lexis.com/api/document?collection=cases-ca&amp;id=urn:contentItem:5F7T-S7K1-JKHB-631K-00000-00&amp;context=" TargetMode="External" /><Relationship Id="rId832" Type="http://schemas.openxmlformats.org/officeDocument/2006/relationships/hyperlink" Target="https://advance.lexis.com/api/document?collection=cases-ca&amp;id=urn:contentItem:5F8P-SDG1-FJDY-X1SG-00000-00&amp;context=" TargetMode="External" /><Relationship Id="rId833" Type="http://schemas.openxmlformats.org/officeDocument/2006/relationships/hyperlink" Target="https://advance.lexis.com/api/document?collection=cases-ca&amp;id=urn:contentItem:5F7T-S7H1-JS5Y-B30S-00000-00&amp;context=" TargetMode="External" /><Relationship Id="rId834" Type="http://schemas.openxmlformats.org/officeDocument/2006/relationships/header" Target="header109.xml" /><Relationship Id="rId835" Type="http://schemas.openxmlformats.org/officeDocument/2006/relationships/header" Target="header110.xml" /><Relationship Id="rId836" Type="http://schemas.openxmlformats.org/officeDocument/2006/relationships/footer" Target="footer109.xml" /><Relationship Id="rId837" Type="http://schemas.openxmlformats.org/officeDocument/2006/relationships/footer" Target="footer110.xml" /><Relationship Id="rId838" Type="http://schemas.openxmlformats.org/officeDocument/2006/relationships/header" Target="header111.xml" /><Relationship Id="rId839" Type="http://schemas.openxmlformats.org/officeDocument/2006/relationships/footer" Target="footer111.xml" /><Relationship Id="rId84" Type="http://schemas.openxmlformats.org/officeDocument/2006/relationships/header" Target="header18.xml" /><Relationship Id="rId840" Type="http://schemas.openxmlformats.org/officeDocument/2006/relationships/hyperlink" Target="https://advance.lexis.com/api/document?collection=cases-ca&amp;id=urn:contentItem:5F7T-S7J1-JGBH-B2HN-00000-00&amp;context=" TargetMode="External" /><Relationship Id="rId841" Type="http://schemas.openxmlformats.org/officeDocument/2006/relationships/hyperlink" Target="https://advance.lexis.com/api/document?collection=cases-ca&amp;id=urn:contentItem:5F7T-S701-JF75-M4J3-00000-00&amp;context=" TargetMode="External" /><Relationship Id="rId842" Type="http://schemas.openxmlformats.org/officeDocument/2006/relationships/hyperlink" Target="https://advance.lexis.com/api/document?collection=cases-ca&amp;id=urn:contentItem:5F8P-SCJ1-FGJR-23P4-00000-00&amp;context=" TargetMode="External" /><Relationship Id="rId843" Type="http://schemas.openxmlformats.org/officeDocument/2006/relationships/hyperlink" Target="https://advance.lexis.com/api/document?collection=cases-ca&amp;id=urn:contentItem:5F8T-N3T1-JGHR-M220-00000-00&amp;context=" TargetMode="External" /><Relationship Id="rId844" Type="http://schemas.openxmlformats.org/officeDocument/2006/relationships/hyperlink" Target="https://advance.lexis.com/api/document?collection=cases-ca&amp;id=urn:contentItem:5F8T-N3T1-JJSF-23B2-00000-00&amp;context=" TargetMode="External" /><Relationship Id="rId845" Type="http://schemas.openxmlformats.org/officeDocument/2006/relationships/hyperlink" Target="https://advance.lexis.com/api/document?collection=cases-ca&amp;id=urn:contentItem:5F7T-S751-JGHR-M1KJ-00000-00&amp;context=" TargetMode="External" /><Relationship Id="rId846" Type="http://schemas.openxmlformats.org/officeDocument/2006/relationships/header" Target="header112.xml" /><Relationship Id="rId847" Type="http://schemas.openxmlformats.org/officeDocument/2006/relationships/header" Target="header113.xml" /><Relationship Id="rId848" Type="http://schemas.openxmlformats.org/officeDocument/2006/relationships/footer" Target="footer112.xml" /><Relationship Id="rId849" Type="http://schemas.openxmlformats.org/officeDocument/2006/relationships/footer" Target="footer113.xml" /><Relationship Id="rId85" Type="http://schemas.openxmlformats.org/officeDocument/2006/relationships/footer" Target="footer18.xml" /><Relationship Id="rId850" Type="http://schemas.openxmlformats.org/officeDocument/2006/relationships/header" Target="header114.xml" /><Relationship Id="rId851" Type="http://schemas.openxmlformats.org/officeDocument/2006/relationships/footer" Target="footer114.xml" /><Relationship Id="rId852" Type="http://schemas.openxmlformats.org/officeDocument/2006/relationships/hyperlink" Target="https://advance.lexis.com/api/document?collection=cases-ca&amp;id=urn:contentItem:5JSS-9XD1-F4W2-62XB-00000-00&amp;context=" TargetMode="External" /><Relationship Id="rId853" Type="http://schemas.openxmlformats.org/officeDocument/2006/relationships/hyperlink" Target="https://advance.lexis.com/api/document?collection=legislation-ca&amp;id=urn:contentItem:5F3B-B9X1-FFMK-M0D4-00000-00&amp;context=" TargetMode="External" /><Relationship Id="rId854" Type="http://schemas.openxmlformats.org/officeDocument/2006/relationships/hyperlink" Target="https://advance.lexis.com/api/document?collection=legislation-ca&amp;id=urn:contentItem:5F41-1FP1-JXNB-60TY-00000-00&amp;context=" TargetMode="External" /><Relationship Id="rId855" Type="http://schemas.openxmlformats.org/officeDocument/2006/relationships/hyperlink" Target="https://advance.lexis.com/api/document?collection=cases-ca&amp;id=urn:contentItem:5F8T-N3V1-JFKM-607N-00000-00&amp;context=" TargetMode="External" /><Relationship Id="rId856" Type="http://schemas.openxmlformats.org/officeDocument/2006/relationships/hyperlink" Target="https://advance.lexis.com/api/document?collection=cases-ca&amp;id=urn:contentItem:5F8T-N3V1-FC1F-M44Y-00000-00&amp;context=" TargetMode="External" /><Relationship Id="rId857" Type="http://schemas.openxmlformats.org/officeDocument/2006/relationships/hyperlink" Target="https://advance.lexis.com/api/document?collection=cases-ca&amp;id=urn:contentItem:5F8T-N3V1-JFKM-608J-00000-00&amp;context=" TargetMode="External" /><Relationship Id="rId858" Type="http://schemas.openxmlformats.org/officeDocument/2006/relationships/hyperlink" Target="https://advance.lexis.com/api/document?collection=cases-ca&amp;id=urn:contentItem:5F8T-N3V1-JTGH-B0Y8-00000-00&amp;context=" TargetMode="External" /><Relationship Id="rId859" Type="http://schemas.openxmlformats.org/officeDocument/2006/relationships/hyperlink" Target="https://advance.lexis.com/api/document?collection=cases-ca&amp;id=urn:contentItem:5F7T-S741-FJM6-61BF-00000-00&amp;context=" TargetMode="External" /><Relationship Id="rId86" Type="http://schemas.openxmlformats.org/officeDocument/2006/relationships/hyperlink" Target="https://advance.lexis.com/api/document?collection=cases-ca&amp;id=urn:contentItem:5F7T-S7J1-FGCG-S0JR-00000-00&amp;context=" TargetMode="External" /><Relationship Id="rId860" Type="http://schemas.openxmlformats.org/officeDocument/2006/relationships/hyperlink" Target="https://advance.lexis.com/api/document?collection=cases-ca&amp;id=urn:contentItem:5F7T-S7M1-DYMS-62B4-00000-00&amp;context=" TargetMode="External" /><Relationship Id="rId861" Type="http://schemas.openxmlformats.org/officeDocument/2006/relationships/hyperlink" Target="https://advance.lexis.com/api/document?collection=cases-ca&amp;id=urn:contentItem:5F7T-S771-JN14-G2FD-00000-00&amp;context=" TargetMode="External" /><Relationship Id="rId862" Type="http://schemas.openxmlformats.org/officeDocument/2006/relationships/hyperlink" Target="https://advance.lexis.com/api/document?collection=cases-ca&amp;id=urn:contentItem:5F7T-S7H1-F4GK-M387-00000-00&amp;context=" TargetMode="External" /><Relationship Id="rId863" Type="http://schemas.openxmlformats.org/officeDocument/2006/relationships/hyperlink" Target="https://advance.lexis.com/api/document?collection=cases-ca&amp;id=urn:contentItem:5J8G-X6M1-JKPJ-G1WY-00000-00&amp;context=" TargetMode="External" /><Relationship Id="rId864" Type="http://schemas.openxmlformats.org/officeDocument/2006/relationships/hyperlink" Target="https://advance.lexis.com/api/document?collection=cases-ca&amp;id=urn:contentItem:5F7T-XPY1-F7G6-64SK-00000-00&amp;context=" TargetMode="External" /><Relationship Id="rId865" Type="http://schemas.openxmlformats.org/officeDocument/2006/relationships/header" Target="header115.xml" /><Relationship Id="rId866" Type="http://schemas.openxmlformats.org/officeDocument/2006/relationships/header" Target="header116.xml" /><Relationship Id="rId867" Type="http://schemas.openxmlformats.org/officeDocument/2006/relationships/footer" Target="footer115.xml" /><Relationship Id="rId868" Type="http://schemas.openxmlformats.org/officeDocument/2006/relationships/footer" Target="footer116.xml" /><Relationship Id="rId869" Type="http://schemas.openxmlformats.org/officeDocument/2006/relationships/header" Target="header117.xml" /><Relationship Id="rId87" Type="http://schemas.openxmlformats.org/officeDocument/2006/relationships/hyperlink" Target="https://advance.lexis.com/api/document?collection=cases-ca&amp;id=urn:contentItem:5F7T-S721-JSC5-M3BV-00000-00&amp;context=" TargetMode="External" /><Relationship Id="rId870" Type="http://schemas.openxmlformats.org/officeDocument/2006/relationships/footer" Target="footer117.xml" /><Relationship Id="rId871" Type="http://schemas.openxmlformats.org/officeDocument/2006/relationships/hyperlink" Target="https://advance.lexis.com/api/document?collection=cases-ca&amp;id=urn:contentItem:5TVN-7GH1-JKHB-60XS-00000-00&amp;context=" TargetMode="External" /><Relationship Id="rId872" Type="http://schemas.openxmlformats.org/officeDocument/2006/relationships/hyperlink" Target="https://advance.lexis.com/api/document?collection=cases-ca&amp;id=urn:contentItem:5WJ0-YSX1-JB2B-S1MW-00000-00&amp;context=" TargetMode="External" /><Relationship Id="rId873" Type="http://schemas.openxmlformats.org/officeDocument/2006/relationships/hyperlink" Target="https://advance.lexis.com/api/document?collection=cases-ca&amp;id=urn:contentItem:5F7T-S7P1-JBDT-B196-00000-00&amp;context=" TargetMode="External" /><Relationship Id="rId874" Type="http://schemas.openxmlformats.org/officeDocument/2006/relationships/hyperlink" Target="https://advance.lexis.com/api/document?collection=cases-ca&amp;id=urn:contentItem:5TNS-7WN1-JCRC-B11T-00000-00&amp;context=" TargetMode="External" /><Relationship Id="rId875" Type="http://schemas.openxmlformats.org/officeDocument/2006/relationships/hyperlink" Target="https://advance.lexis.com/api/document?collection=cases-ca&amp;id=urn:contentItem:5F8W-M4C1-F361-M3XT-00000-00&amp;context=" TargetMode="External" /><Relationship Id="rId876" Type="http://schemas.openxmlformats.org/officeDocument/2006/relationships/hyperlink" Target="https://advance.lexis.com/api/document?collection=cases-ca&amp;id=urn:contentItem:5SKW-TCR1-FBN1-21JS-00000-00&amp;context=" TargetMode="External" /><Relationship Id="rId877" Type="http://schemas.openxmlformats.org/officeDocument/2006/relationships/hyperlink" Target="https://advance.lexis.com/api/document?collection=cases-ca&amp;id=urn:contentItem:5F81-VJX1-FCK4-G1X7-00000-00&amp;context=" TargetMode="External" /><Relationship Id="rId878" Type="http://schemas.openxmlformats.org/officeDocument/2006/relationships/hyperlink" Target="https://advance.lexis.com/api/document?collection=cases-ca&amp;id=urn:contentItem:5F7T-S7C1-JCJ5-20VB-00000-00&amp;context=" TargetMode="External" /><Relationship Id="rId879" Type="http://schemas.openxmlformats.org/officeDocument/2006/relationships/hyperlink" Target="https://advance.lexis.com/api/document?collection=cases-ca&amp;id=urn:contentItem:5KG5-NFR1-DYV0-G063-00000-00&amp;context=" TargetMode="External" /><Relationship Id="rId88" Type="http://schemas.openxmlformats.org/officeDocument/2006/relationships/hyperlink" Target="https://advance.lexis.com/api/document?collection=cases-ca&amp;id=urn:contentItem:5F8P-SD91-FC1F-M2BP-00000-00&amp;context=" TargetMode="External" /><Relationship Id="rId880" Type="http://schemas.openxmlformats.org/officeDocument/2006/relationships/hyperlink" Target="https://advance.lexis.com/api/document?collection=cases-ca&amp;id=urn:contentItem:5GB3-MY31-JX3N-B2D7-00000-00&amp;context=" TargetMode="External" /><Relationship Id="rId881" Type="http://schemas.openxmlformats.org/officeDocument/2006/relationships/hyperlink" Target="https://advance.lexis.com/api/document?collection=cases-ca&amp;id=urn:contentItem:5F81-VJY1-JPGX-S4KN-00000-00&amp;context=" TargetMode="External" /><Relationship Id="rId882" Type="http://schemas.openxmlformats.org/officeDocument/2006/relationships/header" Target="header118.xml" /><Relationship Id="rId883" Type="http://schemas.openxmlformats.org/officeDocument/2006/relationships/header" Target="header119.xml" /><Relationship Id="rId884" Type="http://schemas.openxmlformats.org/officeDocument/2006/relationships/footer" Target="footer118.xml" /><Relationship Id="rId885" Type="http://schemas.openxmlformats.org/officeDocument/2006/relationships/footer" Target="footer119.xml" /><Relationship Id="rId886" Type="http://schemas.openxmlformats.org/officeDocument/2006/relationships/header" Target="header120.xml" /><Relationship Id="rId887" Type="http://schemas.openxmlformats.org/officeDocument/2006/relationships/footer" Target="footer120.xml" /><Relationship Id="rId888" Type="http://schemas.openxmlformats.org/officeDocument/2006/relationships/hyperlink" Target="https://advance.lexis.com/api/document?collection=cases-ca&amp;id=urn:contentItem:5F7T-S7B1-JCJ5-206H-00000-00&amp;context=" TargetMode="External" /><Relationship Id="rId889" Type="http://schemas.openxmlformats.org/officeDocument/2006/relationships/hyperlink" Target="https://advance.lexis.com/api/document?collection=cases-ca&amp;id=urn:contentItem:5F7T-S7H1-K054-G24F-00000-00&amp;context=" TargetMode="External" /><Relationship Id="rId89" Type="http://schemas.openxmlformats.org/officeDocument/2006/relationships/header" Target="header19.xml" /><Relationship Id="rId890" Type="http://schemas.openxmlformats.org/officeDocument/2006/relationships/hyperlink" Target="https://advance.lexis.com/api/document?collection=cases-ca&amp;id=urn:contentItem:5F7T-S741-DXPM-S10D-00000-00&amp;context=" TargetMode="External" /><Relationship Id="rId891" Type="http://schemas.openxmlformats.org/officeDocument/2006/relationships/hyperlink" Target="https://advance.lexis.com/api/document?collection=cases-ca&amp;id=urn:contentItem:5F7T-S6X1-FCCX-60VY-00000-00&amp;context=" TargetMode="External" /><Relationship Id="rId892" Type="http://schemas.openxmlformats.org/officeDocument/2006/relationships/hyperlink" Target="https://advance.lexis.com/api/document?collection=cases-ca&amp;id=urn:contentItem:5F7T-S6Y1-JPP5-211R-00000-00&amp;context=" TargetMode="External" /><Relationship Id="rId893" Type="http://schemas.openxmlformats.org/officeDocument/2006/relationships/hyperlink" Target="https://advance.lexis.com/api/document?collection=cases-ca&amp;id=urn:contentItem:5F7T-S6S1-DXHD-G0S7-00000-00&amp;context=" TargetMode="External" /><Relationship Id="rId894" Type="http://schemas.openxmlformats.org/officeDocument/2006/relationships/hyperlink" Target="https://advance.lexis.com/api/document?collection=cases-ca&amp;id=urn:contentItem:5F8T-N3R1-JBDT-B55K-00000-00&amp;context=" TargetMode="External" /><Relationship Id="rId895" Type="http://schemas.openxmlformats.org/officeDocument/2006/relationships/hyperlink" Target="https://advance.lexis.com/api/document?collection=cases-ca&amp;id=urn:contentItem:5F7T-S6S1-JTNR-M1S4-00000-00&amp;context=" TargetMode="External" /><Relationship Id="rId896" Type="http://schemas.openxmlformats.org/officeDocument/2006/relationships/hyperlink" Target="https://advance.lexis.com/api/document?collection=cases-ca&amp;id=urn:contentItem:5F7T-S721-JSC5-M387-00000-00&amp;context=" TargetMode="External" /><Relationship Id="rId897" Type="http://schemas.openxmlformats.org/officeDocument/2006/relationships/hyperlink" Target="https://advance.lexis.com/api/document?collection=cases-ca&amp;id=urn:contentItem:5F7T-S751-JGHR-M20M-00000-00&amp;context=" TargetMode="External" /><Relationship Id="rId898" Type="http://schemas.openxmlformats.org/officeDocument/2006/relationships/hyperlink" Target="https://advance.lexis.com/api/document?collection=cases-ca&amp;id=urn:contentItem:5F7T-S701-JBT7-X2CT-00000-00&amp;context=" TargetMode="External" /><Relationship Id="rId899" Type="http://schemas.openxmlformats.org/officeDocument/2006/relationships/hyperlink" Target="https://advance.lexis.com/api/document?collection=cases-ca&amp;id=urn:contentItem:5F7T-S6X1-K0BB-S0K8-00000-00&amp;context=" TargetMode="External" /><Relationship Id="rId9" Type="http://schemas.openxmlformats.org/officeDocument/2006/relationships/footer" Target="footer3.xml" /><Relationship Id="rId90" Type="http://schemas.openxmlformats.org/officeDocument/2006/relationships/header" Target="header20.xml" /><Relationship Id="rId900" Type="http://schemas.openxmlformats.org/officeDocument/2006/relationships/hyperlink" Target="https://advance.lexis.com/api/document?collection=cases-ca&amp;id=urn:contentItem:5F7T-S711-JC0G-62RG-00000-00&amp;context=" TargetMode="External" /><Relationship Id="rId901" Type="http://schemas.openxmlformats.org/officeDocument/2006/relationships/hyperlink" Target="https://advance.lexis.com/api/document?collection=cases-ca&amp;id=urn:contentItem:5F7T-S751-JGHR-M1T8-00000-00&amp;context=" TargetMode="External" /><Relationship Id="rId902" Type="http://schemas.openxmlformats.org/officeDocument/2006/relationships/hyperlink" Target="https://advance.lexis.com/api/document?collection=cases-ca&amp;id=urn:contentItem:5F7T-S721-JSC5-M3NT-00000-00&amp;context=" TargetMode="External" /><Relationship Id="rId903" Type="http://schemas.openxmlformats.org/officeDocument/2006/relationships/hyperlink" Target="https://advance.lexis.com/api/document?collection=cases-ca&amp;id=urn:contentItem:5F7T-S6X1-JTNR-M3X3-00000-00&amp;context=" TargetMode="External" /><Relationship Id="rId904" Type="http://schemas.openxmlformats.org/officeDocument/2006/relationships/hyperlink" Target="https://advance.lexis.com/api/document?collection=cases-ca&amp;id=urn:contentItem:5F7T-S731-DY33-B12B-00000-00&amp;context=" TargetMode="External" /><Relationship Id="rId905" Type="http://schemas.openxmlformats.org/officeDocument/2006/relationships/hyperlink" Target="https://advance.lexis.com/api/document?collection=cases-ca&amp;id=urn:contentItem:5F7T-S741-F8D9-M1MM-00000-00&amp;context=" TargetMode="External" /><Relationship Id="rId906" Type="http://schemas.openxmlformats.org/officeDocument/2006/relationships/hyperlink" Target="https://advance.lexis.com/api/document?collection=cases-ca&amp;id=urn:contentItem:5F7T-S761-F81W-222K-00000-00&amp;context=" TargetMode="External" /><Relationship Id="rId907" Type="http://schemas.openxmlformats.org/officeDocument/2006/relationships/hyperlink" Target="https://advance.lexis.com/api/document?collection=cases-ca&amp;id=urn:contentItem:5F8T-N3S1-JT99-250Y-00000-00&amp;context=" TargetMode="External" /><Relationship Id="rId908" Type="http://schemas.openxmlformats.org/officeDocument/2006/relationships/image" Target="media/image5.png" /><Relationship Id="rId909" Type="http://schemas.openxmlformats.org/officeDocument/2006/relationships/header" Target="header121.xml" /><Relationship Id="rId91" Type="http://schemas.openxmlformats.org/officeDocument/2006/relationships/footer" Target="footer19.xml" /><Relationship Id="rId910" Type="http://schemas.openxmlformats.org/officeDocument/2006/relationships/header" Target="header122.xml" /><Relationship Id="rId911" Type="http://schemas.openxmlformats.org/officeDocument/2006/relationships/footer" Target="footer121.xml" /><Relationship Id="rId912" Type="http://schemas.openxmlformats.org/officeDocument/2006/relationships/footer" Target="footer122.xml" /><Relationship Id="rId913" Type="http://schemas.openxmlformats.org/officeDocument/2006/relationships/header" Target="header123.xml" /><Relationship Id="rId914" Type="http://schemas.openxmlformats.org/officeDocument/2006/relationships/footer" Target="footer123.xml" /><Relationship Id="rId915" Type="http://schemas.openxmlformats.org/officeDocument/2006/relationships/hyperlink" Target="https://advance.lexis.com/api/document?collection=cases-ca&amp;id=urn:contentItem:5K6Y-81M1-DXHD-G2DH-00000-00&amp;context=" TargetMode="External" /><Relationship Id="rId916" Type="http://schemas.openxmlformats.org/officeDocument/2006/relationships/hyperlink" Target="https://advance.lexis.com/api/document?collection=cases-ca&amp;id=urn:contentItem:5F7T-S7H1-JFSV-G2X8-00000-00&amp;context=" TargetMode="External" /><Relationship Id="rId917" Type="http://schemas.openxmlformats.org/officeDocument/2006/relationships/hyperlink" Target="https://advance.lexis.com/api/document?collection=legislation-ca&amp;id=urn:contentItem:5F41-1FH1-F361-M0H9-00000-00&amp;context=" TargetMode="External" /><Relationship Id="rId918" Type="http://schemas.openxmlformats.org/officeDocument/2006/relationships/hyperlink" Target="https://advance.lexis.com/api/document?collection=cases-ca&amp;id=urn:contentItem:5F7T-S7H1-JG02-S3RS-00000-00&amp;context=" TargetMode="External" /><Relationship Id="rId919" Type="http://schemas.openxmlformats.org/officeDocument/2006/relationships/hyperlink" Target="https://advance.lexis.com/api/document?collection=cases-ca&amp;id=urn:contentItem:5F7T-S741-F2F4-G2KJ-00000-00&amp;context=" TargetMode="External" /><Relationship Id="rId92" Type="http://schemas.openxmlformats.org/officeDocument/2006/relationships/footer" Target="footer20.xml" /><Relationship Id="rId920" Type="http://schemas.openxmlformats.org/officeDocument/2006/relationships/hyperlink" Target="https://advance.lexis.com/api/document?collection=cases-ca&amp;id=urn:contentItem:5F7V-3DD1-FG68-G2C6-00000-00&amp;context=" TargetMode="External" /><Relationship Id="rId921" Type="http://schemas.openxmlformats.org/officeDocument/2006/relationships/hyperlink" Target="https://advance.lexis.com/api/document?collection=cases-ca&amp;id=urn:contentItem:5F7T-S7D1-JN6B-S184-00000-00&amp;context=" TargetMode="External" /><Relationship Id="rId922" Type="http://schemas.openxmlformats.org/officeDocument/2006/relationships/hyperlink" Target="https://advance.lexis.com/api/document?collection=cases-ca&amp;id=urn:contentItem:5F7T-S7F1-JX3N-B1GV-00000-00&amp;context=" TargetMode="External" /><Relationship Id="rId923" Type="http://schemas.openxmlformats.org/officeDocument/2006/relationships/hyperlink" Target="https://advance.lexis.com/api/document?collection=cases-ca&amp;id=urn:contentItem:5F7T-S7C1-JS0R-2251-00000-00&amp;context=" TargetMode="External" /><Relationship Id="rId924" Type="http://schemas.openxmlformats.org/officeDocument/2006/relationships/hyperlink" Target="https://advance.lexis.com/api/document?collection=cases-ca&amp;id=urn:contentItem:5F7T-S7D1-FBFS-S1TD-00000-00&amp;context=" TargetMode="External" /><Relationship Id="rId925" Type="http://schemas.openxmlformats.org/officeDocument/2006/relationships/hyperlink" Target="https://advance.lexis.com/api/document?collection=cases-ca&amp;id=urn:contentItem:5F7T-S731-F60C-X11W-00000-00&amp;context=" TargetMode="External" /><Relationship Id="rId926" Type="http://schemas.openxmlformats.org/officeDocument/2006/relationships/hyperlink" Target="https://advance.lexis.com/api/document?collection=cases-ca&amp;id=urn:contentItem:5F7T-S781-JSC5-M408-00000-00&amp;context=" TargetMode="External" /><Relationship Id="rId927" Type="http://schemas.openxmlformats.org/officeDocument/2006/relationships/hyperlink" Target="https://advance.lexis.com/api/document?collection=cases-ca&amp;id=urn:contentItem:5F7T-S771-JW5H-X26N-00000-00&amp;context=" TargetMode="External" /><Relationship Id="rId928" Type="http://schemas.openxmlformats.org/officeDocument/2006/relationships/hyperlink" Target="https://advance.lexis.com/api/document?collection=cases-ca&amp;id=urn:contentItem:5F7T-S771-JSJC-X05N-00000-00&amp;context=" TargetMode="External" /><Relationship Id="rId929" Type="http://schemas.openxmlformats.org/officeDocument/2006/relationships/hyperlink" Target="https://advance.lexis.com/api/document?collection=cases-ca&amp;id=urn:contentItem:5F8T-N3T1-JJSF-2361-00000-00&amp;context=" TargetMode="External" /><Relationship Id="rId93" Type="http://schemas.openxmlformats.org/officeDocument/2006/relationships/header" Target="header21.xml" /><Relationship Id="rId930" Type="http://schemas.openxmlformats.org/officeDocument/2006/relationships/hyperlink" Target="https://advance.lexis.com/api/document?collection=cases-ca&amp;id=urn:contentItem:5F81-VJV1-F8D9-M0SJ-00000-00&amp;context=" TargetMode="External" /><Relationship Id="rId931" Type="http://schemas.openxmlformats.org/officeDocument/2006/relationships/hyperlink" Target="https://advance.lexis.com/api/document?collection=cases-ca&amp;id=urn:contentItem:5F81-VJX1-F5T5-M3YH-00000-00&amp;context=" TargetMode="External" /><Relationship Id="rId932" Type="http://schemas.openxmlformats.org/officeDocument/2006/relationships/hyperlink" Target="https://advance.lexis.com/api/document?collection=cases-ca&amp;id=urn:contentItem:5F7T-S701-JF75-M4DT-00000-00&amp;context=" TargetMode="External" /><Relationship Id="rId933" Type="http://schemas.openxmlformats.org/officeDocument/2006/relationships/header" Target="header124.xml" /><Relationship Id="rId934" Type="http://schemas.openxmlformats.org/officeDocument/2006/relationships/header" Target="header125.xml" /><Relationship Id="rId935" Type="http://schemas.openxmlformats.org/officeDocument/2006/relationships/footer" Target="footer124.xml" /><Relationship Id="rId936" Type="http://schemas.openxmlformats.org/officeDocument/2006/relationships/footer" Target="footer125.xml" /><Relationship Id="rId937" Type="http://schemas.openxmlformats.org/officeDocument/2006/relationships/header" Target="header126.xml" /><Relationship Id="rId938" Type="http://schemas.openxmlformats.org/officeDocument/2006/relationships/footer" Target="footer126.xml" /><Relationship Id="rId939" Type="http://schemas.openxmlformats.org/officeDocument/2006/relationships/hyperlink" Target="https://advance.lexis.com/api/document?collection=cases-ca&amp;id=urn:contentItem:5F7T-S7P1-F2TK-23BC-00000-00&amp;context=" TargetMode="External" /><Relationship Id="rId94" Type="http://schemas.openxmlformats.org/officeDocument/2006/relationships/footer" Target="footer21.xml" /><Relationship Id="rId940" Type="http://schemas.openxmlformats.org/officeDocument/2006/relationships/hyperlink" Target="https://advance.lexis.com/api/document?collection=cases-ca&amp;id=urn:contentItem:5K6Y-81N1-JFDC-X1F7-00000-00&amp;context=" TargetMode="External" /><Relationship Id="rId941" Type="http://schemas.openxmlformats.org/officeDocument/2006/relationships/hyperlink" Target="https://advance.lexis.com/api/document?collection=cases-ca&amp;id=urn:contentItem:5F7T-S711-F4W2-619X-00000-00&amp;context=" TargetMode="External" /><Relationship Id="rId942" Type="http://schemas.openxmlformats.org/officeDocument/2006/relationships/hyperlink" Target="https://advance.lexis.com/api/document?collection=cases-ca&amp;id=urn:contentItem:5F81-YH41-JX8W-M05X-00000-00&amp;context=" TargetMode="External" /><Relationship Id="rId943" Type="http://schemas.openxmlformats.org/officeDocument/2006/relationships/hyperlink" Target="https://advance.lexis.com/api/document?collection=cases-ca&amp;id=urn:contentItem:5F8T-N3P1-FC6N-X1MN-00000-00&amp;context=" TargetMode="External" /><Relationship Id="rId944" Type="http://schemas.openxmlformats.org/officeDocument/2006/relationships/hyperlink" Target="https://advance.lexis.com/api/document?collection=cases-ca&amp;id=urn:contentItem:5F7T-S7M1-F4W2-6247-00000-00&amp;context=" TargetMode="External" /><Relationship Id="rId945" Type="http://schemas.openxmlformats.org/officeDocument/2006/relationships/hyperlink" Target="https://advance.lexis.com/api/document?collection=cases-ca&amp;id=urn:contentItem:5F7T-S6W1-JXNB-6262-00000-00&amp;context=" TargetMode="External" /><Relationship Id="rId946" Type="http://schemas.openxmlformats.org/officeDocument/2006/relationships/hyperlink" Target="https://advance.lexis.com/api/document?collection=cases-ca&amp;id=urn:contentItem:5F7T-S7F1-FFFC-B225-00000-00&amp;context=" TargetMode="External" /><Relationship Id="rId947" Type="http://schemas.openxmlformats.org/officeDocument/2006/relationships/hyperlink" Target="https://advance.lexis.com/api/document?collection=cases-ca&amp;id=urn:contentItem:5F7T-S761-FGJR-22SB-00000-00&amp;context=" TargetMode="External" /><Relationship Id="rId948" Type="http://schemas.openxmlformats.org/officeDocument/2006/relationships/hyperlink" Target="https://advance.lexis.com/api/document?collection=cases-ca&amp;id=urn:contentItem:5F7T-S7B1-JSRM-60CK-00000-00&amp;context=" TargetMode="External" /><Relationship Id="rId949" Type="http://schemas.openxmlformats.org/officeDocument/2006/relationships/hyperlink" Target="https://advance.lexis.com/api/document?collection=cases-ca&amp;id=urn:contentItem:5F7T-S6X1-FJDY-X1DC-00000-00&amp;context=" TargetMode="External" /><Relationship Id="rId95" Type="http://schemas.openxmlformats.org/officeDocument/2006/relationships/hyperlink" Target="https://advance.lexis.com/api/document?collection=cases-ca&amp;id=urn:contentItem:5F7T-S7K1-JKHB-62NG-00000-00&amp;context=" TargetMode="External" /><Relationship Id="rId950" Type="http://schemas.openxmlformats.org/officeDocument/2006/relationships/hyperlink" Target="https://advance.lexis.com/api/document?collection=cases-ca&amp;id=urn:contentItem:5F7T-S6T1-DY89-M2J4-00000-00&amp;context=" TargetMode="External" /><Relationship Id="rId951" Type="http://schemas.openxmlformats.org/officeDocument/2006/relationships/hyperlink" Target="https://advance.lexis.com/api/document?collection=cases-ca&amp;id=urn:contentItem:5F7T-S7N1-JWR6-S23S-00000-00&amp;context=" TargetMode="External" /><Relationship Id="rId952" Type="http://schemas.openxmlformats.org/officeDocument/2006/relationships/hyperlink" Target="https://advance.lexis.com/api/document?collection=cases-ca&amp;id=urn:contentItem:5F7T-S7J1-DXWW-251K-00000-00&amp;context=" TargetMode="External" /><Relationship Id="rId953" Type="http://schemas.openxmlformats.org/officeDocument/2006/relationships/hyperlink" Target="https://advance.lexis.com/api/document?collection=cases-ca&amp;id=urn:contentItem:5F7T-S7J1-JYYX-624K-00000-00&amp;context=" TargetMode="External" /><Relationship Id="rId954" Type="http://schemas.openxmlformats.org/officeDocument/2006/relationships/hyperlink" Target="https://advance.lexis.com/api/document?collection=legislation-ca&amp;id=urn:contentItem:5F41-1FJ1-JBDT-B066-00000-00&amp;context=" TargetMode="External" /><Relationship Id="rId955" Type="http://schemas.openxmlformats.org/officeDocument/2006/relationships/hyperlink" Target="https://advance.lexis.com/api/document?collection=cases-ca&amp;id=urn:contentItem:5F7T-S751-JBM1-M2CY-00000-00&amp;context=" TargetMode="External" /><Relationship Id="rId956" Type="http://schemas.openxmlformats.org/officeDocument/2006/relationships/hyperlink" Target="https://advance.lexis.com/api/document?collection=cases-ca&amp;id=urn:contentItem:5F7T-S771-JTGH-B136-00000-00&amp;context=" TargetMode="External" /><Relationship Id="rId957" Type="http://schemas.openxmlformats.org/officeDocument/2006/relationships/hyperlink" Target="https://advance.lexis.com/api/document?collection=cases-ca&amp;id=urn:contentItem:5F7T-S731-FG12-62FT-00000-00&amp;context=" TargetMode="External" /><Relationship Id="rId958" Type="http://schemas.openxmlformats.org/officeDocument/2006/relationships/hyperlink" Target="https://advance.lexis.com/api/document?collection=cases-ca&amp;id=urn:contentItem:5F7T-S7F1-F7VM-S46S-00000-00&amp;context=" TargetMode="External" /><Relationship Id="rId959" Type="http://schemas.openxmlformats.org/officeDocument/2006/relationships/header" Target="header127.xml" /><Relationship Id="rId96" Type="http://schemas.openxmlformats.org/officeDocument/2006/relationships/hyperlink" Target="https://advance.lexis.com/api/document?collection=cases-ca&amp;id=urn:contentItem:5K6Y-81M1-F81W-23VR-00000-00&amp;context=" TargetMode="External" /><Relationship Id="rId960" Type="http://schemas.openxmlformats.org/officeDocument/2006/relationships/header" Target="header128.xml" /><Relationship Id="rId961" Type="http://schemas.openxmlformats.org/officeDocument/2006/relationships/footer" Target="footer127.xml" /><Relationship Id="rId962" Type="http://schemas.openxmlformats.org/officeDocument/2006/relationships/footer" Target="footer128.xml" /><Relationship Id="rId963" Type="http://schemas.openxmlformats.org/officeDocument/2006/relationships/header" Target="header129.xml" /><Relationship Id="rId964" Type="http://schemas.openxmlformats.org/officeDocument/2006/relationships/footer" Target="footer129.xml" /><Relationship Id="rId965" Type="http://schemas.openxmlformats.org/officeDocument/2006/relationships/hyperlink" Target="https://advance.lexis.com/api/document?collection=cases-ca&amp;id=urn:contentItem:5K6Y-81N1-JN14-G21J-00000-00&amp;context=" TargetMode="External" /><Relationship Id="rId966" Type="http://schemas.openxmlformats.org/officeDocument/2006/relationships/hyperlink" Target="https://advance.lexis.com/api/document?collection=cases-ca&amp;id=urn:contentItem:5F7T-S7N1-JWR6-S22T-00000-00&amp;context=" TargetMode="External" /><Relationship Id="rId967" Type="http://schemas.openxmlformats.org/officeDocument/2006/relationships/hyperlink" Target="https://advance.lexis.com/api/document?collection=cases-ca&amp;id=urn:contentItem:5F7T-S7M1-JFSV-G3D6-00000-00&amp;context=" TargetMode="External" /><Relationship Id="rId968" Type="http://schemas.openxmlformats.org/officeDocument/2006/relationships/hyperlink" Target="https://advance.lexis.com/api/document?collection=cases-ca&amp;id=urn:contentItem:5F7T-S6R1-JW09-M09C-00000-00&amp;context=" TargetMode="External" /><Relationship Id="rId969" Type="http://schemas.openxmlformats.org/officeDocument/2006/relationships/header" Target="header130.xml" /><Relationship Id="rId97" Type="http://schemas.openxmlformats.org/officeDocument/2006/relationships/hyperlink" Target="https://advance.lexis.com/api/document?collection=legislation-ca&amp;id=urn:contentItem:5FBX-WG91-FGCG-S2K5-00000-00&amp;context=" TargetMode="External" /><Relationship Id="rId970" Type="http://schemas.openxmlformats.org/officeDocument/2006/relationships/header" Target="header131.xml" /><Relationship Id="rId971" Type="http://schemas.openxmlformats.org/officeDocument/2006/relationships/footer" Target="footer130.xml" /><Relationship Id="rId972" Type="http://schemas.openxmlformats.org/officeDocument/2006/relationships/footer" Target="footer131.xml" /><Relationship Id="rId973" Type="http://schemas.openxmlformats.org/officeDocument/2006/relationships/header" Target="header132.xml" /><Relationship Id="rId974" Type="http://schemas.openxmlformats.org/officeDocument/2006/relationships/footer" Target="footer132.xml" /><Relationship Id="rId975" Type="http://schemas.openxmlformats.org/officeDocument/2006/relationships/hyperlink" Target="https://advance.lexis.com/api/document?collection=cases-ca&amp;id=urn:contentItem:5F7T-S7C1-F4NT-X38V-00000-00&amp;context=" TargetMode="External" /><Relationship Id="rId976" Type="http://schemas.openxmlformats.org/officeDocument/2006/relationships/hyperlink" Target="https://advance.lexis.com/api/document?collection=cases-ca&amp;id=urn:contentItem:5F7T-S701-JJ6S-61DM-00000-00&amp;context=" TargetMode="External" /><Relationship Id="rId977" Type="http://schemas.openxmlformats.org/officeDocument/2006/relationships/hyperlink" Target="https://advance.lexis.com/api/document?collection=cases-ca&amp;id=urn:contentItem:5F7T-S741-F57G-S1SV-00000-00&amp;context=" TargetMode="External" /><Relationship Id="rId978" Type="http://schemas.openxmlformats.org/officeDocument/2006/relationships/hyperlink" Target="https://advance.lexis.com/api/document?collection=cases-ca&amp;id=urn:contentItem:5F8T-N3R1-FBV7-B04P-00000-00&amp;context=" TargetMode="External" /><Relationship Id="rId979" Type="http://schemas.openxmlformats.org/officeDocument/2006/relationships/hyperlink" Target="https://advance.lexis.com/api/document?collection=cases-ca&amp;id=urn:contentItem:5F8T-N3V1-FC1F-M3WJ-00000-00&amp;context=" TargetMode="External" /><Relationship Id="rId98" Type="http://schemas.openxmlformats.org/officeDocument/2006/relationships/hyperlink" Target="https://advance.lexis.com/api/document?collection=cases-ca&amp;id=urn:contentItem:5F81-VJX1-FGY5-M3B4-00000-00&amp;context=" TargetMode="External" /><Relationship Id="rId980" Type="http://schemas.openxmlformats.org/officeDocument/2006/relationships/header" Target="header133.xml" /><Relationship Id="rId981" Type="http://schemas.openxmlformats.org/officeDocument/2006/relationships/header" Target="header134.xml" /><Relationship Id="rId982" Type="http://schemas.openxmlformats.org/officeDocument/2006/relationships/footer" Target="footer133.xml" /><Relationship Id="rId983" Type="http://schemas.openxmlformats.org/officeDocument/2006/relationships/footer" Target="footer134.xml" /><Relationship Id="rId984" Type="http://schemas.openxmlformats.org/officeDocument/2006/relationships/header" Target="header135.xml" /><Relationship Id="rId985" Type="http://schemas.openxmlformats.org/officeDocument/2006/relationships/footer" Target="footer135.xml" /><Relationship Id="rId986" Type="http://schemas.openxmlformats.org/officeDocument/2006/relationships/hyperlink" Target="https://advance.lexis.com/api/document?collection=cases-ca&amp;id=urn:contentItem:5Y5V-NGS1-JX8W-M4W0-00000-00&amp;context=" TargetMode="External" /><Relationship Id="rId987" Type="http://schemas.openxmlformats.org/officeDocument/2006/relationships/hyperlink" Target="https://advance.lexis.com/api/document?collection=legislation-ca&amp;id=urn:contentItem:5F41-1FH1-F361-M0HG-00000-00&amp;context=" TargetMode="External" /><Relationship Id="rId988" Type="http://schemas.openxmlformats.org/officeDocument/2006/relationships/hyperlink" Target="https://advance.lexis.com/api/document?collection=cases-ca&amp;id=urn:contentItem:5F7T-S7K1-JWXF-20XW-00000-00&amp;context=" TargetMode="External" /><Relationship Id="rId989" Type="http://schemas.openxmlformats.org/officeDocument/2006/relationships/hyperlink" Target="https://advance.lexis.com/api/document?collection=cases-ca&amp;id=urn:contentItem:5F7T-S701-JF75-M47G-00000-00&amp;context=" TargetMode="External" /><Relationship Id="rId99" Type="http://schemas.openxmlformats.org/officeDocument/2006/relationships/hyperlink" Target="https://advance.lexis.com/api/document?collection=cases-ca&amp;id=urn:contentItem:5F7T-S7H1-F016-S42T-00000-00&amp;context=" TargetMode="External" /><Relationship Id="rId990" Type="http://schemas.openxmlformats.org/officeDocument/2006/relationships/hyperlink" Target="https://advance.lexis.com/api/document?collection=cases-ca&amp;id=urn:contentItem:5F8T-N3R1-JNS1-M0YN-00000-00&amp;context=" TargetMode="External" /><Relationship Id="rId991" Type="http://schemas.openxmlformats.org/officeDocument/2006/relationships/hyperlink" Target="https://advance.lexis.com/api/document?collection=cases-ca&amp;id=urn:contentItem:5F8T-N3P1-FC6N-X1BS-00000-00&amp;context=" TargetMode="External" /><Relationship Id="rId992" Type="http://schemas.openxmlformats.org/officeDocument/2006/relationships/hyperlink" Target="https://advance.lexis.com/api/document?collection=cases-ca&amp;id=urn:contentItem:5F8T-N3P1-FC6N-X1C4-00000-00&amp;context=" TargetMode="External" /><Relationship Id="rId993" Type="http://schemas.openxmlformats.org/officeDocument/2006/relationships/hyperlink" Target="https://advance.lexis.com/api/document?collection=cases-ca&amp;id=urn:contentItem:5F7T-S7C1-F30T-B2JK-00000-00&amp;context=" TargetMode="External" /><Relationship Id="rId994" Type="http://schemas.openxmlformats.org/officeDocument/2006/relationships/hyperlink" Target="https://advance.lexis.com/api/document?collection=cases-ca&amp;id=urn:contentItem:5F7T-S741-DY89-M397-00000-00&amp;context=" TargetMode="External" /><Relationship Id="rId995" Type="http://schemas.openxmlformats.org/officeDocument/2006/relationships/hyperlink" Target="https://advance.lexis.com/api/document?collection=cases-ca&amp;id=urn:contentItem:5F7T-S7B1-F7ND-G567-00000-00&amp;context=" TargetMode="External" /><Relationship Id="rId996" Type="http://schemas.openxmlformats.org/officeDocument/2006/relationships/hyperlink" Target="https://advance.lexis.com/api/document?collection=cases-ca&amp;id=urn:contentItem:5F7T-S7C1-F7VM-S3MK-00000-00&amp;context=" TargetMode="External" /><Relationship Id="rId997" Type="http://schemas.openxmlformats.org/officeDocument/2006/relationships/hyperlink" Target="https://advance.lexis.com/api/document?collection=cases-ca&amp;id=urn:contentItem:5F7T-S7J1-JYYX-623D-00000-00&amp;context=" TargetMode="External" /><Relationship Id="rId998" Type="http://schemas.openxmlformats.org/officeDocument/2006/relationships/hyperlink" Target="https://advance.lexis.com/api/document?collection=cases-ca&amp;id=urn:contentItem:5F7T-S7C1-F7VM-S3N8-00000-00&amp;context=" TargetMode="External" /><Relationship Id="rId999" Type="http://schemas.openxmlformats.org/officeDocument/2006/relationships/hyperlink" Target="https://advance.lexis.com/api/document?collection=cases-ca&amp;id=urn:contentItem:5F7T-S7D1-FFFC-B185-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Aymont v. Capp, [2010] B.C.J. No. 1441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115048102</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