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Whalley v. Splashdown Waterparks Inc., [2005] B.C.J. No. 1370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McKinnon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S69600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1370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2005 BCSC 923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14 C.P.C. (6th) 268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146 A.C.W.S. (3d) 37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2005 CarswellBC 1479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Dietrich Whalley, plaintiff, and Splashdown Waterparks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Civil procedure — Judgments and orders — Default judgments — Setting aside — Defence on the merits — Costs.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Splashdown Waterparks to set aside a default judgment granted in favour of the plaintiff Whalley. Whalley sustained injuries while water sliding at Splashdown's park. Splashdown did not defend the action. Whalley was awarded a judgment of $80,000. A significant aspect of the claim was that Whalley had lost his sense of smell, which adversely impacted upon his chosen career as a police officer. Splashdown had not been given notice of the assessment hearing. It claimed it had received notice of the action from its solicitors and then forwarded it on to its insurer. The insurer had no record of the statement of claim. Splashdown claimed it had a good defence to the claim, including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Whalley, invoking volenti, and relying upon the Occupiers Liability Act. It provided expert evidence that Whalley's loss of smell was unrelated to the broken nose he sustained but was rather likely to have been caused by an allergic reaction of some kind.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only reasonable inference to draw from the material was that for reasons that no one could explain, although the statement of claim was lost in the process, Splashdown had every intention of protecting its position. Splashdown had a defence worthy of investigation. Whalley's thrown away costs were limited to those costs incurred to obtain the default judgment. He was not entitled to the costs of the assessment hearing, as Splashdown was entitled to receive notice of the hearing.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 Rule 17(13), Rule 25(14), Rule 25(16), Rule 52(12.3)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W.N. Fritz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M.J. Konig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November 30, 2005.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McKINNON J."/>
            <w:bookmarkEnd w:id="6"/>
            <w:r>
              <w:rPr>
                <w:rFonts w:ascii="arial" w:eastAsia="arial" w:hAnsi="arial" w:cs="arial"/>
                <w:b/>
                <w:color w:val="000000"/>
                <w:sz w:val="30"/>
                <w:lang w:val="en-US" w:eastAsia="en-US" w:bidi="ar-SA"/>
              </w:rPr>
              <w:t>McKINNON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sustained injuries on June 27, 2000, while water sliding at the defendant park. A Writ and Statement of Claim were issued and served upon the defendant but no appearance was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November 16, 2001, judgment in default of appearance was obtained. On December 24, 2004, I assessed damages of $80,000 plus costs. A significant aspect of the award was the claim by the plaintiff that he had lost his sense of smell which impacted adversely upon his chosen career as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now applies to set aside the default judgment, set aside my assessment of damages and obtain leave to file a Statement of Defence within seven days. The defendant also seeks costs in any event of the cause and argues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submitted that the judgment in default should be set aside under the ratio of Miracle Feeds v. D. &amp; H. Enterprises Ltd. (1979), 10 B.C.L.R. 58 (Co. Ct.) while the assessment of damages should be set aside under the discretion granted to me by Rule 52(12.3). This refers to setting aside ex parte orders. In my view, if the default judgment is set aside, then clearly the results obtained as a consequence of that judgment would fall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issue of costs stems from queries that I made at the assessment stage when I enquired as to whether the defendant had been served with the notice to assess. I was told that it had not and that pursuant to the ratio in Koffski et al v. Ashworth, </w:t>
      </w:r>
      <w:hyperlink r:id="rId12" w:history="1">
        <w:r>
          <w:rPr>
            <w:rFonts w:ascii="arial" w:eastAsia="arial" w:hAnsi="arial" w:cs="arial"/>
            <w:i/>
            <w:color w:val="0077CC"/>
            <w:sz w:val="20"/>
            <w:u w:val="single"/>
            <w:shd w:val="clear" w:color="auto" w:fill="FFFFFF"/>
            <w:lang w:val="en-US" w:eastAsia="en-US" w:bidi="ar-SA"/>
          </w:rPr>
          <w:t>[2001] B.C.J. No. 2373</w:t>
        </w:r>
      </w:hyperlink>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2001 BCSC 1469</w:t>
        </w:r>
      </w:hyperlink>
      <w:r>
        <w:rPr>
          <w:rFonts w:ascii="arial" w:eastAsia="arial" w:hAnsi="arial" w:cs="arial"/>
          <w:color w:val="000000"/>
          <w:sz w:val="20"/>
          <w:lang w:val="en-US" w:eastAsia="en-US" w:bidi="ar-SA"/>
        </w:rPr>
        <w:t>, it was not entitled to such notice and was not even entitled to appear at a hearing to assess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applicant also contends that on the assessment hearing certain erroneous statements were made that invited the Court to speculate that the defendant was "hiding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applicant says that Koffski is not in accordance with Court of Appeal decisions obliging the assessing party to give notice of the hearing. Counsel for the applicant described opposing counsel as "mistaken" in his view of the law respecting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Since I have determined that the applicant meets the test enunciated in Miracle Feeds, and that the applicant is entitled to the relief it seeks in the motion, ordinarily, I would not proceed further in terms of discussing the issue as to the right to attend an assessment set out in Koffski. However, given the claims for costs made by both sides, I am obliged to ascertain the effect of Koffski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If I accept the ratio of Koffski advanced by the plaintiff, then he would be entitled to all of his costs "thrown away" in any event of the cause, which would include the costs of the assessment of damages. Otherwise his costs may be restricted to those associated with obtaining judgment in default of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turn first to my reasons for granting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test enunciated in Miracle Feeds appears at paragraph 5 where Hinds C.C.J.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difference in phraseology between the former marginal rule and the new rule, it appears that in order for a defendant to succeed on an application to set aside a default judgment, he must show:</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did not wilfully fail to enter an appearance or file a defence to the plaintiff's claim;</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made application to set aside the default judgment as soon as reasonably possible after obtaining knowledge of the default judgment, or give an explanation for any delay in the application being sought;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has a meritorious defence or at least a defence worthy of investigation; and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foregoing requirements will be established to the satisfaction of the court through affidavit material filed by or on behalf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is an operating business and has been since 1983. Mr. Tom Oliver, president and director deposed that Writs of Summons are "from time to time" served upon the defendant and are dealt with in a routine way. On receipt of a Writ, he delivers a copy to the insurance broker, who in turn instructs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Glenn A. Bainbridge, vice president of Marsh Canada Limited, deposed that his company has been the insurers for the defendant since 1996. He stated that his practice, when in receipt of a Writ from Mr. Oliver, was to contact the underwriters immediately. The underwriters would then retain counsel and the defendant's position would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Peter Mogan deposed that he is the solicitor of record for the defendant and has been since 1990. He set out his usual procedure when a Writ is served on the company which essentially involved faxing it to Mr. Oliver or having him pick it up and deliver it to the insurers. Mr. Mogan said that generally, that was the end of his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Mogan conceded that he received the Writ and Statement of Claim in issue on or about October 9, 2001, and "to the best of my knowledge", gave it to Mr. Oliver and notified Marsh &amp; McLennan brokers, as was 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Oliver deposed that "to the best of my knowledge", he picked up the Writ and Statement of Claim from Mr. Mogan's office and "believes" he delivered it to Mr. Norm Duncan at Marsh &amp; McLennan (now known as Marsh Canada). Mr. Bainbridge deposed that he contacted all persons within his company who might have had contact with Mr. Oliver on this issue, including Mr. Norm Duncan, but no one can recall receiving the Writ. Thus the Writ seems to have been lost some time after it was delivered to the brokers and no action was taken on behalf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Notice of the assessment came to the attention of the defendant only through the fortuitous fact that a lawyer from Mr. Mogan's office happened to be in Court when I proceeded with the assessment. Mr. Derek Creighton, counsel with Mr. Mogan's firm, deposed that immediately upon learning of the judgment he ordered a transcript of the proceedings and drafted a statement of defence. Mr. Creighton wrote to plaintiff's counsel on January 5, 2005, complaining about the lack of notice respecting the assessment hearing and requesting and obtaining counsel's agreement not to proceed further for "at least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Matters then proceeded with numerous letters and telephone calls exchanged between counsel mostly directed to a hearing date. One problem was that counsel believed I should hear the motion, which of course necessitated accommodation to my rota. Ultimately the motion was filed on April 1 and the matter was heard May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Plaintiff's counsel concedes that there has not been inordinate delay and thus accepts that the second test in Miracle Feeds has been met. However, he says that there has been "wilful failure" to enter an appearance and it has not been shown that there is a meritorious defence, or a defence "at least worthy of an investigation". These track the first and third branches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Plaintiff's counsel submitted that a thorough reading of the affidavit material does not disclose any positive intent on the part of any of the defendant's officers or counsel to actually file an appearance. I can see no merit to that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there is no definitive statement in the material to the effect that someone would actually file an appearance, the clear message from the affidavits is that it was unthinkable that an appearance would not be entered. Such a procedure was always followed when Writs were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only reasonable inference to draw from the material is that for reasons which no one can explain, although the Writ was lost in the process, the defendant had every intention of protecting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Mogan deposed that he considered his client "has a good defence to the claims brought by the Plaintiff". Mr. Creighton, as indicated, attached a form of defence which</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denies any </w:t>
      </w:r>
      <w:r>
        <w:rPr>
          <w:rFonts w:ascii="arial" w:eastAsia="arial" w:hAnsi="arial" w:cs="arial"/>
          <w:b/>
          <w:i/>
          <w:color w:val="000000"/>
          <w:sz w:val="20"/>
          <w:u w:val="single"/>
          <w:lang w:val="en-US" w:eastAsia="en-US" w:bidi="ar-SA"/>
        </w:rPr>
        <w:t>negligence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relies upon the Occupiers Liability Act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invokes volenti - claiming the defendant willingly accepted the risks associated with water sliding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Alleges the damages suffered if any are unrelated to the incident at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Oliver deposed that life guards are in attendance and that patron's slides are timed to avoid the kind of collision alleged by the Plaintiff. He also deposed to signs warning against stopping in the slides and that the park operated under "generally accepted methods of supervision" for waterparks. Mr. Oliver also deposed to numerous warnings that patrons "SLIDE AT OWN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"preliminary" medical report was also filed from a Dr. Richard R.J. Smyth, specialist in otology, nasal and sinus disease and pharyngolaryngology. Dr. Smyth was given the affidavit of the plaintiff filed at the assessment hearing together with the attached clinical and medical records. It was his opinion that the substantial claim of loss of smell (Hyposmia) would not likely result from a fractured nose. He considered it more likely to have been caused by an allergic reaction of some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Plaintiff's counsel criticised both the proposed defences and the medical report. The former he characterized as merely a wish list defence devoid of substance and the latter as "reading too much" into the plaintiff's evidence which rendered the report "hypothetical in the extreme".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my view the evidence on this application easily meets the test in Miracle Feeds. It is not necessary to prove any defence nor even to establish a meritorious defence, rather it is only necessary to demonstrate that there is at least a defence "worthy of investigation": see Brookswood Software Eng. Ltd. v. Int'l Submarine SDafaris (Can) Ltd., </w:t>
      </w:r>
      <w:hyperlink r:id="rId13" w:history="1">
        <w:r>
          <w:rPr>
            <w:rFonts w:ascii="arial" w:eastAsia="arial" w:hAnsi="arial" w:cs="arial"/>
            <w:i/>
            <w:color w:val="0077CC"/>
            <w:sz w:val="20"/>
            <w:u w:val="single"/>
            <w:shd w:val="clear" w:color="auto" w:fill="FFFFFF"/>
            <w:lang w:val="en-US" w:eastAsia="en-US" w:bidi="ar-SA"/>
          </w:rPr>
          <w:t>[1991] B.C.J. No. 3074</w:t>
        </w:r>
      </w:hyperlink>
      <w:r>
        <w:rPr>
          <w:rFonts w:ascii="arial" w:eastAsia="arial" w:hAnsi="arial" w:cs="arial"/>
          <w:color w:val="000000"/>
          <w:sz w:val="20"/>
          <w:lang w:val="en-US" w:eastAsia="en-US" w:bidi="ar-SA"/>
        </w:rPr>
        <w:t xml:space="preserve"> (S.C.). I am satisfied that the defence has met that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turn now to consider the issue of costs which requires a review of the law respecting notice of assessment where judgment has been obtained in default of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 defendant who does not file an appearance is not a "party of record" under Rule 1(8) and, therefore, is not entitled to notice of an assessment for damages: see Evocation Publishing Corp. v. Hamilton, </w:t>
      </w:r>
      <w:hyperlink r:id="rId14" w:history="1">
        <w:r>
          <w:rPr>
            <w:rFonts w:ascii="arial" w:eastAsia="arial" w:hAnsi="arial" w:cs="arial"/>
            <w:i/>
            <w:color w:val="0077CC"/>
            <w:sz w:val="20"/>
            <w:u w:val="single"/>
            <w:shd w:val="clear" w:color="auto" w:fill="FFFFFF"/>
            <w:lang w:val="en-US" w:eastAsia="en-US" w:bidi="ar-SA"/>
          </w:rPr>
          <w:t>[2002] B.C.J. No. 2934</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2002 BCSC 1797</w:t>
        </w:r>
      </w:hyperlink>
      <w:r>
        <w:rPr>
          <w:rFonts w:ascii="arial" w:eastAsia="arial" w:hAnsi="arial" w:cs="arial"/>
          <w:color w:val="000000"/>
          <w:sz w:val="20"/>
          <w:lang w:val="en-US" w:eastAsia="en-US" w:bidi="ar-SA"/>
        </w:rPr>
        <w:t>. However, in that case the court also recognized that Rule 17(13) gives a trial judge residual discretion to order that notice of an assessment for damages be given to a defendant. That, in my respectful view, suggests that a defendant has a right to appear at an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bar, the plaintiff relied upon Kofski when I enquired as to the need for notice. In that case, the defendant applied to have default judgment set aside but that was dismissed. He then applied to appear and proffer evidence at the assessment for damages, relying upon Rule 25(14) which refers to setting an assessment down for trial after default judgment is taken. The defendant submitted that such a Rule does not displace the audi alteram partem principle. The plaintiff submitted that by failing to comply with the Rules, the defendants waived their right to participate in an assessment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They supported this by pointing out that a defendant who allows default judgment, but is allowed to appear at the assessment for damages, obtains the benefit of being a party without meeting the disclosure obligations imposed on parties in normal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Edwards J. dismissed the defendants' application. He concluded that by failing to comply with the Rules, the defendants waived their right to participate in the damages assessment. He said at paragraph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that the defendants did not deliberately fail to comply with the Rules in order to gain the advantage of participating in the assessment of damages without submitting to the requirements to state their positions in pleadings, disclose documents and submit to examination for discovery. Nevertheless, to grant the relief the defendants now seek would confer on them a right to participate in the assessment of damages which they must be taken to have waived by their non-compliance with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only case (I could find) that has cited Koffski is Burzan v. Burzan, </w:t>
      </w:r>
      <w:hyperlink r:id="rId15" w:history="1">
        <w:r>
          <w:rPr>
            <w:rFonts w:ascii="arial" w:eastAsia="arial" w:hAnsi="arial" w:cs="arial"/>
            <w:i/>
            <w:color w:val="0077CC"/>
            <w:sz w:val="20"/>
            <w:u w:val="single"/>
            <w:shd w:val="clear" w:color="auto" w:fill="FFFFFF"/>
            <w:lang w:val="en-US" w:eastAsia="en-US" w:bidi="ar-SA"/>
          </w:rPr>
          <w:t>[2004] B.C.J. No. 1816</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2004 BCSC 1164</w:t>
        </w:r>
      </w:hyperlink>
      <w:r>
        <w:rPr>
          <w:rFonts w:ascii="arial" w:eastAsia="arial" w:hAnsi="arial" w:cs="arial"/>
          <w:color w:val="000000"/>
          <w:sz w:val="20"/>
          <w:lang w:val="en-US" w:eastAsia="en-US" w:bidi="ar-SA"/>
        </w:rPr>
        <w:t>. In Burzan the plaintiff had obtained default judgment. The defendant was seeking an adjournment of the damages assessment and the plaintiff sought to have the assessment dealt with summarily under Rule 25(16). Bauman J. granted the adjournment and mentioned the decision in Koffski at paragraph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Notwithstanding that Mr. Burzan defaulted in filing his statement of defence and thereby waived his right to participate in the assessment hearing (Koffski v. Ashworth, </w:t>
      </w:r>
      <w:hyperlink r:id="rId12" w:history="1">
        <w:r>
          <w:rPr>
            <w:rFonts w:ascii="arial" w:eastAsia="arial" w:hAnsi="arial" w:cs="arial"/>
            <w:i/>
            <w:color w:val="0077CC"/>
            <w:sz w:val="20"/>
            <w:u w:val="single"/>
            <w:shd w:val="clear" w:color="auto" w:fill="FFFFFF"/>
            <w:lang w:val="en-US" w:eastAsia="en-US" w:bidi="ar-SA"/>
          </w:rPr>
          <w:t>[2001] B.C.J. No. 2373</w:t>
        </w:r>
      </w:hyperlink>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2001 BCSC 1469</w:t>
        </w:r>
      </w:hyperlink>
      <w:r>
        <w:rPr>
          <w:rFonts w:ascii="arial" w:eastAsia="arial" w:hAnsi="arial" w:cs="arial"/>
          <w:color w:val="000000"/>
          <w:sz w:val="20"/>
          <w:lang w:val="en-US" w:eastAsia="en-US" w:bidi="ar-SA"/>
        </w:rPr>
        <w:t>), the interests of justice require that I adjourn the matter to allow Mr. Burzan a reasonable opportunity to take the advice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Bauman J. then directed that the assessment be referred to the trial list and that the defendant be served with notice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in this case failed to file an appearance. Default judgment was taken on November 16, 2001. The assessment of damages was set down for December 24, 2004, and the plaintiff did not serve the defendant with notice of the hearing. The defendant was unaware that default judgment had been taken and that the assessment of damages was going ahead. For that reason, only the plaintiff appeared at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are numerous decisions that reflect the right of a defendant, against whom default judgment has been taken, to appear at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Kokic et al. v. Cherry, </w:t>
      </w:r>
      <w:hyperlink r:id="rId16" w:history="1">
        <w:r>
          <w:rPr>
            <w:rFonts w:ascii="arial" w:eastAsia="arial" w:hAnsi="arial" w:cs="arial"/>
            <w:i/>
            <w:color w:val="0077CC"/>
            <w:sz w:val="20"/>
            <w:u w:val="single"/>
            <w:shd w:val="clear" w:color="auto" w:fill="FFFFFF"/>
            <w:lang w:val="en-US" w:eastAsia="en-US" w:bidi="ar-SA"/>
          </w:rPr>
          <w:t>[2004] B.C.J. No. 679</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2004 BCSC 472</w:t>
        </w:r>
      </w:hyperlink>
      <w:r>
        <w:rPr>
          <w:rFonts w:ascii="arial" w:eastAsia="arial" w:hAnsi="arial" w:cs="arial"/>
          <w:color w:val="000000"/>
          <w:sz w:val="20"/>
          <w:lang w:val="en-US" w:eastAsia="en-US" w:bidi="ar-SA"/>
        </w:rPr>
        <w:t>, the plaintiffs had obtained default judgment and appeared before Fraser J. for an assessment of damages. Although he was unable to assess damages at the hearing, he seized himself of the application and discussed certain aspects of the assessment of damages that was to be set down for hearing: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23 ... Although it is not an absolute rule, permitting default judgment to be entered against you tends to amount to an admission that the allegations in the Statement of Claim are true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24 Common sense requires that I seize myself of this application, which I do. When the plaintiffs have remedied the omissions I have described, they may apply again to me for an award of damages. The defendant, of course, may also tender evidence and make submissions, keeping in mind that her ability to contradict the assertions of the Statement of Claim may be doubtful, in light of the default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Fraser J. acknowledges the defendant's right to appear at the assessment for damages. He says that the defendant may tender evidence and make submissions at the assessment. What the defendant cannot do is contradict assertions from the statement of claim, as these are deemed to be admitted by a defendant who allows judgment to be taken in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Tillery v. Okusako, </w:t>
      </w:r>
      <w:hyperlink r:id="rId17" w:history="1">
        <w:r>
          <w:rPr>
            <w:rFonts w:ascii="arial" w:eastAsia="arial" w:hAnsi="arial" w:cs="arial"/>
            <w:i/>
            <w:color w:val="0077CC"/>
            <w:sz w:val="20"/>
            <w:u w:val="single"/>
            <w:shd w:val="clear" w:color="auto" w:fill="FFFFFF"/>
            <w:lang w:val="en-US" w:eastAsia="en-US" w:bidi="ar-SA"/>
          </w:rPr>
          <w:t>[1989] B.C.J. No. 1366</w:t>
        </w:r>
      </w:hyperlink>
      <w:r>
        <w:rPr>
          <w:rFonts w:ascii="arial" w:eastAsia="arial" w:hAnsi="arial" w:cs="arial"/>
          <w:color w:val="000000"/>
          <w:sz w:val="20"/>
          <w:lang w:val="en-US" w:eastAsia="en-US" w:bidi="ar-SA"/>
        </w:rPr>
        <w:t xml:space="preserve"> (C.A.), the plaintiff proceeded with an assessment of damages having obtained judgment in default. The plaintiff served the defendant with a notice of motion and attached the affidavit of an expert on the value of the antique sword which was the subject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affidavit was served only three days before the hearing. The defendant sought an adjournment so he could seek expert evidence to be given in reply, and the adjournment was refused. The trial judge hearing the assessment awarded the plaintiff damages and the defendant appealed. The issue on appeal was whether the plaintiff was required to give the defendant notice of the expert report. Southin J.A. found that the defendant had not been given adequate notice of the expert opinion and the trial judge had erred by not granting the adjournment of the assessment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This decision suggests that a defendant has the right to appear at the assessment for damages, despite the fact that default judgment has been taken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the Court of Appeal in Tillery did not address the issue raised in Koffski, it is clear that the court recognized the right of the defendant to participate in the assessment. Moreover, the fact that the court has exercised its discretion under Rule 17(13) to require a plaintiff to provide a defendant with notice of an assessment confirms that a defendant has a right to appear at an assessment and put the plaintiff to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have concluded that Koffski is confined to its particular facts and can be distinguished from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Koffski there was an order that the defendant's Statement of Defence be struck and that the plaintiffs could proceed as if no appearance or Statement of Defence had been filed. An appeal from that order was unsuccessful and the Court then determined that the defendant was not entitled to make submissions on the assessment of damages that followed. In my respectful view Koffski does not stand for the broad principle that a defendant, against whom default judgment has been taken, has no right to appear at a hearing for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Cases cited by the applicant at least imply that a defendant has the right to appear at an assessment of damages notwithstanding his failure to enter an appearance to the action. That right may be circumscribed in terms of the extent of the defendant's ability to dispute certain matters and is of course subject to the discretion of the trial judge. However, those potential limitations do not detract from the "right to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do not fault Plaintiff's counsel for proceeding as he did, save to note that it should have been obvious that Koffski was not necessarily the defining case on the issue and the Court would have been better served if so informed.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costs "thrown away" are limited to those costs incurred to obtain the default judgment. He is not entitled to the costs of the assessment hearing. The Defendant's claims for costs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Judgement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McKINNON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November 30,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dated June 17, 2005. Paragraph 2 of the Reasons for Judgment is amended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date on the second line should read December 24,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McKINNON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Hanlan v. John Doe, [2016] B.C.J. No. 421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B.D. 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 and 18,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19,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13-4176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421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372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Kenneth Alfred Desmond Hanlan, Plaintiff, and John Doe, Robyn Wilson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Legal profession — Barristers and solicitors — Retention of counsel — Representation — Application for removal of counsel — Disqualification or removal — Relationship with client — Conflict of interest — Lawyer acting for more than one party — Application by the defendant Wilson to remove the plaintiff's lawyer, Legh, for conflict of interest allowed — The litigation was with respect to a motor vehicle accident involving an unidentified driver — Wilson and her spouse, the plaintiff Hanlon, initially retained Legh in 2012 — Hanlon was encouraged by Legh to commence an action against Wilson for damages suffered in the accident — On behalf of Wilson her new lawyer sought an order enjoining Legh from representing Hanlon — There was a clear conflict of interest where Legh had received confidential information from Wilson.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Independence — Conflicts of interest — Professions — Legal — Barristers and solicitors — Application by the defendant Wilson to remove the plaintiff's lawyer, Legh, for conflict of interest allowed — The litigation was with respect to a motor vehicle accident involving an unidentified driver — Wilson and her spouse, the plaintiff Hanlon, initially retained Legh in 2012 — Hanlon was encouraged by Legh to commence an action against Wilson for damages suffered in the accident — On behalf of Wilson her new lawyer sought an order enjoining Legh from representing Hanlon — There was a clear conflict of interest where Legh had received confidential information from Wilson.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Wilson to remove the plaintiff's lawyer, Legh, for conflict of interest. The litigation was with respect to a motor vehicle accident involving an unidentified driver. Wilson and her spouse, the plaintiff Hanlon, initially retained Legh in 2012. Legh represented Hanlon and Wilson for approximately a year, when Hanlon was encouraged by Legh to commence an action for damages suffered in the accident, naming Wilson as a defendant. Legh informed Wilson that he could no longer represent her. On behalf of Wilson her insurer, the Insurance Corporation of British Columbia, sought an order enjoining Legh from representing Hanlon. ICBC claimed that there Wilson had imparted confidential information to Legh, which constituted a conflict of interest. Hanlon claimed that it would be a hardship to find another lawyer. Hanlon argued that Legh had not interviewed Wilson separately.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clients had a right to counsel of their choice, here the conflict of interest was plain and precluded Legh from acting for Hanlon. The court found that Wilson had given Legh confidential information; she was being protected from having her former lawyer act against her. To allow Legh to represent Hanlon would be to open the possibility that he could cross-examine his former client, Wilson, on the same matter in which he had once represented her.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Counsel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G.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Doe and ICBC: M.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Wilson: S. Finn.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2" style="position:absolute;z-index:2517616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 w:name="B.D. MacKENZIE J. (orally)"/>
            <w:bookmarkEnd w:id="12"/>
            <w:r>
              <w:rPr>
                <w:rFonts w:ascii="arial" w:eastAsia="arial" w:hAnsi="arial" w:cs="arial"/>
                <w:b/>
                <w:color w:val="000000"/>
                <w:sz w:val="30"/>
                <w:lang w:val="en-US" w:eastAsia="en-US" w:bidi="ar-SA"/>
              </w:rPr>
              <w:t>B.D. MacKENZIE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Ms. Wilson, one of the three defendants in this litigation, for an order enjoining the plaintiff's present lawyer, Mr. Legh, from continuing to act on the ground that he is in a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 is filed on behalf of Ms. Wilson through her present counsel, who is retained by Ms. Wilson's insurer, ICBC. ICBC is also a defendant and, through counsel, supports the application that Mr. Legh be enjoined from continuing to act for the plaintiff Mr. Hanlan.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subject matter of the litigation is a two car motor vehicle accident that occurred on December 12th, 2012. One of the vehicles was operated by Ms. Wilson. The passenger in her vehicle was Mr. Hanlan, the plaintiff, her common-law spouse. I am advised that this matter has been set for trial to commence January the 9th,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background facts are not in dispute, as far as this application is concerned. Ms. Wilson's van was hit by a truck operated by an unidentified driver, according to the position advanced by the plaintiff. This vehicle left the scene and the driver has not been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Both Ms. Wilson and Mr. Hanlan allege they suffered injuries as a result of the accident. In this regard, Mr. Hanlan deposes that he has not been able to work overseas in the oil industry since the date of the accident. I believe it was the oil industry he is employed in. Be that as it may, his claim against Ms. Wilson and the other defendants could very well be substantial, if he is indeed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December 2012 both Mr. Hanlan and Ms. Wilson retained Mr. Legh as legal counsel to represent them both with respect to a claim for injuries as a result of the accident. According to Mr. Hanlan, both he and Ms. Wilson met four times with Mr. Legh to discuss the accident. In addition, they attended at the scene of the accident with Mr. Legh in order to "walk through the scene," as outlined in the application by counsel for Ms. Wilson. Approximately a year later Mr. Legh was still acting for both Mr. Hanlan and Ms.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November the 19th, 2013, they both again met Mr. Legh at his office, at which time he explained that Mr. Hanlan should file an action naming the unidentified driver and Ms. Wilson as defendants, as they could not identify the unknown driver, and Ms. Wilson was the operator of the vehicle in which Mr. Hanlan was the passenger. As a result, Mr. Legh advised Ms. Wilson that she would have to find another lawyer. On that point Mr. Legh has deposed in his affidavit on this application that Ms. Wilson agreed that he could continue to represent her spouse, Mr. Hanlan, and she would not oppose Mr. Legh acting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couple of weeks later, in early December, Mr. Legh filed a notice of civil claim on behalf of Mr. Hanlan naming Ms. Wilson and John Doe as the drivers liable for Mr. Hanlan's injuries allegedly sustained in the accident, along with ICBC as the third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due course, Mr. Finn was retained as defence counsel by the insurer for Ms. Wilson, and in June of 2014 filed a response to the civil claim denying liability for the accident, as well as any alleged injuries, etcetera, etcetera.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Later in 2014 Ms. Wilson filed her own notice of civil claim, again with respect to injury she says she sustained in the same accident, naming John Doe and ICBC as defendants. Again, counsel was retained by ICBC to defend Ms. Wilson's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July of 2014 an examination for discovery of Mr. Hanlan was conducted by Mr. Finn. During that discovery Mr. Hanlan confirmed that he and Ms. Wilson had met with Mr. Legh on the four occasions I have mentioned, as well as attending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 result of this information Mr. Finn wrote Mr. Legh stating that it appeared Mr. Legh was in a conflict of interest by representing Mr. Hanlan against Ms. Wilson. Mr. Finn advised Mr. Legh that he objected to Mr. Legh conducting an examination for discovery of Ms. Wilson. Apparently Mr. Legh responded in December stating that he had spoken to Mr. Hanlan, and Mr. Hanlan was content to have Mr. Legh continue to act for him. As far as Mr. Legh was concerned, there was no conflict. Hence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legal framework that arises on this application is established by the Supreme Court of Canada in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the leading authority on the disqualification of counsel based on prior client representation. In addition, apart from any professional code of conduct, the Supreme Court has inherent jurisdiction to make the order that is sought, and the purpose of this power is to avoid the possibility of mischief occurring if counsel in question was permitted to continue to act: see </w:t>
      </w:r>
      <w:r>
        <w:rPr>
          <w:rFonts w:ascii="arial" w:eastAsia="arial" w:hAnsi="arial" w:cs="arial"/>
          <w:i/>
          <w:color w:val="000000"/>
          <w:sz w:val="20"/>
          <w:lang w:val="en-US" w:eastAsia="en-US" w:bidi="ar-SA"/>
        </w:rPr>
        <w:t>Wilson v. Brown</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[2010] B.C.J. No. 332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present case there are two competing interests at stake. One, the confidence of the public in the integrity of the legal profession and the administration of justice, having regard to the question of confidentiality between solicitor and client; and secondly, the ability of a litigant to retain counsel of his or her choosing.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[1990] 3 S.C.R. 1235</w:t>
        </w:r>
      </w:hyperlink>
      <w:r>
        <w:rPr>
          <w:rFonts w:ascii="arial" w:eastAsia="arial" w:hAnsi="arial" w:cs="arial"/>
          <w:color w:val="000000"/>
          <w:sz w:val="20"/>
          <w:lang w:val="en-US" w:eastAsia="en-US" w:bidi="ar-SA"/>
        </w:rPr>
        <w:t xml:space="preserve"> both Justice Sopinka for the six member majority, and Justice Cory for three others, concurring in the result, but disagreeing somewhat on the appropriate test to be applied for disqualification of counsel, emphasized the fundamental importance of the maintenance of the public's confidence in the integrity of our system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this regard, I pause here to simply state that applications such as this are difficult for any court, given the very significant competing interests at stake in such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the court found that the test to be applied in determining whether there is a conflict of interest is whether a reasonably informed person would be satisfied that no use of confidential information would occur. The court also determined that the issues to be addressed on an application for disqualification include: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lawyer receive confidential information attributable to a solicitor and client relationship relevant to the matter at hand? [and] (2) Is there a risk ... it will be used to the prejudice of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paragraph 46 Justice Sopinka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once it is shown ... that there existed a previous relationship which is sufficiently related to the retainer from which it is sought to remove the ... [lawyer], the court should infer that confidential information was imparted unless the ... [lawyer] satisfies the court ... no information was imparted which could be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Justice Sopinka then unequivocally stated this would be a "difficult burden to discharge", and further described it as a "heavy burden". Justice Sopinka further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court's degree of satisfaction [must] be such that it would withstand the scrutiny of the reasonably informed member of the public that no such [confidential and relevant] information passed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present case there is no question that the matters are sufficiently related as the subject matter is the same motor vehicle accident where Mr. Legh's former client is now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present case counsel on behalf of Mr. Legh submits that Mr. Legh has discharged the heavy burden that no relevant information was imparted. In this regard counsel submits that Mr. Legh did not receive any confidential information from his former client, Ms. Wilson, now the defendant in the same action, which prompted her to retain Mr. Legh to act for her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basis for this submission is contained in Mr. Legh's affidavit when he deposes that whatever Ms. Wilson told Mr. Legh, that Mr. Hanlan was present and that throughout the retainer he did not have any meetings with Ms. Wilson without Mr. Hanlan being in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a result, Mr. Legh submits that the court cannot infer that he received confidential information from Ms. Wilson, because Mr. Hanlan and Ms. Wilson had previously discussed the accident, given their relationship, and they were together when Ms. Wilson discussed the matter with Mr. Legh.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similar submission to establish no confidential information was forthcoming was, however, considered by Justice Loo in </w:t>
      </w:r>
      <w:r>
        <w:rPr>
          <w:rFonts w:ascii="arial" w:eastAsia="arial" w:hAnsi="arial" w:cs="arial"/>
          <w:i/>
          <w:color w:val="000000"/>
          <w:sz w:val="20"/>
          <w:lang w:val="en-US" w:eastAsia="en-US" w:bidi="ar-SA"/>
        </w:rPr>
        <w:t>Abdul v. Nisha</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[2005] B.C.J. No. 199</w:t>
        </w:r>
      </w:hyperlink>
      <w:r>
        <w:rPr>
          <w:rFonts w:ascii="arial" w:eastAsia="arial" w:hAnsi="arial" w:cs="arial"/>
          <w:color w:val="000000"/>
          <w:sz w:val="20"/>
          <w:lang w:val="en-US" w:eastAsia="en-US" w:bidi="ar-SA"/>
        </w:rPr>
        <w:t>. In that case counsel was opposing an application to be removed from acting for a plaintiff because of a conflict of interest arriving from his prior representation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advanced the same argument there as here. That is, the lawyer was not in possession of confidential information because both the defendant and the plaintiff had consulted counsel together and therefore there was no information obtained that could be considered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This argument failed in </w:t>
      </w:r>
      <w:r>
        <w:rPr>
          <w:rFonts w:ascii="arial" w:eastAsia="arial" w:hAnsi="arial" w:cs="arial"/>
          <w:i/>
          <w:color w:val="000000"/>
          <w:sz w:val="20"/>
          <w:lang w:val="en-US" w:eastAsia="en-US" w:bidi="ar-SA"/>
        </w:rPr>
        <w:t>Abdul</w:t>
      </w:r>
      <w:r>
        <w:rPr>
          <w:rFonts w:ascii="arial" w:eastAsia="arial" w:hAnsi="arial" w:cs="arial"/>
          <w:color w:val="000000"/>
          <w:sz w:val="20"/>
          <w:lang w:val="en-US" w:eastAsia="en-US" w:bidi="ar-SA"/>
        </w:rPr>
        <w:t xml:space="preserve"> and I am satisfied it must fail in the present case. As Justice Loo found in </w:t>
      </w:r>
      <w:r>
        <w:rPr>
          <w:rFonts w:ascii="arial" w:eastAsia="arial" w:hAnsi="arial" w:cs="arial"/>
          <w:i/>
          <w:color w:val="000000"/>
          <w:sz w:val="20"/>
          <w:lang w:val="en-US" w:eastAsia="en-US" w:bidi="ar-SA"/>
        </w:rPr>
        <w:t>Abdul</w:t>
      </w:r>
      <w:r>
        <w:rPr>
          <w:rFonts w:ascii="arial" w:eastAsia="arial" w:hAnsi="arial" w:cs="arial"/>
          <w:color w:val="000000"/>
          <w:sz w:val="20"/>
          <w:lang w:val="en-US" w:eastAsia="en-US" w:bidi="ar-SA"/>
        </w:rPr>
        <w:t>, even where both clients were together when consulting counsel "that fact does not overcome the conflict of interest that was created" when counsel sued his former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pause here to note, as well, that I appreciate that unlike counsel in </w:t>
      </w:r>
      <w:r>
        <w:rPr>
          <w:rFonts w:ascii="arial" w:eastAsia="arial" w:hAnsi="arial" w:cs="arial"/>
          <w:i/>
          <w:color w:val="000000"/>
          <w:sz w:val="20"/>
          <w:lang w:val="en-US" w:eastAsia="en-US" w:bidi="ar-SA"/>
        </w:rPr>
        <w:t>Abdul</w:t>
      </w:r>
      <w:r>
        <w:rPr>
          <w:rFonts w:ascii="arial" w:eastAsia="arial" w:hAnsi="arial" w:cs="arial"/>
          <w:color w:val="000000"/>
          <w:sz w:val="20"/>
          <w:lang w:val="en-US" w:eastAsia="en-US" w:bidi="ar-SA"/>
        </w:rPr>
        <w:t>, Mr. Legh is still not acting for Ms. Wilson in her separate claim as a plaintiff against John Doe and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Moreover the facts in the present case are similar to those in </w:t>
      </w:r>
      <w:r>
        <w:rPr>
          <w:rFonts w:ascii="arial" w:eastAsia="arial" w:hAnsi="arial" w:cs="arial"/>
          <w:i/>
          <w:color w:val="000000"/>
          <w:sz w:val="20"/>
          <w:lang w:val="en-US" w:eastAsia="en-US" w:bidi="ar-SA"/>
        </w:rPr>
        <w:t>Dobosz v. Doe</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[2001] B.C.J. No. 1479</w:t>
        </w:r>
      </w:hyperlink>
      <w:r>
        <w:rPr>
          <w:rFonts w:ascii="arial" w:eastAsia="arial" w:hAnsi="arial" w:cs="arial"/>
          <w:color w:val="000000"/>
          <w:sz w:val="20"/>
          <w:lang w:val="en-US" w:eastAsia="en-US" w:bidi="ar-SA"/>
        </w:rPr>
        <w:t xml:space="preserve"> another case involving a claim against an unidentified driver. At paragraph 10 of that decision Justice Joyce agreed that if a solicitor has interviewed both the driver and the passenger in an accident, then he or she has obtained confidential information from both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my view, the fact that both the defendant and the plaintiff were interviewed together on several occasions by Mr. Legh does not mean counsel did not obtain confidential information from Ms. Wilson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am also not persuaded that the plaintiff's assertion that Ms. Wilson told Mr. Legh when she was advised he would be commencing an action against her alleging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the accident, or at least contributed to the accident, that she would not oppose Mr. Legh acting against her, resolves this issue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Given the totality of the circumstances present here, I am not satisfied counsel has discharged the heavy burden of establishing that no information was imparted, which could be relevant, now that Mr. Legh is clearly in an adversarial position against Ms. Wilson with respect to the same subject matter that he was retained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also agree with the applicant that Ms. Wilson's alleged consent must give way to the public interest in the administration of justice, as there is no doubt that here there is a legitimate concern about the appearance of impropriety arising from a conflict where counsel was once acting for a client but is now pursuing a claim against her arising out of the same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of the view that is especially significant where, as here, as I have mentioned, Mr. Legh has filed a claim alleging Ms. Wilson contributed or caused the accident. This clearly raises the distinct possibility that Mr. Legh will be placed in the position of having to cross-examine his former client on the same matter in which he once represented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regard, when he was still in the Nova Scotia Court of Appeal, Mr. Justice Cromwell put the issue simply when he observed that the principle is whether a lawyer was, in effect, changing sides by taking an adversarial position against a former client with respect to a matter that was central to the prior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Again, while I readily appreciate that in the present case Mr. Legh discontinued acting for Ms. Wilson in her claim for damages before filing a claim naming her as a defendant as a result of the same accident, I am satisfied that by obtaining information about the circumstances of the motor vehicle accident and her claim, Mr. Legh did receive confidential information from Ms. Wilson. The fact that Mr. Hanlan was present when these confidential discussions took place does not alter the fact Ms. Wilson imparted confidential information to Mr. Legh, who now acts against her. It is the confidential trust relationship established between Mr. Legh and Ms. Wilson which is the fundamental principle which must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this regard, what Ms. Wilson is being protected against is having her former lawyer act against her. On this particular point it is helpful to note what Justice Dubin said many years ago in </w:t>
      </w:r>
      <w:r>
        <w:rPr>
          <w:rFonts w:ascii="arial" w:eastAsia="arial" w:hAnsi="arial" w:cs="arial"/>
          <w:i/>
          <w:color w:val="000000"/>
          <w:sz w:val="20"/>
          <w:lang w:val="en-US" w:eastAsia="en-US" w:bidi="ar-SA"/>
        </w:rPr>
        <w:t>R. v. Speid</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(1983) 8 C.C.C. (3d) 18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fundamental to ... [the client's] rights that her solicitor respect her confidences and that he exhibit loyalty to her. A client has every right to be confident that the solicitor retained will not subsequently take an adversarial position against the client with respect to the same subject-matter that he was retained on. That fiduciary duty ... is not terminated when the services rendered have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a reasonably informed member of the public, aware of all the circumstances in this case, would not be satisfied that no confidential information was imparted which could be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a result, I am unable to conclude Mr. Legh has discharged that heavy burden placed upon him pursuant to the principles outlined in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I turn to the issue of counsel of choice and the desirability for litigants to be able to retain counsel of their choice, as long as counsel is in a position to act professionally and in the absence of any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this point Mr. Hanlan, the plaintiff, deposes that if Mr. Legh were unable to act for him, this would cause Mr. Hanlan a great deal of hardship, and that it "will be very difficult, if not impossible, to find a new lawyer due to the complexity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While I am confident that since December 2012 Mr. Legh and Mr. Hanlan have established a rapport, and that Mr. Legh is well versed in the circumstances of the case, and even though the question of pre-existing injuries does complicate any personal injury action somewhat, I am unable to agree it will be unduly difficult for Mr. Hanlan to obtain new counsel, given the trial date is approximately 11 months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On this point, it is instructive to note the following comments of Mr. Justice Cory in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when referring to the relevant factors at play when determining whether a litigant should be deprived of their chosen counsel. He said at paragraph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these factors, the most important and compelling is the preservation of the integrity of our system of justice. The necessity of selecting new counsel will certainly be inconvenient, unsettling and worrisome to clients ... However, the integrity of the judicial system is of such fundamental importance to our country and, indeed, to all free and democratic societies that it must be the predominant consideration in any balancing of these three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conclusion, as I have found that Mr. Legh has not discharged the heavy burden of satisfying the court that no relevant confidential information was imported, coupled with the fact that the retainers are clearly sufficiently related to the same subject matter, Mr. Legh is in a conflict of interest that precludes him from acting further for Mr. Hanlan.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these circumstances, as the court found in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and our Court of Appeal in </w:t>
      </w:r>
      <w:r>
        <w:rPr>
          <w:rFonts w:ascii="arial" w:eastAsia="arial" w:hAnsi="arial" w:cs="arial"/>
          <w:i/>
          <w:color w:val="000000"/>
          <w:sz w:val="20"/>
          <w:lang w:val="en-US" w:eastAsia="en-US" w:bidi="ar-SA"/>
        </w:rPr>
        <w:t>Rosin v. McPhail</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[1997] B.C.J. No. 7</w:t>
        </w:r>
      </w:hyperlink>
      <w:r>
        <w:rPr>
          <w:rFonts w:ascii="arial" w:eastAsia="arial" w:hAnsi="arial" w:cs="arial"/>
          <w:color w:val="000000"/>
          <w:sz w:val="20"/>
          <w:lang w:val="en-US" w:eastAsia="en-US" w:bidi="ar-SA"/>
        </w:rPr>
        <w:t xml:space="preserve"> disqualification is automatic. As a result, the application is allowed and I direct that Mr. Legh, and his firm, be removed as counsel of record for the plaintiff Mr. Hanlan.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a result of this determination, as discussed at the outset of the application, the application by the plaintiff to examine Ms. Wilson with respect to the issue of the passing of confidential information is academic and, for the record,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Subject to any further submissions, as Justice Bracken found in </w:t>
      </w:r>
      <w:r>
        <w:rPr>
          <w:rFonts w:ascii="arial" w:eastAsia="arial" w:hAnsi="arial" w:cs="arial"/>
          <w:i/>
          <w:color w:val="000000"/>
          <w:sz w:val="20"/>
          <w:lang w:val="en-US" w:eastAsia="en-US" w:bidi="ar-SA"/>
        </w:rPr>
        <w:t>Brueckner</w:t>
      </w:r>
      <w:r>
        <w:rPr>
          <w:rFonts w:ascii="arial" w:eastAsia="arial" w:hAnsi="arial" w:cs="arial"/>
          <w:color w:val="000000"/>
          <w:sz w:val="20"/>
          <w:lang w:val="en-US" w:eastAsia="en-US" w:bidi="ar-SA"/>
        </w:rPr>
        <w:t>, I am satisfied it is appropriate to order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B.D. 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 w:history="1">
        <w:r>
          <w:rPr>
            <w:rFonts w:ascii="arial" w:eastAsia="arial" w:hAnsi="arial" w:cs="arial"/>
            <w:b/>
            <w:bCs/>
            <w:i/>
            <w:color w:val="0077CC"/>
            <w:kern w:val="32"/>
            <w:sz w:val="28"/>
            <w:szCs w:val="32"/>
            <w:u w:val="single"/>
            <w:shd w:val="clear" w:color="auto" w:fill="FFFFFF"/>
            <w:lang w:val="en-US" w:eastAsia="en-US" w:bidi="ar-SA"/>
          </w:rPr>
          <w:t>Abengoza v. Dhami, [2001] B.C.J. No. 2233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18 and 19,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L011097, L011098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2233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1501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179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1501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Herberto Sebello Abengoza and Insurance Corporation of British Columbia, appellants, and Navkiran Dhami, respondent And between Insurance Corporation of British Columbia, appellant, and Navkiran Singh Dhami and Kamaljit Kaur Dhami,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 w:name="Keywords_1"/>
      <w:bookmarkEnd w:id="1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evidence and burden of proof — Rear end collisions — Fraud and misrepresentation — Civil rights — Security of the person — Detention and imprisonment — Canadian Charter of Rights and Freedoms — Practice — Charter application, grounds for precluding — Notice to attorney general — Who may raise Charter issues.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 w:name="Case Summary_1"/>
            <w:bookmarkEnd w:id="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Abengoza and the Insurance Corporation of British Columbia from an award of $5,900 damages to the Dhamis, including $3,000 in punitive damages, plus costs. Abengoza testified that Mrs. Dhami rear-ended his vehicle with hers and agreed to pay for the damages. Abengoza phoned the corporation but the Dhamis did not. Instead, they contended that Abengoza had struck their parked car and that a witness, Morais, previously unknown to them, had seen the collision. Morais confirmed the story, but the corporation noticed that he lived at the same address as the Dhamis. Morais then admitted that he lived in the Dhamis's basement suite and that they had asked him to support their story about the collision, which he had not witnessed. The trial judge refused to admit the inconsistent statements, finding that Morais was given no opportunity to explain them. He also awarded the Dhamis damages for breach of their rights not to be arbitrarily detained, finding on his own motion, without notice to the parties or any government official, violations by the corporation of the Canadian Charter of Rights and Freedoms. Specifically, he concluded that the corporation's investigator detained the Dhamis upon asking them to come into his office and explain the inconsistencies in their claim. The appellants argued that the judge erred in awarding the Dhamis damages and in dismissing the appellants's claims against the Dhamis for fraud and damage to Abengoza's vehicle.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 w:name="Holdings of Court_1"/>
            <w:bookmarkEnd w:id="15"/>
            <w:r>
              <w:rPr>
                <w:rFonts w:ascii="arial" w:eastAsia="arial" w:hAnsi="arial" w:cs="arial"/>
                <w:color w:val="000000"/>
                <w:sz w:val="20"/>
                <w:lang w:val="en-US" w:eastAsia="en-US" w:bidi="ar-SA"/>
              </w:rPr>
              <w:t>HELD: Appeal allowed; judgment below overturned; the corporation was awarded $1,901 for the property damage; $1,211 for investigation costs; $3,500 in punitive damages; and costs.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Respecting the Charter ruling, the judge failed to give the required notice to the parties and the attorneys general of the province and Canada. In any event, the Charter claim was not in the pleadings and there was no unreasonable detention, only the voluntary participation in an investigation, with legal assistance. Morais's statements were admissible: they included within themselves an explanation of the inconsistencies. As well, the judge placed too high an onus on Abengoza by requiring him to show that Mr. Dhami's testimony was dishonest. The evidence supported Abengoza's version of the events.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 w:name="Legislation Cited_0"/>
      <w:bookmarkEnd w:id="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5"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Constitutional Question Act, </w:t>
      </w:r>
      <w:hyperlink r:id="rId38" w:history="1">
        <w:r>
          <w:rPr>
            <w:rFonts w:ascii="arial" w:eastAsia="arial" w:hAnsi="arial" w:cs="arial"/>
            <w:i/>
            <w:color w:val="0077CC"/>
            <w:sz w:val="20"/>
            <w:u w:val="single"/>
            <w:shd w:val="clear" w:color="auto" w:fill="FFFFFF"/>
            <w:lang w:val="en-US" w:eastAsia="en-US" w:bidi="ar-SA"/>
          </w:rPr>
          <w:t>R.S.B.C. 1996, c. 68, s. 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Small Claims Act, R.S.B.C., s. 16(1).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 w:name="Counsel_1"/>
      <w:bookmarkEnd w:id="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T.L. Robertson, Q.C., and M.G. Thomas, for the appellants. Kamaljit Kaur Dhami appeared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 w:name="Judgment_1"/>
      <w:bookmarkEnd w:id="18"/>
      <w:r>
        <w:pict>
          <v:line id="_x0000_s1037" style="position:absolute;z-index:2518138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 w:name="HARVEY J."/>
            <w:bookmarkEnd w:id="19"/>
            <w:r>
              <w:rPr>
                <w:rFonts w:ascii="arial" w:eastAsia="arial" w:hAnsi="arial" w:cs="arial"/>
                <w:b/>
                <w:color w:val="000000"/>
                <w:sz w:val="30"/>
                <w:lang w:val="en-US" w:eastAsia="en-US" w:bidi="ar-SA"/>
              </w:rPr>
              <w:t>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 have indicated that Kamaljit Kaur Dhami appeared in person but the appearance was limited to that which briefly occurred on the morning of the first day of the appeal and towards the end of the second day of the appeal. When the Court inquired of the respondent whether she wished to say anything or make submissions, she provided the Court with a six-page letter dated October 18, 2001 from the respondent's counsel at trial addressed to the appellant's counsel's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appellants appeal from a Small Claims judgment in which damages were awarded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OF AWARD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[135] The Claimant, Navkiran Dhami, in Action No. 99-49545, is awarded the sum of $1,900.00 against the Defendant, Herberto Sebello Abengoza, for damages sustained to the Claimant's Honda;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[136] The Claimant, Navkiran Dhami, in Action No. 99-49545, is also awarded the sum of $1,000.00 as general damages against the Defendant, Insurance Corporation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[137] The Claimant, Navkiran Dhami, in Action No. 99-49545, is also awarded the sum of $3,000.00 as punitive damages against the Defendant, Insurance Corporation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[138] The Claimant, Navkiran Dhami, in Action No. 99-49545 is also awarded her Costs in this action together with Court Order Interest on the award of $1,900.00 from December 13, 1997, and on the award of $1,000.00 from April 23,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[139] Action No. 99-49752 between the Insurance Corporation of British Columbia and Navkiran Singh Dhami and Kamaljit Kaur Dhami is HEREBY DISMISSED and Costs awarded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hearing relates to the said actions arising from a motor vehicle accident that occurred on December 13, 1997 between an automobile owned and operated by Herberto Sebello Abengoza and a motor vehicle owned by the respondent Navkiran Dhami and the subsequent investigation conducted into the accident by the appellant Insurance Corporation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purpose of reference I will adopt the description of the actions used by counsel for the appellants upon the appeal. In this regard, action no. L011097 is the tort appeal and action no. L011098 the fraud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tort appeal relates to an action commenced by Mr. Dhami against Mr. Abengoza in tort for damages sustained to his Honda in the accident and against I.C.B.C. pursuant to his insurance contract for damages sustained to his Honda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fraud appeal relates to an action commenced by I.C.B.C. against Mr. &amp; Mrs. Dhami for fraud with respect to damages sustained in the accident and costs incurred by I.C.B.C. in investigating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beginning of the trial, Mr. Dhami abandoned his claim for breach of contract and denial of coverage against I.C.B.C. but proceeded with his claim that I.C.B.C. was in some way negligent at a certain interview that occurred on April 23rd,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Earlier, there was a motion to have these appeals heard as a new trial. The motion was contested and dismissed by Master Tokarek orally on August 29th, 2001. As Master Tokarek put it in his reasons, pursuant to an outline filed by the respondents with the assistance of their lawyer, they did not want a new trial and would not participate in a new trial under any circumstances. The oral reasons concluded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do not want a trial in this Court. They will accept the results of the dismissal and lose their claim and not accept any previous award or claim any further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grounds of appeal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ISSUES ON APPEAL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Hearing consists of an appeal from the learned trial judge's decision on the following grounds: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erred in awarding the Tort Award to Mr. Dhami against Mr. Abengoza in the Tort Action for damages to the Dhami Vehicle;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Mr. Dhami was only entitled to damages ranging from $1,006.60 to $1,090.65 and Court Order Interest and costs against Mr. Abengoza in the Tort Action for damages to the Dhami Vehicle;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erred in dismissing the Fraud Action; and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erred in awarding the Charter Damages to Mr. Dhami against ICBC, in the Tort Action, for Mr. Bodnar's conduct at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Abengoza says that following finishing work early in the morning of December 13, 1997 he was proceeding home when, while slowing down to make a left-hand turn from Fraser Street to 54th Avenue in the City of Vancouver, his vehicle was struck from the rear by a vehicle driven by a person who identified herself as Mrs. Dhami. Mr. Abengoza says Mrs. Dhami told him at that time she would pay him for damages suffered to his vehicle to which he responded he would obtain an estimate and provide her with the estimate. Mrs. Dhami provided Mr. Abengoza with her name, telephone number and that of her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Abengoza reported the accident to I.C.B.C. in the usual manner shortly after the accident occurred by means of a telephone communication. The repairs for the damage to the Abengoza vehicle, essentially to the rear of the vehicle, were estimated to cost $1,900.54.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Dhamis did not report the involvement of Mr. Dhami's vehicle in the accident to I.C.B.C. Ten days after receiving notice of the accident from Mr. Abengoza, the Corporation forwarded to Mr. Dhami the registered owner of the Dhami vehicle a form letter informing him that his vehicle had been reported as having been involved in an accident and requesting him to communicate with the Corporation. Mr. Dhami then reported the accident involving his vehicle to have occurred on the street outside his residential premise at 6285 Chester Street in the City of Vancouver. He reported that after entering his home early that morning he heard his car alarm go off following which he went outside at which time he saw the Abengoza vehicle moving ahead from his parked vehicle. Mr. Dhami informed I.C.B.C. that a witness saw the accident; that he spoke to the man and obtained his name, address and telephone number. He informed I.C.B.C. he did not know the man who witnessed the accident personally or otherwise. Mr. Dhami says that he did not report the accident because he was too busy and that the man stated he would fix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repairs to the Dhami vehicle related to involvement in the accident were estimated to cost between $1,000 and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pause for a moment to consider the property damage caused to the two vehicles in the accident as estimated by competent appraisers. While the cost of motor vehicle repairs cannot in itself be conclusive of anything, the amount of the repairs has some relationship to the nature of the impact between the two vehicles particularly here where one side alleges the damages occurred as a result of the parking movement of one of the vehicles into the other when in a stopped position. In this regard, the property damage to the front of the Dhami vehicle and the rear of the Abengoza vehicle is relatively speaking substantial involving as it did in relation to both vehicles the removal and replacement of the bumper and bumper assemblies and in relation to one vehicle some rail damage meaning thereby involvement of the frame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keeping with the differences between the versions of how and where the accident occurred as provided to the Corporation by its insureds, an adjuster at the Corporation arranged for a physical match-up of the vehicles. When Mr. Dhami attended at the premises of I.C.B.C. for the purpose of the match-up on January 7th, 1999 he provided another adjuster with the name of the witness, Mr. Augustus Morais, his alleged address of 827 East 50th Avenue and telephone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adjuster at I.C.B.C. having conduct of the matter at that time delayed any further investigation until she was able to speak with Mr. Morais because at that time he was briefly out of the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the I.C.B.C. adjuster eventually was able to communicate with Mr. Morais she obtained a telephone statement from him in which he stated he did not know either of the parties involved in the accident; while jogging on Chester Street he observed a vehicle back in to the front of the Dhami vehicle and that he lived at the address given at East 50th Avenue in Vancouver. In due course, the insurance adjuster obtained a signed copy of this statement from Mr. Morais.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continuing investigation which occurred the insurance adjuster having conduct of the investigation at that time observed that Mr. Morais, also the owner of a vehicle insured with I.C.B.C., had a driver's licence which at the date of its issuance gave as his address the same residential address as Mr. &amp; Mrs. Dhami at 6285 Chester Street, in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insurance adjuster communicated further with Mr. Dhami and requested he provide an additional statement for the purpose of clarification of what he had previously advised the Corporation. In this statement Mr. Dhami stated, inter alia: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Right away I saw a guy walking. I am not sure which direction he was walking but he saw what happened and came over to me and he gave me his name. I don't remember his name. He wrote down his name on a piece of paper. </w:t>
      </w:r>
      <w:r>
        <w:rPr>
          <w:rFonts w:ascii="arial" w:eastAsia="arial" w:hAnsi="arial" w:cs="arial"/>
          <w:color w:val="000000"/>
          <w:sz w:val="20"/>
          <w:u w:val="single"/>
          <w:lang w:val="en-US" w:eastAsia="en-US" w:bidi="ar-SA"/>
        </w:rPr>
        <w:t>I do not know the witness personally or otherwise. I have never met him before</w:t>
      </w:r>
      <w:r>
        <w:rPr>
          <w:rFonts w:ascii="arial" w:eastAsia="arial" w:hAnsi="arial" w:cs="arial"/>
          <w:color w:val="000000"/>
          <w:sz w:val="20"/>
          <w:lang w:val="en-US" w:eastAsia="en-US" w:bidi="ar-SA"/>
        </w:rPr>
        <w:t>. After the witness gave me his name and number he was gone. There were no other witness to the accident. (emphasis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this stage of the matter the insurance adjuster handling the investigation referred the file to the Corporation's Special Investigation Unit, S.I.U. The file was eventually assigned to Mr. Bodnar, a Special Provincial Constable employed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course of Mr. Bodnar's investigation, including confirming the two telephone numbers that were provided to Mr. Abengoza by Mrs. Dhami at the time of the accident, he attended at 6285 Chester Street where he observed a motor vehicle owned by Mr. Morais parked outside the residence. Mr. Bodnar was aware from the fact that he attended at 827 East 50th Avenue, the purported address of Mr. Morais, the landlord of those premises advising him that Mr. Morais had never lived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Bodnar attended at the rear door of the premises situate at 6285 Chester Street and knocked on the door. Mr. Morais answered the door and amongst other things advised that he had been living there with his wife and two children for about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a result of the conversation Mr. Bodnar had with Mr. Morais at that time an appointment was made for Mr. Morais to attend at the premises of the Insurance Corporation of British Columbia a few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interim, Mr. Bodnar had invited Mr. &amp; Mrs. Dhami to meet him at the local I.C.B.C. Claims Centre to discuss the accident and the information provided by Mr. Morais. This is the meeting that occurred on April 23rd, 1999 at those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the appellants approached submissions in argument dividing them into three parts: an assessment of the issues underlying the appeal of the tort award in the tort action; an assessment of the issues underlying the dismissal of the fraud action; and an assessment of the issues underlying the appeal of the Charter award in the tort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will address first what counsel described as the third part an assessment of the issues underlying the appeal of the Charter award in the tort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consider it useful here to review briefly the nature of the pleadings in the actions herein because of what the trial judge later determined being that the Charter rights of Mr. and Mrs. Dhami were breached by Mr. Bodnar acting in his capacity as a special provincial constable.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this matter, contrary to what is often the case in small claims actions, the parties were at all times represented by counsel. The pleadings can in no way be described as "inelegant" or "amateurish" or for that matter incomplete. Indeed, the pleadings are drawn at some length and are consistent in form with those filed customarily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spite of the nature of the pleadings wherein there was no reference to the Charter, no alleged breach of Charter rights or liabilities which would flow therefrom, sometime following the hearing and submissions of counsel, the trial judge on his own motion held the respondents had their Charter rights breached by the conduct of an employee or employees of the appellant Insurance Corporation of British Columbia and imposed awards for damages against the appellant I.C.B.C. It follows from this that there was no notice given by the trial judge formally or informally to counsel representing the parties of his intention to consider this question or to allow counsel to have the opportunity to make submissions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Of more importance at no time prior to the commencement of the trial, or during the trial was the necessary notice provided that the respondents or one of them would be seeking damages against I.C.B.C. pursuant to the Charter of Rights and Freedoms. As I have indicated, at no time during or after the trial was there an opportunity afforded to counsel representing the parties to present legal arguments related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Section 8 of the Constitutional Question Act, </w:t>
      </w:r>
      <w:r>
        <w:rPr>
          <w:rFonts w:ascii="arial" w:eastAsia="arial" w:hAnsi="arial" w:cs="arial"/>
          <w:i/>
          <w:color w:val="000000"/>
          <w:sz w:val="20"/>
          <w:lang w:val="en-US" w:eastAsia="en-US" w:bidi="ar-SA"/>
        </w:rPr>
        <w:t>R.S.B.C. 1996, Ch. 68</w:t>
      </w:r>
      <w:r>
        <w:rPr>
          <w:rFonts w:ascii="arial" w:eastAsia="arial" w:hAnsi="arial" w:cs="arial"/>
          <w:color w:val="000000"/>
          <w:sz w:val="20"/>
          <w:lang w:val="en-US" w:eastAsia="en-US" w:bidi="ar-SA"/>
        </w:rPr>
        <w:t xml:space="preserve"> states, inter alia, in a matter in which application is made for a constitutional remedy the remedy must not be granted until after notice of the challenge or application has been served on the Attorney General of Canada and the Attorney General of British Columbia in accordance with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Neither of the Attorneys General were provided with the required notice by the respondents that a claim was being advanced for a constitutional remedy pursuant to s. 24 of the Charter. Similarly, the appellants received no notice from the respondents prior to or during the trial that such a claim was being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agree with the submission of counsel for the appellants that this failure to comply with the notice provisions and s. 8 of the Constitutional Question Act is fatal to a claim for Charter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Donas v. British Columbia Securities Commission, </w:t>
      </w:r>
      <w:hyperlink r:id="rId39" w:history="1">
        <w:r>
          <w:rPr>
            <w:rFonts w:ascii="arial" w:eastAsia="arial" w:hAnsi="arial" w:cs="arial"/>
            <w:i/>
            <w:color w:val="0077CC"/>
            <w:sz w:val="20"/>
            <w:u w:val="single"/>
            <w:shd w:val="clear" w:color="auto" w:fill="FFFFFF"/>
            <w:lang w:val="en-US" w:eastAsia="en-US" w:bidi="ar-SA"/>
          </w:rPr>
          <w:t>[1997] B.C.J. No. 1104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This is not the end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Upon consideration of the facts and circumstances here in relation to what occurred before and during the interview with the respondents on April 23rd, 1999 at the premises of the Corporation I find the trial judge erred in finding that there had been a breach of the Charter rights of either Mr. or Mrs. Dhami. In this regard, I find that as a matter of law there was not a detention of the Dhamis at the relevant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this perspective, I find there was a misapprehension of the facts and circumstances existing prior to and at the meeting and its purpose on the part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circumstances existing at that time, and particularly before the meeting commenced included the following:</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appellant Abengoza and the respondent Navkiran Singh Dhami had made claims for indemnity against their insurer I.C.B.C. related to property damage to their vehicles as a result of their involvement in an accident.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investigation of their respective claims they were required by the terms of the contract of insurance to cooperate with their insurer including the providing of the names of witnesses,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at the very least inconsistencies in the information provided by the Dhamis to I.C.B.C. which required clarification,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inconsistencies, the nature of the property damage to the two vehicles which by that time had been estimated gave rise to some suspicion with regard to the manner in which the accident was claimed to have occurred by Mr. Dhami,</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 had a duty to pursue the investigation to attempt to determine, if possible, whom of its insureds would be indemnified pursuant to the terms of the insurance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this perspective, in my view, it cannot be said that the Dhamis were "summonsed" to appear or to participate further in the investigation. They were requested to attend a meeting for the purpose of clarification of evidence previously supplied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Further they had retained a lawyer before attending the meeting. At one point during the meeting they directed Mr. Bodnar to speak to their lawyer related to the identity of yet another witness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they were able to leave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Insofar as applicable law related to detention, I refer particularly to Constitutional Law in Canada, Hogg (2000) at page 47-2 and the judgment of the Supreme Court of Canada in R. v. Therens </w:t>
      </w:r>
      <w:hyperlink r:id="rId40" w:history="1">
        <w:r>
          <w:rPr>
            <w:rFonts w:ascii="arial" w:eastAsia="arial" w:hAnsi="arial" w:cs="arial"/>
            <w:i/>
            <w:color w:val="0077CC"/>
            <w:sz w:val="20"/>
            <w:u w:val="single"/>
            <w:shd w:val="clear" w:color="auto" w:fill="FFFFFF"/>
            <w:lang w:val="en-US" w:eastAsia="en-US" w:bidi="ar-SA"/>
          </w:rPr>
          <w:t>[1985] 1 S.C.R. 613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appeal related to the Charter awards is allowed and the damages awarded to the respondent Navkiran Singh Dhami are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return to the remaining issues in the tort action. I will address them in the same manner they were dealt with in the submissions of counsel for the appellants orally and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First, I agree with the submission of counsel for the appellants that in this action the trial judge applied the wrong test essentially because he considered this matter as a first party insurance claim as opposed to the onus of proof in a tort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misapprehension of the test to be applied when considering the evidence of parties in a tort case is apparent in the course of his reasons for judgment and particularly at paragraph 100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strikes me, therefore, that when we weigh the evidence of the Dhamis and an independent witness against the evidence of Mr. Abengoza, which was confirmed by no one, although his evidence was that there were at least two witnesses present at the scene, we are left accepting the Dhamis' version of events on the balance of probabilities. It is incumbent upon me to refer to the following passage taken from Gill v. Insurance Corporation of British Columbia at paragraph 47 and echoed in numerous other decisions: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insurer to prove on the balance of probabilities that the statements in question are wilfully false. Because the allegations are serious the judge is justified in scrutinizing the evidence carefully, and cogent evidence will be required to support an allegation of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comment in passing that the passage quoted is not from Gill but rather from another decision of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agree with counsel for the appellants that it is evident from the passage quoted and additional comments made by the trial judge that he applied the wrong test in deciding the tort award and placed too high an evidentiary burden on Mr. Abengoza. In essence the learned trial judge required Mr. Abengoza to adduce evidence to support the allegation that Mr. Dhami's testimony was dishonest and that his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Second, there is the issue of the admissibility of the statements, two of them, made by the witness Augustus Morais.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trial, the trial judge ruled the first statement and the second statement were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the trial judge appeared to have instructed himself properly on the law, including reference to s. 16(1) of the Small Claims Act, he appears to have misapprehended the evidence with particular regard to the two statements. At one point in his reasons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we have two inconsistent statements where it becomes impossible to have an inquiry into why the person changed their statement. If we allow them in, it strikes me, we will be allowing the position of the defendant that they were, with no explanation as to why the statement was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appears clear that the trial judge's decision to exclude the first and second statement was based on his assumption that there was no explanation with respect to why Mr. Morais changed his statement. This can be seen from the following extract from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concerns me here is that we have a prior inconsistent statement, but all we have is speculation as to why the story was changed. What I seem to have before me is the speculation that the story was changed for that reason that the defendant wishes to put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the trial judge clearly misapprehended the evidence. Here it was not a question of having "two inconsistent statements" and speculation as to why a witness' story was changed but a second statement which in no way dealt with "inconsistencies" but rather was a recantation of what he had said in the first statement. Further, he clearly and unequivocally says in the second statement why he was recanting what he said in the first statement. In this regard there is no "speculation as to why the story was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second statement, Mr. Morais described how the respondents came to him in the basement suite of the premises and requested him to fabricate a story to the effect that he was an independent witness jogging by the accident scene and observed the accident to have occurred as the respondents put it to him. It seems apparent that the respondents and Mr. Morais did not take into consideration at that time that it would subsequently be found out that Mr. Morais was living as a tenant in the respondents' premises for over a year and that his story would be subject to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result, I accept the submission of counsel for the appellants that had the trial judge reviewed the second statement prior to making his ruling on the inadmissibility of the two statements, it would have been apparent that Mr. Morais provided an explanation as to the circumstances surrounding the first statement and an explanation as to why he provided the second statement in the second statement. Further, the information on the second statement is essential to understanding the circumstances in which both of the statements were made and relevant to determining the reliability of the statements. The trial judge should have examined the second statement and if he had done so there would have been evidence explaining why the first statement was made and why Mr. Morais recanted the first statement in the second statement. This would have ended what he described as the speculation to be entered into and he would have had an appropriate basis on which to better assess the reliability of the first statement and the second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another factor to be considered and that is the evidence of an alleged witness Ms. Wyler.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Wyler was a neighbour who gave evidence by way of a videotaped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Wyler did not actually see how the accident occurred. She says she heard a crunch and a car alarm go off at approximately 8:00 a.m. She says she saw Mr. Dhami speaking with another person outside the Dhami residence. She described the person to whom Mr. Dhami was speaking as being a male who had white hair and was taller than Mr. Dhami. She says she told Mr. Dhami what she had seen within two weeks of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are numerous inconsistencies in Ms. Wyler's evidence that were not addressed by the trial judge including the time when the accident allegedly occurred but most importantly in her description of the man she says she saw speaking with Mr. Dhami purportedly Mr. Abengoza.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Abengoza appeared before the Court during the course of the appeal. Mr. Abengoza, now 40 years of age, is a short, heavily built if not squat, male person. He is bald with what hair remains being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very least, Ms. Wyler's evidence should have been considered to be suspect. Insofar as the purported identification of the person speaking with Mr. Dhami by no stretch of the imagination could her description of that person be Mr. Abengoza.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in an action of this nature and in keeping with the applicable legislation with regard to the receipt of potentially relevant evidence that the trial judge erred in law in refusing to admit the first and second statements of Mr. Morais in evidence. In my view, at that time there was sufficient evidence then before the Court, some of it not of a subjective nature, from which it could be inferred that the "story" of the respondents was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This Court is in a position to assess all of the evidence including particularly the first and second statements of Mr. Morais to determine properly the tort and fraud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With regard to the tort appeal, applying the proper evidentiary test, on a balance of probabilities and assessing all of the evidence I find the description of how the accident occurred as put forward by Mr. Dhami highly improbable. I have commented earlier upon the physical evidence related to the estimated damage to the vehicles which in my view makes it more probable the accident occurred as described by Mr. Abengoza being the result of a collision between two vehicles, one being driven in a forward motion at a relatively high rate of speed as opposed to one vehicle in a backing up motion related to parking coming into collision with a parked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dismiss Mr. Dhami's tort action against Mr. Abengoza and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With respect to the fraud appeal, the evidentiary burden upon I.C.B.C. the insurer is that stated in Peterson v. Bannon, </w:t>
      </w:r>
      <w:hyperlink r:id="rId41" w:history="1">
        <w:r>
          <w:rPr>
            <w:rFonts w:ascii="arial" w:eastAsia="arial" w:hAnsi="arial" w:cs="arial"/>
            <w:i/>
            <w:color w:val="0077CC"/>
            <w:sz w:val="20"/>
            <w:u w:val="single"/>
            <w:shd w:val="clear" w:color="auto" w:fill="FFFFFF"/>
            <w:lang w:val="en-US" w:eastAsia="en-US" w:bidi="ar-SA"/>
          </w:rPr>
          <w:t>[1993] B.C.J. No. 2357</w:t>
        </w:r>
      </w:hyperlink>
      <w:r>
        <w:rPr>
          <w:rFonts w:ascii="arial" w:eastAsia="arial" w:hAnsi="arial" w:cs="arial"/>
          <w:color w:val="000000"/>
          <w:sz w:val="20"/>
          <w:lang w:val="en-US" w:eastAsia="en-US" w:bidi="ar-SA"/>
        </w:rPr>
        <w:t xml:space="preserve"> at paragraph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insurer to prove on the balance of probabilities that the statements in question are wilfully false. Because the allegations are serious, the judge is justified in scrutinizing the evidence carefully, and cogent evidence will be required to support an allegation of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short answer to this appeal in my view is with the first statement and the second statement of Mr. Morais' evidence and having regard to other evidence related to this issue, I conclude I.C.B.C. has met the test of providing cogent evidence to support their allegation of dishonesty against Mr. Dhami.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allow the appeal in the fraud action and award the following damages to the Corporation:</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$1,900.54 for damages incurred related to property damage to the Abengoza vehicle,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$1,210.55 the cost of investigation incurred by I.C.B.C. in investigation of the respondent, Navkiran Dhami's claim,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$3,500.00 in punitive damages against the respondent, Navkiran Singh Dhami,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disbursements and filing fees incurred in the trial and appeal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 w:history="1">
        <w:r>
          <w:rPr>
            <w:rFonts w:ascii="arial" w:eastAsia="arial" w:hAnsi="arial" w:cs="arial"/>
            <w:b/>
            <w:bCs/>
            <w:i/>
            <w:color w:val="0077CC"/>
            <w:kern w:val="32"/>
            <w:sz w:val="28"/>
            <w:szCs w:val="32"/>
            <w:u w:val="single"/>
            <w:shd w:val="clear" w:color="auto" w:fill="FFFFFF"/>
            <w:lang w:val="en-US" w:eastAsia="en-US" w:bidi="ar-SA"/>
          </w:rPr>
          <w:t>Berscheid v. Ensign, [2000] B.C.J. No. 1203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Drossos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38987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1203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884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34 C.E.L.R. (N.S.) 151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1097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B. Berscheid, plaintiff, and Her Majesty the Queen in Right of British Columbia, as represented by the Minister of Environment, Lands and Parks - Water Management Branch, et 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 w:name="Keywords_2"/>
      <w:bookmarkEnd w:id="20"/>
      <w:r>
        <w:rPr>
          <w:rFonts w:ascii="arial" w:eastAsia="arial" w:hAnsi="arial" w:cs="arial"/>
          <w:b/>
          <w:color w:val="000000"/>
          <w:sz w:val="20"/>
          <w:lang w:val="en-US" w:eastAsia="en-US" w:bidi="ar-SA"/>
        </w:rPr>
        <w:t>Torts — Claims against public officials, authorities or boards — Misfeasance in public office — Elements — Practice — Pleadings — Amendment of pleadings — Statement of claim — Dismissal of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 w:name="Case Summary_2"/>
            <w:bookmarkEnd w:id="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Berscheid, for production of documents and answers to Berscheid's interrogatory questions. Application by the defendant, Minister of the Environment, for an order dismissing Berscheid's statement of claim on the grounds that the action was frivolous, vexatious and failed to disclose a cause of action. The Minister also applied for an order striking out Berscheid's interrogatories directed towards certain persons. Berscheid claimed that the Ministry of the Environment engaged in the act of misfeasance of public office, and included particulars of such. In the court's earlier decision in the proceedings, Berscheid's statement of claim against the Lands and Parks - Water Management Branch was struck in total. Part of the action against the Minister of the Environment was also struck, with leave to Berscheid to amend his statement of claim to fully plead the claim of misfeasance of public office.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 w:name="Holdings of Court_2"/>
            <w:bookmarkEnd w:id="22"/>
            <w:r>
              <w:rPr>
                <w:rFonts w:ascii="arial" w:eastAsia="arial" w:hAnsi="arial" w:cs="arial"/>
                <w:color w:val="000000"/>
                <w:sz w:val="20"/>
                <w:lang w:val="en-US" w:eastAsia="en-US" w:bidi="ar-SA"/>
              </w:rPr>
              <w:t>HELD: Application by Berscheid allowed, application by the Minister dismissed, and leave granted to Berscheid to amend his statement of claim so as to specifically plead the elements of misfeasance of public office.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plain and obvious that the allegation did not relate to and support the three elements of the cause of action of public misfeasance. Berscheid had pleaded sufficient material facts to advance the claim of misfeasance of public office. Many of the particulars related to the issue of malice, which were not required under the Rule but which did not preclude Berscheid from so setting them out.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 w:name="Legislation Cited_1"/>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19(11), 19(23), 19(24), 26(1), 29(1), 29(7).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Judicial Review Procedure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Water Act.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June 7, 2000. The correction has been made to the text and the Corrigendum is appended to this document.]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Counsel_2"/>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William B. Berscheid appeared on his own behalf. Lisa Mrozinski, for the defendant, Her Majesty the Queen in Right of the Province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 w:name="Judgment_2"/>
      <w:bookmarkEnd w:id="25"/>
      <w:r>
        <w:pict>
          <v:line id="_x0000_s1042" style="position:absolute;z-index:25181491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June 7, 2000.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 w:name="DROSSOS J."/>
            <w:bookmarkEnd w:id="26"/>
            <w:r>
              <w:rPr>
                <w:rFonts w:ascii="arial" w:eastAsia="arial" w:hAnsi="arial" w:cs="arial"/>
                <w:b/>
                <w:color w:val="000000"/>
                <w:sz w:val="30"/>
                <w:lang w:val="en-US" w:eastAsia="en-US" w:bidi="ar-SA"/>
              </w:rPr>
              <w:t>DROSSOS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William B. Berscheid, pursuant to filing his Amended Statement of Claim on November 8, 1999, by leave of the court, reset by praecipe his earlier application for an order against the defendant, Her Majesty the Queen in the Right of British Columbia as represented by the Minister of Environment, Lands and Parks - Water Management Branch (the defendant Environment or Crown Provincial) to provide the plaintiff with a list of documents and answers to the plaintiff's interrogatory questions as set forth in Rule 26(1) and 29(1) of the Supreme Court Rules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Environment in turn applies for an order dismissing the plaintiff's Amended Statement of Claim as against the Provincial Crown on the grounds that the action is frivolous, vexatious, and fails to disclose a cause of action. The defendant Environment also applies for an order striking out the plaintiff's interrogatories directed to Al Hare, Niel Banera, Randy Cairns, and Jack Farrell on the grounds that the interrogatories are not necessary for disposing fairly of the action as the cost of answering such would be unreasonable. Crown's application is made pursuant to Rules 19(24) and 29(7)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Only the application to dismiss is to be heard at this juncture with the remainder deferred pending the court's decision on the dismissal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by his Amended Statement of Claim pleaded under paragraph 3 that:</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Environment, did engage in the act of misfeasance of public office, the particulars of which include: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Subparagraphs (1) to (32) of particulars then follow the opening paragraph 3 with sub-sub clauses in supplement of subclauses (4), (23), and (28) to (31)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Amended Statement of Claim ends with claims for judgment against the defendant Environment as listed under subclauses (a) to (e)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19(24)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APPLICABLE PRINCIPLES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Rule 19(24)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Scandalous, frivolous or vexatious matters - At any stage of a proceeding the court may order to be struck out or amended the whole or any part of an endorsement, pleading, petition or other document on the ground that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court's earlier decision of May 4, 1999, in these proceedings where the plaintiff's Statement of Claim against the other defendants was struck in total and in part against the defendant Environment with leave to the plaintiff to amend his Statement of Claim to fully plead the claim of misfeasance of public office, the court stated at pages 15, 16, 17, and 18, reading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625"/>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basic overriding principle in a Rule 19(24) application is whether there is a question to be tried regardless of the complexity or novelty of that question. Further, the issue must be decided on the basis of the pleadings as filed or as may be amended: Kripps v. Touche Ross </w:t>
            </w:r>
            <w:hyperlink r:id="rId49" w:history="1">
              <w:r>
                <w:rPr>
                  <w:rFonts w:ascii="arial" w:eastAsia="arial" w:hAnsi="arial" w:cs="arial"/>
                  <w:i/>
                  <w:color w:val="0077CC"/>
                  <w:sz w:val="18"/>
                  <w:u w:val="single"/>
                  <w:shd w:val="clear" w:color="auto" w:fill="FFFFFF"/>
                  <w:lang w:val="en-US" w:eastAsia="en-US" w:bidi="ar-SA"/>
                </w:rPr>
                <w:t>(1992), 69 B.C.L.R. (2d) 62</w:t>
              </w:r>
            </w:hyperlink>
            <w:r>
              <w:rPr>
                <w:rFonts w:ascii="arial" w:eastAsia="arial" w:hAnsi="arial" w:cs="arial"/>
                <w:color w:val="000000"/>
                <w:sz w:val="18"/>
                <w:lang w:val="en-US" w:eastAsia="en-US" w:bidi="ar-SA"/>
              </w:rPr>
              <w:t xml:space="preserve"> (C.A.). If the court decides that the plaintiff has a legitimate argument which ought to be heard, an application under Rule 19(24) must be dismissed.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 well established law that an application for dismissal under Rule 19(24) should only be granted in "plain and obvious cases". As stated by Wilson, J.:</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test in Canada governing the application of provisions like R. 19(24)(a) of the British Columbia Rules of Court is the same as the one that governs an application under R.S.C., O. 18, r. 19: assuming that the facts as stated in the statement of claim can be proved, is it "plain and obvious" that the plaintiff's statement of claim discloses no reasonable cause of action?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Reference my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625"/>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Factors to be considered in the "plain and obvious" rule include, but are not limited to: (1) whether there is a question to be tried regardless of complexity or novelty; (2) whether the outcome of the trial is beyond a reasonable doubt; (3) whether serious questions of law or questions of general importance are raised or if facts should be known before rights are decided; (4) whether the pleadings may be amended; and (5) whether there is an element of abuse of process: Midwest Management (1987) Ltd. v. B.C. Gas Utility Ltd. </w:t>
            </w:r>
            <w:hyperlink r:id="rId50" w:history="1">
              <w:r>
                <w:rPr>
                  <w:rFonts w:ascii="arial" w:eastAsia="arial" w:hAnsi="arial" w:cs="arial"/>
                  <w:i/>
                  <w:color w:val="0077CC"/>
                  <w:sz w:val="18"/>
                  <w:u w:val="single"/>
                  <w:shd w:val="clear" w:color="auto" w:fill="FFFFFF"/>
                  <w:lang w:val="en-US" w:eastAsia="en-US" w:bidi="ar-SA"/>
                </w:rPr>
                <w:t>(1997), 34 C.L.R. (2d) 186</w:t>
              </w:r>
            </w:hyperlink>
            <w:r>
              <w:rPr>
                <w:rFonts w:ascii="arial" w:eastAsia="arial" w:hAnsi="arial" w:cs="arial"/>
                <w:color w:val="000000"/>
                <w:sz w:val="18"/>
                <w:lang w:val="en-US" w:eastAsia="en-US" w:bidi="ar-SA"/>
              </w:rPr>
              <w:t xml:space="preserve"> (B.C.S.C.).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 court must proceed on the assumption that all the facts as pled are true. Further, the mere fact the case is weak or is unlikely to succeed is insufficient ground for striking out a statement of claim. As well, as stated by the Supreme Court of Canada in Operation Dismantle Inc. v. The Queen, </w:t>
            </w:r>
            <w:hyperlink r:id="rId51" w:history="1">
              <w:r>
                <w:rPr>
                  <w:rFonts w:ascii="arial" w:eastAsia="arial" w:hAnsi="arial" w:cs="arial"/>
                  <w:i/>
                  <w:color w:val="0077CC"/>
                  <w:sz w:val="18"/>
                  <w:u w:val="single"/>
                  <w:shd w:val="clear" w:color="auto" w:fill="FFFFFF"/>
                  <w:lang w:val="en-US" w:eastAsia="en-US" w:bidi="ar-SA"/>
                </w:rPr>
                <w:t>[1985] 1 S.C.R. 441</w:t>
              </w:r>
            </w:hyperlink>
            <w:r>
              <w:rPr>
                <w:rFonts w:ascii="arial" w:eastAsia="arial" w:hAnsi="arial" w:cs="arial"/>
                <w:color w:val="000000"/>
                <w:sz w:val="18"/>
                <w:lang w:val="en-US" w:eastAsia="en-US" w:bidi="ar-SA"/>
              </w:rPr>
              <w:t xml:space="preserve"> at 451, "[a court] is obliged to read the statement of claim as generously as possible and to accommodate any inadequacies in the form of the allegations which are merely the result of drafting deficiencies".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723"/>
        <w:gridCol w:w="238"/>
        <w:gridCol w:w="7844"/>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Also, in the recent decision of Assu, Dick, Nelson v. Woodward, Hutchings et al, </w:t>
            </w:r>
            <w:hyperlink r:id="rId52" w:history="1">
              <w:r>
                <w:rPr>
                  <w:rFonts w:ascii="arial" w:eastAsia="arial" w:hAnsi="arial" w:cs="arial"/>
                  <w:i/>
                  <w:color w:val="0077CC"/>
                  <w:sz w:val="18"/>
                  <w:u w:val="single"/>
                  <w:shd w:val="clear" w:color="auto" w:fill="FFFFFF"/>
                  <w:lang w:val="en-US" w:eastAsia="en-US" w:bidi="ar-SA"/>
                </w:rPr>
                <w:t>[1998] B.C.J. No. 132</w:t>
              </w:r>
            </w:hyperlink>
            <w:r>
              <w:rPr>
                <w:rFonts w:ascii="arial" w:eastAsia="arial" w:hAnsi="arial" w:cs="arial"/>
                <w:color w:val="000000"/>
                <w:sz w:val="18"/>
                <w:lang w:val="en-US" w:eastAsia="en-US" w:bidi="ar-SA"/>
              </w:rPr>
              <w:t xml:space="preserve"> (13 January 1998), Nanaimo 17073, (B.C.S.C.) Beames, J., after referring to the test in Hunt v. Carey, went on to say at paragraph 19: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625"/>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Rule 19(27) of the Rules of Court provides that no evidence is admissible on an application under Subrule 24(a). However, evidence may be used in an application pursuant to Rule 19(24)(d) such as in the case of where issues of res judicata are involved or other issues of abuse.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Accordingly, although an application under Rule 19(24)(a) must proceed as expressed by Wilson, J. in Hunt v. Carey, as if the facts pleaded were true, these admissions apply only for the purposes of the Rule 19(24)(a) application. Such do not constitute an admission of facts for the purposes of the main action or for the remainder of the Rule 19(24) application. However, in World Wide Treasure Adventures Inc. v. Trivia Games Inc. </w:t>
            </w:r>
            <w:hyperlink r:id="rId53" w:history="1">
              <w:r>
                <w:rPr>
                  <w:rFonts w:ascii="arial" w:eastAsia="arial" w:hAnsi="arial" w:cs="arial"/>
                  <w:i/>
                  <w:color w:val="0077CC"/>
                  <w:sz w:val="18"/>
                  <w:u w:val="single"/>
                  <w:shd w:val="clear" w:color="auto" w:fill="FFFFFF"/>
                  <w:lang w:val="en-US" w:eastAsia="en-US" w:bidi="ar-SA"/>
                </w:rPr>
                <w:t>(1996), 17 B.C.L.R. (3d) 187</w:t>
              </w:r>
            </w:hyperlink>
            <w:r>
              <w:rPr>
                <w:rFonts w:ascii="arial" w:eastAsia="arial" w:hAnsi="arial" w:cs="arial"/>
                <w:color w:val="000000"/>
                <w:sz w:val="18"/>
                <w:lang w:val="en-US" w:eastAsia="en-US" w:bidi="ar-SA"/>
              </w:rPr>
              <w:t xml:space="preserve"> (C.A.), the Court of Appeal held that on an application to strike on the basis of res judicata under Rule 19(24)(d), the action should be struck if plain and obvious that the doctrine of res judicata applies, but if not plain and obvious, the action should proceed to trial or summary trial as appropriate.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Environment objects to the general opening paragraph 3 of the Amended Statement of Claim, "The Defendant Environment, did engage in the act of misfeasance of public office, the particulars of which include:", on the overall grounds that there are no allegations in the Statement of Claim or pleadings to support or disclose the cause of action of misfeasance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tort of misfeasance of public office also categorized as abuse of power or public office requires as accepted in Alford v. Canada (Attorney General), (February 3, 1997) </w:t>
      </w:r>
      <w:hyperlink r:id="rId54" w:history="1">
        <w:r>
          <w:rPr>
            <w:rFonts w:ascii="arial" w:eastAsia="arial" w:hAnsi="arial" w:cs="arial"/>
            <w:i/>
            <w:color w:val="0077CC"/>
            <w:sz w:val="20"/>
            <w:u w:val="single"/>
            <w:shd w:val="clear" w:color="auto" w:fill="FFFFFF"/>
            <w:lang w:val="en-US" w:eastAsia="en-US" w:bidi="ar-SA"/>
          </w:rPr>
          <w:t>31 B.C.L.R. (3d) 228</w:t>
        </w:r>
      </w:hyperlink>
      <w:r>
        <w:rPr>
          <w:rFonts w:ascii="arial" w:eastAsia="arial" w:hAnsi="arial" w:cs="arial"/>
          <w:color w:val="000000"/>
          <w:sz w:val="20"/>
          <w:lang w:val="en-US" w:eastAsia="en-US" w:bidi="ar-SA"/>
        </w:rPr>
        <w:t xml:space="preserve"> at p. 244 (S.C.B.C.) that the plaintiff in order to make out this tort must establish the following three elements: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were acting either with malice or with the knowledge that they had no power to do what they were doing;</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actions were deliberately calculated to injure the plaintiffs;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damage resulted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opening paragraph by only categorizing the tort of "misfeasance of public office" and not pleading its three elements is sparse, but not fatal as failing to disclose a reasonable claim or cause of action any more than a bare plea of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injure would do so even though it may cry out for particulars. Unlike a pleading relying on misrepresentation, fraud, breach of trust, wilful default, or undue influence where Rule 19(11) requires that full particulars shall be stated in the pleadings, a similar positive direction does not apply to the plea of misfeasance of public office. However, the plea of misfeasance of public office, like that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may attract particulars under the provision in Rule 19(11), "or where particulars may be necessary, full particulars, ... shall be stated in the pleading". It is left open for the pleading party in the first instance to plead such particulars, or the other party to demand particulars and if an issue develops over whether particulars may be necessary for the court's ultimate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leads insofar as the element of "malice" is concerned, and possibly the element of "deliberately calculated to injure" to the provisions of Rule 19(23) which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Allegation of malice - It is sufficient to allege malice, fraudulent intention, knowledge or other condition of the mind of a person as a fact, without setting out the circumstances from which it is to be inferred.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Curry v. Vancouver (City), </w:t>
      </w:r>
      <w:hyperlink r:id="rId55" w:history="1">
        <w:r>
          <w:rPr>
            <w:rFonts w:ascii="arial" w:eastAsia="arial" w:hAnsi="arial" w:cs="arial"/>
            <w:i/>
            <w:color w:val="0077CC"/>
            <w:sz w:val="20"/>
            <w:u w:val="single"/>
            <w:shd w:val="clear" w:color="auto" w:fill="FFFFFF"/>
            <w:lang w:val="en-US" w:eastAsia="en-US" w:bidi="ar-SA"/>
          </w:rPr>
          <w:t>[1996] B.C.J. No. 625</w:t>
        </w:r>
      </w:hyperlink>
      <w:r>
        <w:rPr>
          <w:rFonts w:ascii="arial" w:eastAsia="arial" w:hAnsi="arial" w:cs="arial"/>
          <w:color w:val="000000"/>
          <w:sz w:val="20"/>
          <w:lang w:val="en-US" w:eastAsia="en-US" w:bidi="ar-SA"/>
        </w:rPr>
        <w:t>, [1996] B.C.W.L.D. 1130, (1996) Can. Rep. B.C. 620 (S.C.) the court expressed in an action alleging false imprisonment, malicious prosecution, and abuse of process that it can fairly be assumed that the allegation is in the nature of "improper purpose". In such case the allegation is a question of fact and no particulars need be pleaded. Both malice and bad faith are states of mind and within the application of Rule 19(23). In Alford v. Canada (Attorney General) (supra), the court on the meaning of malice stated at p. 244: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meaning of 'malice' was judicially defined by Rand J. in Roncarelli v. Duplessis </w:t>
      </w:r>
      <w:hyperlink r:id="rId56" w:history="1">
        <w:r>
          <w:rPr>
            <w:rFonts w:ascii="arial" w:eastAsia="arial" w:hAnsi="arial" w:cs="arial"/>
            <w:i/>
            <w:color w:val="0077CC"/>
            <w:sz w:val="20"/>
            <w:u w:val="single"/>
            <w:shd w:val="clear" w:color="auto" w:fill="FFFFFF"/>
            <w:lang w:val="en-US" w:eastAsia="en-US" w:bidi="ar-SA"/>
          </w:rPr>
          <w:t>(1959) 16 D.L.R. (2nd) 689</w:t>
        </w:r>
      </w:hyperlink>
      <w:r>
        <w:rPr>
          <w:rFonts w:ascii="arial" w:eastAsia="arial" w:hAnsi="arial" w:cs="arial"/>
          <w:color w:val="000000"/>
          <w:sz w:val="20"/>
          <w:lang w:val="en-US" w:eastAsia="en-US" w:bidi="ar-SA"/>
        </w:rPr>
        <w:t xml:space="preserve"> at 706 as meaning '... simply acting for a reason and purpose knowingly foreign to the administration, to which was added here the element of intentional punishment by what was virtually vocation outlawry.' At 707 he defined good faith in the context of that case as meaning: 'carrying out the statute according to its intent and for its purpose; it means good faith in acting with a rational appreciation of that intent and purpose and not with an improper intent and for an alien purpose; it does not mean for the purposes of punishing a person for exercising an unchallengeable right; it does not mean arbitrarily and illegally attempting to divest a citizen of an incident of his civil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Where the plaintiff merely categorizes the tort of misfeasance of public office and does not expressly plead its elements, specifically that of malice, does it preclude the plaintiff from the benefit of Rule 19(23). I think not, but regardless, I am of the view that it is preferable that the plaintiff do so in this case, especially since the tort claim of misfeasance of public office is not, as yet, that common and understood, but is increasing. Also, it will more readily facilitate determining whether or not the particulars pled relate to any of the three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accordingly grants leave to the plaintiff to amend and supplement the opening paragraph 3 of his Amended Statement of Claim along the following lines: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Environment, its servants or agents in the course of their duties and employment by the defendant Environment, did engage in the act of misfeasance of public office against the plaintiff by acting with malice, or with knowledge that they had no power to do what they were doing, and that such actions were deliberately calculated to injure the plaintiff whereby he suffered damages, the particulars of which include: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setting out the above suggested amendment and supplement, the court has taken into account that the plaintiff is not represented by legal counsel and is acting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court now turns to determine whether it is plain and obvious that the list of particulars under paragraph 3 do not relate to or advance or support the elements of misfeasance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concedes that paragraph 3(6) of the particulars of the Amended Statement of Claim is closest to the type of allegation to support the cause of action, but contends that no particular actions or functions are challenged and that further facts regarding the actions and knowledge of the defendant are required. Subclause (6)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deceitfully and unlawfully continuing to exercise jurisdiction and authority over the water source referred to as Marlow Spring since 1987, while knowing of their lack of jurisdiction and authority and while knowing that their actions were adversely affecting the plaintiff and causing damages and expenses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cannot say that it is plain and obvious that the allegation does not relate to and support the three elements of the cause of action of public misfeasance. The contention of the defence for particulars and further facts is properly, except for malice, a demand for particulars which is a separate matter and procedure and does not warrant at this juncture striking the allegation. It will accordingly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court is satisfied that it is plain and obvious that the following listed subclauses and sub-subclauses of the particulars of paragraph 3 of the Amended Statement of Claim do not support or advance or relate to any of the elements of the tort of misfeasance of public office. Also, that some of the particulars consist of a failure by the plaintiff first to exhaust administrative remedies available to him or consist of improper collateral attacks against quasi-judicial decisions made pursuant to the procedures set forth in the Water Act, R.S.B.C. 1979, c. 429 and the Water Act, </w:t>
      </w:r>
      <w:r>
        <w:rPr>
          <w:rFonts w:ascii="arial" w:eastAsia="arial" w:hAnsi="arial" w:cs="arial"/>
          <w:i/>
          <w:color w:val="000000"/>
          <w:sz w:val="20"/>
          <w:lang w:val="en-US" w:eastAsia="en-US" w:bidi="ar-SA"/>
        </w:rPr>
        <w:t>R.S.B.C. 1996, c. 483</w:t>
      </w:r>
      <w:r>
        <w:rPr>
          <w:rFonts w:ascii="arial" w:eastAsia="arial" w:hAnsi="arial" w:cs="arial"/>
          <w:color w:val="000000"/>
          <w:sz w:val="20"/>
          <w:lang w:val="en-US" w:eastAsia="en-US" w:bidi="ar-SA"/>
        </w:rPr>
        <w:t xml:space="preserve"> for the hearing and determination of issues relating to or arising under the Act. Those subclauses or sub-subclauses of particulars of paragraph 3 that are accordingly struck in full or in part are: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Struck in full: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 (8), (9), (11), (16), (18), (19), (20), (21), (24), (28)(b), (c), (d), and 29(c)</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Struck in part: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"26" immediately after "24-3" at the end of the second line and before the word "and" is deleted. Provided further, that the remainder of (1) cannot support a collateral attack against a decision of the Comptroller or Environmental Appeal Board under the Water Act in order to quash or set aside such a decision, or for the relief claimed by subclause (d), which is hereafter struck, but stands only insofar as it relates to, advances or supports the elements of misfeasance of public office.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 the first five lines and the words, "1998, in particular" in the 6th line. The remainder stands.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 all after the words in the first sentence ending "disclosure to the Plaintiff" on page 6. The remainder stands.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is satisfied that it is not plain and obvious that after allowing for the above deletions, the remaining subclauses and sub-subclauses of particulars to paragraph 3 of the Amended Statement of Claim do not relate to or advance or support, albeit at times tenuously, separately or collectively in the context of the other pleadings, one or more of the elements of the tort of misfeasance of public office. These subclauses and sub-subclauses accordingly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considering the above, the plaintiff has in my view pleaded sufficient material facts to advance the claim for misfeasance of public office which is a separate tort that stands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goodly portion of the particulars set out by the plaintiff relate to or bear on the issue of malice, particulars of which, as mentioned, are not required under the provisions of Rule 19(23), but it does not preclude the plaintiff from so setting out such particulars if he so decides. If anything, the supplying of such particulars to the defence is beneficial as it narrows an otherwise wide open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would only add that except for the issue on malice, the particulars pertaining to the other elements of this tort may invite a demand for further and better particulars, but that is a different matter, and does not in itself at this stage warrant a striking of the pleading. In that the deleted portion of the claim of relief for certiorari and mandamus to quash relates to directions and orders given pursuant to quasi-judicial proceedings and hearings under the procedures and scheme set forth in the Water Act, the relief to quash constitutes a collateral attack on the directions and orders and accordingly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for such relief must look to the provisions, including appeal, of the Water Act or the provisions available under the Judicial Review Procedure Act,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tort of misfeasance of public office, in this case, cannot support a claim for certiorari or mandamus to quash or prohibit, but sounds in and must look to the relief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has also come to the attention of the court as the parties were so advised that since the hearing of this application, the plaintiff has chosen to appeal a decision of the Comptroller under the Water Act covering conditional water license #22502 to the Environmental Appeal Board and that the plaintiff was successful in his appeal on having license #22502 terminated. If such is the case then this is no longer an issue and is res judicata. However, as the court may not have full details, liberty to apply by written memo setting out the parties' respective positions and to include a true copy of the decision of the Environmental Appeal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regards to subclause (d) of the plaintiff's claim for relief on pages 18 and 19 of his Amended Statement of Claim, the court deletes and strikes all the words after the phrase "may seem meet" in the second line of subclause (d) to and including the word "Environment" at the end of the eighth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Except as herein provided, the remainder of the plaintiff's Amended Statement of Claim shall stand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Costs of this aspect of the applications shall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DROSSOS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June 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further to my Reasons for Judgment dated and filed on June 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Paragraph 20(a) on page 12 is amended in the second line to delete "(5)" so that the paragraph now reads: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Struck in full: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 (8), (9), (11), (16), (18), (19), (20), (21), (24), (28)(b), (c), (d), and 29(c)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The reasons are amended accordingly. In all other aspects the Reasons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DROSSOS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 w:history="1">
        <w:r>
          <w:rPr>
            <w:rFonts w:ascii="arial" w:eastAsia="arial" w:hAnsi="arial" w:cs="arial"/>
            <w:b/>
            <w:bCs/>
            <w:i/>
            <w:color w:val="0077CC"/>
            <w:kern w:val="32"/>
            <w:sz w:val="28"/>
            <w:szCs w:val="32"/>
            <w:u w:val="single"/>
            <w:shd w:val="clear" w:color="auto" w:fill="FFFFFF"/>
            <w:lang w:val="en-US" w:eastAsia="en-US" w:bidi="ar-SA"/>
          </w:rPr>
          <w:t>B.M.M. v. M.L.V., [2009] B.C.J. No. 1755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26-30 and February 2-6,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M064283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1755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2009 BCSC 1174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B.M.M., Plaintiff, and M.L.V. and Ford Credit Canada Leasing Company/Compagnie De Location Credit Ford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4"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 w:name="Keywords_3"/>
      <w:bookmarkEnd w:id="27"/>
      <w:r>
        <w:rPr>
          <w:rFonts w:ascii="arial" w:eastAsia="arial" w:hAnsi="arial" w:cs="arial"/>
          <w:b/>
          <w:color w:val="000000"/>
          <w:sz w:val="20"/>
          <w:lang w:val="en-US" w:eastAsia="en-US" w:bidi="ar-SA"/>
        </w:rPr>
        <w:t>Damages — Physical and psychological injuries — Physical injuries — Body injuries — Back and spine — Neck — Psychological injuries — Depression — Plaintiff awarded $84,383 in damages for injuries sustained in an 2004 motor vehicle accident for which liability was admitted — The award comprised: $52,550 in non-pecuniary damages; $10,479 in past wage loss; $19,000 in lost future earning capacity; $1,330 for cost of future care; and $1,324 in special damages — She had sustained moderate to severe soft tissue injuries to her neck and lower back, and other physical symptoms such as headaches and discomfort in her left hip — The evidence did not show her pain and discomfort from her physical injuries exacerbated, compounded or intensified her depression.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Considerations — Aggravation of pre-existing injury — Loss of earning capacity — Non-pecuniary loss — Affecting recreational activities — Plaintiff awarded $84,383 in damages for injuries sustained in an 2004 motor vehicle accident for which liability had been admitted — The award was composed of: $52,550 in non-pecuniary damages; $10,479 in past wage loss; $19,000 in lost future earning capacity; $1,330 for cost of future care; and $1,324 in special damages — She had sustained moderate to severe soft tissue injuries to her neck and lower back, and other physical symptoms such as headaches, dizziness and discomfort in her left hip — Certain damage claims were reduced by five per cent due to a pre-existing degenerative back condition.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 w:name="Case Summary_3"/>
            <w:bookmarkEnd w:id="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plaintiff for damages for personal injuries allegedly suffered in an Oct. 29, 2004 motor vehicle accident for which liability had been admitted by the defendants. The plaintiff claimed damages for both physical and psychological injuries. A complicating factor was that she had a significant psychiatric history relating largely to depression dating back to her teen years. She claimed to have sustained soft tissue injuries to her neck and back, to have suffered headaches for two years after the accident, and that her ongoing pain in combination with her reduction in income due to time missed from work, exacerbated and intensified her depression. She claimed that she became more irritable, and did not partake in the same activities after the accident. The defence argued her lower back pain and related physical symptoms were the result of an aggravation of her degenerative facet joint pathology that predated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 w:name="Holdings of Court_3"/>
            <w:bookmarkEnd w:id="29"/>
            <w:r>
              <w:rPr>
                <w:rFonts w:ascii="arial" w:eastAsia="arial" w:hAnsi="arial" w:cs="arial"/>
                <w:color w:val="000000"/>
                <w:sz w:val="20"/>
                <w:lang w:val="en-US" w:eastAsia="en-US" w:bidi="ar-SA"/>
              </w:rPr>
              <w:t>HELD: Plaintiff awarded $84,383 in total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award was composed of: $52,550 in non-pecuniary damages; $10,479 in past wage loss; $19,000 in lost future earning capacity; $1,330 for cost of future care; and $1,324 in special damages. Comparison of the gross funds at the plaintiff's disposal before the accident with those after the accident did not support the plaintiff's assertion of any accident induced financial pressure. The preponderance of the evidence did not support her contention of any real causal connection between her financial stress and the accident. The pattern of her depression, which was an active condition requiring monitoring and treatment at the time of the accident, and the sources that exacerbated it did not change in any meaningful way after the accident. Neither the plaintiff no her longstanding treating physician or psychiatrist appeared to draw a connection between her soft tissue injuries and pain as factors potentially contributing to her depression until years down the road. The evidence did not show her pain and discomfort from her physical injuries exacerbated, compounded or intensified her depression. As for physical injuries, she sustained moderate to severe soft tissue injuries to her neck and lower back, and other physical symptoms such as headaches, dizziness and discomfort in her left hip. Based on the evidence, her persistent lower back symptoms and related left hip discomfort were secondary to her facet joint arthropathy at L5/S1 and that this degenerative condition pre-existed the accident. However, based on the poorly-developed evidence, the court was prepared to deduct only five per cent from the non-pecuniary loss, loss of future earning capacity and cost of future care awards to reflect a slim measurable risk that her pre-existing condition would have caused her lower back symptoms without the accident. By the end of 2005 her physical symptoms had largely settled, but had not resolved entirely. She would probably experience intermittent bouts of lower back discomfort caused by the accident into the foreseeable future, albeit episodes of an infrequent and rather mild nature. She was awarded $55,000 in non-pecuniary damages, less the five per cent reduction. Her past wage loss was $10,479, with the evidence showing no compensable wage loss after the end of 2005. The preponderance of evidence did demonstrate an impairment of her future earning capacity, and $20,000 was awarded under this heading, less the five per cent reduction. She was awarded $1,400 for costs of future care, less the five per cent deduction. The amount covered training sessions and a gym membership. She was entitled to $1,324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 w:name="Counsel_3"/>
      <w:bookmarkEnd w:id="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D.N.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K.A. Jones, G. Hagel.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 w:name="Judgment_3"/>
      <w:bookmarkEnd w:id="31"/>
      <w:r>
        <w:pict>
          <v:line id="_x0000_s1046" style="position:absolute;z-index:2517647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 w:name="S.K. BALLANCE J."/>
            <w:bookmarkEnd w:id="32"/>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personal injuries that she says were caused by a motor vehicle accident that occurred on October 29, 2004 (the "Accident"). Her alleged injuries are both physical and psychological. It is not a straightforward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Accident has been admitted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outset of trial the plaintiff candidly admitted that she is a relatively flawed historian of her past medical and psychological symptoms. That lack of reliability was demonstrated periodically throughout her testimony and has been taken into consideration in weighing the evidence and arriving at many of my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has a grade 12 education. As a young woman in 1981, she began working for CP Air (which was subsequently overtaken by Air Canada) in the reservations department. She remained in that position for approximately ten years. Around 1991, the plaintiff began to work at the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has a significant psychiatric history relating largely to depression dating back to her teen years. In 1992, she had a major depressive episode following a protracted conflict at work where she had taken a stand against discriminatory practices of one of the airlines at the airport. Dissatisfied with her employer's response to the situation, the plaintiff exposed the airline's policy to the media. She unexpectedly found herself shunned and criticized at work for taking the matter public, even though it eventually led to a change in the airline's practice. The plaintiff described herself as having a "breakdown" in response to what she perceived as a backlash in her workplace. Some years later, she received two awards, one in 1995 and the other in 1997, in recognition of her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divorced in 1994. Her only child, a son, lived with her after the marriage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depression apparently went untreated from 1992 until about 1995, at which time she saw a psychiatrist who diagnosed her with major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very active in her union. She was the editor of the union newsletter, and held various positions within that organization. In 1996, the plaintiff was elected to a full-time position as the district chair of her union. Prior to that, she had always been employed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1997, the plaintiff was involved in a minor motor vehicle accident in which she sustained soft tissue injuries to her low back. The records of her family physician, Dr. Margaret McGregor, indicate that the plaintiff had intermittent difficulties with her low back into May 1998. During that period, she complained of low back pain in the mornings and discomfort with prolonged standing and sitting. She missed approximately 20 days of work due to those soft tissue injuries. Dr. McGregor's records also document that the plaintiff complained of having a flare-up of her depressive symptoms around that time. At trial, the plaintiff could not recall whether that flare-up had occurred. I find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suffered a significant depressive episode in June 1998. She agrees that it was precipitated by a stressful job situation in relation to a potential risk to employees of asbestos exposure at the airport terminal. The union was not supportive so the plaintiff carried the issue forward and filed a grievance. She was ultimately successful in having the asbestos concern addressed. However, the matter took a debilitating personal toll on the plaintiff's psychological well-being, requiring her to take a medical leave from her job for approximately four to five months. It was during that time frame that some of her work colleagues suggested to the plaintiff that she enrol in anger management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on her medical leave in 1998, the plaintiff visited Dr. McGregor's office a number of times. She reported stress, tearfulness, sleep difficulties, that every relative was mad at her, and that she no longer was able to be take her mother to appointments. In the course of consulting Dr. McGregor, she also identified the financial stress related to the recent purchase of her townhome and, possibly, her divorce, as contributing to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During the plaintiff's appointments with Dr. McGregor in the fall of 1998, she repeatedly reported feelings of job stress and significant obsessive thoughts about the union. In October 1998, Dr. McGregor referred her for a psychiatric assessment. She had several psychiatric sessions with that psychiatrist. At the time, and for several preceding years, the plaintiff had been a very heavy user of marijuana. Dr. McGregor diagnosed the plaintiff with major depression complicated by marijuana 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trial, the plaintiff described her bout of depression in 1998 quite bluntly in terms of needing to "collapse", and says that she did so. She told the Court that she should not take on "corporate giants" in her workplace on her own. In this regard, she explained that when she spearheads causes, she puts herself at risk of spiralling into a major depression or, as she put it at one point, into a "deep, dark hole". Because of these damaging personal effects, the plaintiff says that she has tried to refrain from becoming overly involved in workplace issues on behalf of others. She has decided to participate only in instances where the union was unwilling or unable to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plaintiff returned to work in or about November 1998, she reported to Dr. McGregor that she was having difficulty developing distance from issues at work, continued to be tearful and was still suffering from insomnia. Shortly thereafter, she became distraught upon learning that her son had decided to move in with his father. That unanticipated turn of events severely exacerbated the plaintiff's depression and caused her to feel suicidal. In December 1998, at Dr. McGregor's direction, the plaintiff attended at Richmond Mental Health outpatient department at Richmond Hospital ("Richmond Mental Health"), where she was briefly hospitalized. She thereafter participated in some counselling and her antidepressant medications were adjusted. Her Richmond Mental Health discharge form notes that her "work was evidently very stressful".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July and August 1999, the plaintiff complained to her doctor of considerable stress at work and difficulty coping, a lot of tearfulness, and social phobia. She reported that she was sleeping all day; her mood was also noted to be very down. The plaintiff was diagnosed with a major depression. She took a few days off work in August 1999 due to her flare-up of psychiatric symptoms. Around this time, she also had a brief consultation with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did not get re-elected to her position as district chair of her union and her mood worsened for a spell in January 2000 after that loss. According to Dr. McGregor, when the plaintiff withdraws from work, she becomes socially isolated. At that time, she was diagnosed with having a major depressive episode. She continued to battle the fluctuating nature of her depression throughout 2000. She returned to her part-time work at passenger check-in and the departure gates, positions that she enjoyed very much. In October 2000, the plaintiff described her depression as being stable, but complained to Dr. McGregor of thoracic back pain that was worse in the morning. On examination, Dr. McGregor determined that her back pain was at the L5/S1 level. That was the last recorded complaint of back pain appearing in any of the plaintiff's medical records until the Accident some four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went nearly a year (from late 2000 until the fall of 2001) without consulting Dr. McGregor's office. On September 25, 2001, she saw Dr. McGregor's locum for depressive symptoms and to discuss a change in antidepressant medication and reported an increase in work stress. The locum doubled her dosage of antidepressant medication. In cross-examination, the plaintiff confirmed that she was feeling significant job stress at that time, which had prompted her to take some time off work. The locum referred her to Dr. Joy Masuhara, a family physician with a special interest in psychiatry. At her appointment on December 1, 2001, the plaintiff told the locum that she felt that she was "just barely hanging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psychological state brightened in 2002. At trial, Dr. McGregor agreed that it would be reasonable to suppose that her mood improvement was due to the increase in her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Air Canada eventually merged with or acquired Aeroplan. In September 2002, the plaintiff began working full-time for Aeroplan on the phones in customer sales and service. She had not wanted this position and was upset by being posted to it. In December 2002, she told Dr. McGregor that she found working for Aeroplan much less stressful. However, within a few months workplace stressors resurfaced. Dr. McGregor recommended that the plaintiff be off work to "get some distance". She took a brief medical leave as a result. According to the plaintiff, she needed to take time away from work as a precaution in order to avoid falling into another downward spiral.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2003, the plaintiff and other senior employees participated in an extended leave program where they would receive government employment benefits, plus a wage subsidy from their employer. The plaintiff's leave of absence was 45 weeks long, spanning from April 27, 2003 through to about March 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evidence indicates that the plaintiff's mood was much improved at the commencement of her extended leave, and remained relatively stable throughout its duration. While on leave, she enrolled in an addiction treatment program for marijuana dependence that she attended for several months and successfully completed. She was also referred back to Richmond Mental Health to receive psychological counselling for depression. When the plaintiff met with the intake worker at Richmond Mental Health on November 26, 2003, she was noted to have said that she "hated her job". She received group counselling for her depression through Richmond Mental Health until March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During her leave, the plaintiff applied for a transfer to a new position in the schedule change department at Aeroplan. She obtained her desired move in June 2004, a few months after her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July 6, 2004, Dr. McGregor noted that the plaintiff's mood was relatively stable, but that she reported that she still felt "pretty fragile". At the plaintiff's request, Dr. McGregor increased the dosage of her antidepressant medication.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The Plaintiff's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number of witnesses, as well as the plaintiff, testified about the plaintiff's job duties as a customer sales and service agent and the ergonomic layout of her workspace. I have made the following findings from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basic job is to telephone passengers to discuss scheduling changes made to their flights. She works at a desk with a computer and wears a headset. The headset is attached to a coiled cord which plugs into an amplifier that connects into the telephone. She is on the telephone most of the day. None of the headset cords are shorter than four feet when collapsed; they are considerably longer when extended. Customer service agents are able to move a few feet in either direction of their workstations while wearing their headsets. They can also stand up and back away from their desks without disconnecting or obstructing the path of a passerby.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agents' individual workstations are separated on three sides by partitions that create a zigzag line down the centre row of the desks. One row of desks has fixed workstations that do not form part of the zigzag configuration. Approximately 70% of the workstations are readily adjustable to accommodate a worker's preference to sit or stand, and alternate between the two postures. The sit/stand adjustment can be changed at any time during the day as needed and takes only a few seconds to implement. There is a wide variety of chair options available to the agents, as well as sit/stand stools, a selection of keyboards and adjustable keyboard trays.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Where an employee presents a medical note seeking reasonable ergonomic modifications to her workstation, the health and safety department at Aeroplan will ensure that appropriate accommodations are made. A sign is ordinarily placed on the customized workstation to reserve it for the shift of the accommodated employee. As well, if a physician recommends adjustments to an employee's break schedule, for example, to take medication or go for a walk or for other reasons, then a shift adjustment is implemented. I also accept the evidence of the operations manager at Aeroplan that it would not pose a problem for an employee to walk about in order to stretch her back for a couple of minutes each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testified that her job at Aeroplan is "the worst job I could have" for her low back and claimed that she was effectively confined to a seated position. She explained that her spine was kept rigid at work. At trial, she demonstrated that she could only move up and down in a very stiff fashion. That was not an accurate depiction of the range of movements available to the plaintiff at her workstation. I am satisfied that there is adequate space within which the plaintiff can adjust her position throughout her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Both the plaintiff and her longstanding co-worker, Ms. G, described the employees' quiet room as being pitch-black and not an appropriate space in which an employee could stretch. The plaintiff said the room was so dark she would need a flashlight to see and without one, would bang into people and furniture. The preponderance of the evidence from the other witnesses, which I accept, shows that this portrayal is an exaggeration. I find that the room provides a comfortable space for employees at Aeroplan, such as the plaintiff, to engage in movements such as quiet stretching.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Reduced Overtime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is entitled to six paid sick days each year; sick time taken beyond the six days is unpaid. Air Canada has an optional program referred to as "reduced overtime" ("RO"), which permits employees who are not busy on their shift to apply to leave for the balance of their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regularly availed herself of the RO program before the Accident in order to spend time pursuing her political and fund-raising interests and for other personal reasons. She agrees that substantially all of her RO time was taken without pay. She testified that she took RO time during most pay periods before the Accident but was unable to quantify the amount of earnings lost on account of doing so. The plaintiff did not refute the suggestion put to her in cross-examination that her pre-Accident pay stubs show that, on average, she lost gross wages of about $500 per month in RO time before she took her 45 week leave, and slightly more than that thereafter. The documents in evidence for the truth of their contents bear this out. Indeed, the pay stub for the pre-Accident period of October 10-23, 2004 shows a deduction for RO time against her gross earnings in the amount of $418.26.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The Accident - October 29,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routinely joined members of her family on Friday nights for dinner at a local restaurant. Her car mechanic had told her that it was beneficial for her vehicle to be driven periodically on the highway. After enjoying a family dinner on the evening of the Accident, the plaintiff took her vehicle for a quick spin on the highway. At about 7:00 p.m. on October 29, 2004, she was heading home in heavy traffic. It was raining lightly. She was nearing the end of the Alex Fraser Bridge travelling in the middle lane, when the vehicle ahead of her braked abruptly, requiring her to brake suddenly to avoid a collision. This manoeuvre caused her to slide into the fast lane on her left. There, she was rear-ended and propelled into a concrete median on the front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domino reaction of collisions occurred and the Accident ultimately expanded to involve seven cars. Emergency vehicles soon arrived on the scene. A police officer instructed the plaintiff to remain in her vehicle. Sometime after the officer left the side of her vehicle, the plaintiff heard a bang and saw "something in her headlights". She recalled the tow truck driver saying, "He's flipped". The plaintiff looked in her rear view mirror and saw "something". She understood that the police officer had returned to his vehicle which was subsequently hit and flipped over, though she did not see this happen. She believed that the officer had been badly hurt, but she did not explain how she came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found the entire ordeal shocking and upsetting. She remained in her vehicle for close to two hours while the scene was being cleared. As she sat confined in her car, she worried that she might get hit again, so she started to drive home. However, her vehicle was not running properly and she lost her ability to steer. She was able to move off the bridge, but her car soon ground to a stop and had to be towed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October 30, 2004 - February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day after the Accident, the plaintiff went to a neighbourhood walk-in clinic. She complained of headaches and pain in her shoulders, neck and low back. A few days later, she was seen by Dr. McGregor's colleague. She reported that she had continuous headaches and dizziness, and episodic ringing in her ears. Her chief complaint was the pain in her mid and low back, which she said was constant and worsened if she sat for more than two hours at a time. She was diagnosed with back and neck muscle spasm. She was prescribed an anti-inflammatory, Tylenol 3 and Ativan to help her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McGregor saw the plaintiff on November 9, 2004. At that time, she complained of neck and lower back pain. She described the severity of her pain as being 7 out of 10 and said it prevented her from sleeping. She also told Dr. McGregor that she had been attending work, but leaving early because of her physical discomfort. Dr. McGregor documented a number of physical findings, such as restricted range of motion in the plaintiff's neck, difficulties with flexion and extension of her low back, pain with rotation of her left hip and tenderness on palpation along her spine. She concluded that the plaintiff had sustained moderate to severe soft tissue injuries stemming from the Accident. Physiotherapy was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continued to complain of "a lot of back pain" when she next saw Dr. McGregor on December 2, 2004. She reported that daily headaches were interfering with her ability to sleep and that her left hip problem persisted. She reported that she was managing to work only half-time and occasionally had to call in sick. She followed Dr. McGregor's advice about attending physiotherapy. Dr. McGregor recorded that the plaintiff had ongoing musculoskeletal pain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testified that after the Accident, she frequently used unpaid RO time to leave work early because of her soft tissue pain, rather than using unpaid sick time. She explained, which I accept, that taking excessive sick time could potentially develop into a disciplinary issue, whereas taking advantage of the RO program did not carry the same stigma. According to the plaintiff, in the early months following the Accident she found herself having to take time off from work nearly every shift due to her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vehicle was repaired at a cost of close to $9,000. However, she never drove it again because she did not feel that it was safe. Instead, she elected to trade it in for which she was credited approximately $11,000, and purchase a new one for about $17,000. She obtained bank financing for the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the plaintiff returned to see Dr. McGregor in early January 2005, she had been absent from work for about one week due to her pain. She reported experiencing some improvement from her physiotherapy sessions, but found that her musculoskeletal symptoms persisted and interfered with her ability to function at work. Dr. McGregor recommended that the plaintiff take two months off work in order to undergo a sustained course of physiotherapy and give her injuries a chance to heal. The plaintiff followed her advice. She embarked on a regular regimen of physiotherapy 2-3 times per week for roughly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Between February 14 and March 14, 2005, the plaintiff participated in some form of a graduated return to work program. She testified that in March 2005 she was still experiencing a lot of pain but was nonetheless determined to work through it. That does not entirely accord with Dr. McGregor's note, which I consider to be more reliable, that at the end of March, the plaintiff described herself as being 80% improved and said she was able to sit and work for two hours without a problem. She also reported sleeping better and walking without the limp that she had developed from favouring her left side. The plaintiff was able to cycle continuously for seven minutes without pain before experiencing some tailbone pain. Dr. McGregor wrote a note confirming that the plaintiff was fit to resume full-time work duties, provided her schedule was modified so that she did not work longer than 2.25 hours between each rest period for at least the next three months. That requested modification was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According to the plaintiff, at some stage after she returned to work in 2005 she moved her workstation away from her co-workers. She says that she is a proud person and felt embarrassed for appearing to be in a weakened state. The plaintiff agreed that Aeroplan/Air Canada is an ergonomically progressive company and has desks that "help prevent injury". She claims, however, that the ergonomic enhancements available to her at work did not assist her. She says that she tried sitting in the various chairs, but because of her short stature, they were not comfortable. She did not complain to her supervisor because she believed that everyone was doing the best they could. Though the plaintiff's desk was capable of moving up and down, she did not seem to take advantage of her ability to alternate between sitting and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August 4, 2005, the plaintiff returned to Dr. McGregor's office. She complained of a back pain flare-up brought on by her first chiropractic treatment. She told Dr. McGregor that she had stopped taking Tylenol 3 and that her level of pain over the preceding month had intensified to 8 out of 10. She also reported that the pain in her low back still worsened when she sat for a prolonged period and when she rolled over in bed. She could no longer ride her bicycle and was sleeping poorly due to the disruption from pain. The plaintiff resumed taking Tylenol 3 and started a vigorous walking regimen. Dr. McGregor's assessment of her condition at that visit, which she confirmed as accurate at trial, was mechanical back pain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late August 2005, the plaintiff enrolled in a treatment program at the Canadian Back Institute (the "CBI"). During her initial assessment, she complained of constant low back pain at an average intensity of 6 out of 10. She also reported daily dizziness and headaches that caused pain at a level 8. Her treatment plan consisted of exercises to facilitate self-management of pain and to increase her range of motion, functional strength, and tolerance for work-related postures.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dutifully attended and completed her six sessions at the CBI by the end of October 2005. She testified that the program helped her regain mobility and that she would have liked to receive additional treatment but it was unavailable. The CBI discharge report dated October 28, 2005 mentions that the plaintiff was working full hours and duties at that time, and recommended that she continue to do so. It also stated that, throughout the program, she reported being able to continue with full-time hours and work demands. However, during this timeframe the plaintiff had seldom been able to put in a full day at work. She says that she recalls objecting to the wording used in the report about her capacity to work full-time, and suggested that the report's author had misunderstood the extent to which she was working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December 29, 2005, the plaintiff reported to Dr. McGregor's colleague that she had been doing a lot better and felt approximately 65% recovered. I find that she made this reference in relation to her soft tissue symptoms. The plaintiff stated, however, that in the four days leading up to that visit she had taken a turn for the worse with pain in her entire lower back area. She was diagnosed with mechanical back pain. Her depression was noted as being stable, and her prescription for antidepressants was refilled.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some point during 2005, the plaintiff redeemed one of her two RRSPs for close to $8,000.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Major Depressive Episode - February/March,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Employees in Aeroplan's schedule change department are permitted a fixed number of bathroom breaks of a specified duration during each shift. Whenever an agent leaves the phone, she must activate a busy signal which shows she is unavailable to take a call. The breaks are monitored by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2005, one of the plaintiff's senior female co-workers, who has a medical condition requiring that she spend extended time in the washroom, exceeded the time allotment for bathroom breaks. She was confronted by management, and possibly reprimanded, for breaching the bathroom break rule. Affronted by the incident, the plaintiff took it up with the union. As the union was not interested in pursuing the matter, the plaintiff took steps to champion the cause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During an appointment on February 28, 2006 with Dr. McGregor's colleague, Dr. Knight, the plaintiff wished to discuss a recent aggravation of her mood symptoms and depression. In this context, his typewritten notes read: "... work seems to set this off, '</w:t>
      </w:r>
      <w:r>
        <w:rPr>
          <w:rFonts w:ascii="arial" w:eastAsia="arial" w:hAnsi="arial" w:cs="arial"/>
          <w:i/>
          <w:color w:val="000000"/>
          <w:sz w:val="20"/>
          <w:lang w:val="en-US" w:eastAsia="en-US" w:bidi="ar-SA"/>
        </w:rPr>
        <w:t>started with employers timing bathroom breaks</w:t>
      </w:r>
      <w:r>
        <w:rPr>
          <w:rFonts w:ascii="arial" w:eastAsia="arial" w:hAnsi="arial" w:cs="arial"/>
          <w:color w:val="000000"/>
          <w:sz w:val="20"/>
          <w:lang w:val="en-US" w:eastAsia="en-US" w:bidi="ar-SA"/>
        </w:rPr>
        <w:t>' ... has seen depression group at richmond hospital in the past with some affect, but '</w:t>
      </w:r>
      <w:r>
        <w:rPr>
          <w:rFonts w:ascii="arial" w:eastAsia="arial" w:hAnsi="arial" w:cs="arial"/>
          <w:i/>
          <w:color w:val="000000"/>
          <w:sz w:val="20"/>
          <w:lang w:val="en-US" w:eastAsia="en-US" w:bidi="ar-SA"/>
        </w:rPr>
        <w:t>I was more screwed up than anyone else</w:t>
      </w:r>
      <w:r>
        <w:rPr>
          <w:rFonts w:ascii="arial" w:eastAsia="arial" w:hAnsi="arial" w:cs="arial"/>
          <w:color w:val="000000"/>
          <w:sz w:val="20"/>
          <w:lang w:val="en-US" w:eastAsia="en-US" w:bidi="ar-SA"/>
        </w:rPr>
        <w:t>'". I have italicized the portions of Dr. Knight's notes that he showed as being in quotation marks. I am satisfied that these are direct quotes of the plaintiff. Also, during that session, the plaintiff reported that two months earlier in December 2005, she had experienced a flare-up of soft tissue pain, but was now feeling better. She described her physical symptoms as occasional pain and ache in her left hip area. At trial, the plaintiff testified that she felt Dr. Knight did not listen to her. She would not agree that his notes accurately captured her complaints. However, she could not recall what she may have said. I find that Dr. Knight's notes accurately reflect what the plaintiff said to him on all topics.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This appointment marked the first time since the Accident, which had occurred some 16 months earlier, that the plaintiff had reported active psychiatric symptoms of depression. In Dr. Knight's note, he attributed the source of those depressive symptoms to conflicts at work. There is no mention of the Accident or any ill-effects flowing from it, as a potential trigger of her depressive relapse. The plaintiff was referred once again to Dr. Masuhara.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Sometime in early 2006, the plaintiff wrote to a prominent lawyer in Ontario seeking his assistance with the bathroom break complaint. He had been on the board of the organization that had awarded her for exposing the airline's discriminatory practices in 1992. The lawyer responded with a rather harsh letter, suggesting that the plaintiff needed psychiatric help. As I understand her evidence, the plaintiff also tried to enlist the support of a local politician whom she had met previously. That politician also reacted very negatively to the plaintiff's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found this disapproval and rejection to be humiliating and devastating. She was deeply embarrassed and quickly found herself crashing into the "black depths of depression". Dr. McGregor's records of March 9, 2006 note that the plaintiff "was unable to keep it together at work and ++tearful". She complained of her low mood and depression which she described as being related to workplace stressors including the harassment of her co-worker and the lawyer's unfavourable response to her plea for assistance. She also told Dr. McGregor about the politician's upsetting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was obvious from the plaintiff's own emotional reaction when recounting the matter at trial, as well as from the pertinent medical records, that the entire ordeal had been extremely distressing for her, and that it continues to bother her. It is significant that her medical records make no mention of any direct or indirect link between the severe exacerbation of her depression at that time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mid-March 2006, Dr. McGregor recommended that the plaintiff stop working altogether as it was clear that her psychological symptoms were severe and incompatible with coping with her daily work demands. The plaintiff withdrew from work for approximately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McGregor has a specific recollection that the plaintiff took on the so-called "bathroom break" matter as an issue in her workplace. However, in her expert report dated September 14, 2006, she does not mention that incident as a workplace trigger for the plaintiff's low mood reported to Dr. Knight on February 28, 2006. Rather, in her report, she attributes the sources of the plaintiff's emotional symptoms to her relationship with her employer for missing large amounts of time from work and to some financial stressors due to her decreased income resulting from her work absences. At trial, Dr. McGregor explained that she had identified these factors as triggers based on what the plaintiff had told her at the time that she was preparing her expert report in the fall of 2006. The plaintiff's rendition had not been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Although Dr. McGregor's records indicate that the plaintiff had been caring for her alcoholic ex-husband around this time, and she wished to decrease her involvement with him, it is clear that the sources of her debilitating mood symptoms triggered in February and March 2006 were her work-related stressors. Those include the bathroom break matter and the rejection from the lawyer and the politician. I find that it was those factors which came together to mark the start of what the plaintiff referred to as her "spiral into major depression" in March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2006, the plaintiff redeemed a second RRSP in the amount of approximately $7,473. She says that she was required to do so to tide her over financially until she began to receive her short-term disability benefits. Her income tax return indicates that she received a small amount of employment benefits during that waiting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saw Dr. McGregor six times in March 2006 and twice in April. She reported no soft tissue symptoms or physical pain or discomfort of any kind. Her depression was the main focus of every visit. It was also the focus of her session with Dr. Masuhara on April 6. During these appointments, the plaintiff vented about family dynamics and stated that she was trying to refrain from obsessing about work-related matters. Her depressive symptoms were documented as improving, but she reported suicidal thought at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Around March 30, 2006, Dr. McGregor completed a physician statement in respect of the plaintiff's application for short-term disability benefits. She recorded the plaintiff's diagnosis as "major depressive episodes" and reported that the symptoms had first appeared on February 28, 2006. She also noted that the plaintiff had experienced episodic major depression since adolescence. The form asked questions about whether the plaintiff had any physical impairment citing, as examples, sitting, standing and other postures; Dr. McGregor ticked "no". She made no mention of the Accident or the plaintiff's soft tissue pain on the form. This is to be contrasted to the answers contained in the form that Dr. McGregor had filled out in early January 2005 in support of the plaintiff's work absence at that time. There, she explicitly reported that the plaintiff's soft tissue symptoms from the Accident were the reason that she was disabled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Also around this time, Dr. McGregor referred the plaintiff back to Richmond Mental Health. On the referral form, she described the plaintiff as being disabled from work due to significant work-related stressors. Again, she made no reference to the Accident or the plaintiff's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completed her own statement to the disability insurer on April 4, 2006. In answer to whether the disabling condition was caused by an accident, the plaintiff responded "no". Where it asked if the plaintiff had applied for or was receiving motor vehicle insurance benefits, she answered "n/a". These answers were also very different from the ones that she gave in January 2005 on the form submitted in support of her entitlement for short-term disability benefits. There, the plaintiff referred to the Accident, described her condition as involving her neck, back and hip and identified them as the reason she had been unable to work continuously since December 31,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continued to see Dr. McGregor in May 2006 for depression and mood related symptoms. The medical records indicate that during her May 23 appointment, she complained of episodic flare-ups of her low back pain which had recently been aggravated by gardening. It was Dr. McGregor's recorded view on May 23, 2006, that the plaintiff would require an intense degree of psychiatric support and treatment for the next three to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early May 2006, Dr. Heather Donaldson, a psychiatrist, and Dr. Frew, a psychiatry resident at Richmond Mental Health, began to treat the plaintiff. She was also on a wait list to receive psychodynamic group therapy. During their first session, the plaintiff relayed her recent history of depression. Her previous episodes of depression are documented as being triggered primarily by family conflicts and work matters. The plaintiff pinpointed the timing of bathroom breaks as the current precipitating stressor and spoke of the critical responses she had received from the lawyer and politician. She described the ordeal as "overwhelming" and stated that she had "collapsed".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During her psychiatric appointment on June 28, 2006, the plaintiff stated that her stressors included: not having a lawyer; concerns about her son; and worry about her return to work. There was also a notation in Dr. Donaldson's records about the plaintiff being particularly socially isolated. Her notes further record that the plaintiff's ability to garden was dependent on her mood and energy level. There is no mention of any physical pain or restriction in this regard,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July 2006, the plaintiff told Dr. Donaldson that she was experiencing anticipatory anxiety about her upcoming return to work scheduled for September, 2006. She also identified her son's perceived alcohol abuse as a significant stressor. In August 2006, she told Dr. McGregor that she was walking fast for a minimum of one hour every day. She reported an overall improvement in her mood to Dr. Donaldson, but she continued worrying about returning to work. She did not complain of any soft tissue symptoms 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trial, the plaintiff confirmed the accuracy of Dr. Donaldson's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Concerned about being slightly overweight, the plaintiff consulted a registered dietician at Dr. McGregor's office on September 5, 2006. The dietician recorded the plaintiff stating that she works for Air Canada and "does not like workplace". The same day, the plaintiff repeated to Dr. McGregor that she was very anxious about returning to work. Dr. McGregor noted that she was at risk due to the stress this caused her. At trial, Dr. McGregor elaborated that the plaintiff continued to be emotionally fragile and did not have a lot of resilience. Another, but less intense, stressor confronting the plaintiff at that time was trying to help her ex-husband quit drinking alcohol for the sake of their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By mid-September 2006, the plaintiff's mood had improved and she felt ready to try to return to work. However, she extended her return by some weeks and took that opportunity to have a short vacation to Hawaii with her son and ex-husband in celebration of her ex-husband's recent sobriety.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Toxic Workplace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After the plaintiff returned to work in September 2006, she appeared to cope for several weeks until she was faced with a new workplace crisis. This time, it pertained to documenting a series of workplace issues that she characterized as "toxic". The plaintiff's evidence is that the union "dropped the ball" on the matter leaving it to her and one or more co-workers to compile notes documenting incidents, including the timed bathroom breaks, in support of lodging a formal complaint. She felt like she "had to do it". According to the plaintiff, the workplace issues that she found concerning at this juncture were similar to the ones that had troubled her as far back as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When the plaintiff consulted Dr. Donaldson on November 22, 2006, she reported feeling "panic" from taking on people's issues at work and fighting for them. She also reported various conflicts with co-workers. On this occasion, Dr. Donaldson noted that the plaintiff was experiencing a mild recurrence of depressive symptoms precipitated by work-related stressors, and she raised the option of trying more intensive psychotherapy.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After November 22, 2006, the plaintiff did not see Drs. Donaldson or Frew until July of the next year. In all of their clinical notes between May 31, 2006 and November 22, 2006, Drs. Frew and Donaldson make no reference to the plaintiff's psychiatric symptoms being attributable to the Accident. To the contrary, they documented her psychological symptoms as being attributable to family conflicts, interpersonal conflicts, the stress of participating in group therapy, and work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January 2007, the plaintiff went to a nearby medical clinic complaining of low back pain. She was given a prescription for anti-inflammatories. She also brought the toxic workplace complaint forward around this time. It alleged mistreatment of workers in ways that were said to instil fear, damage self-respect, confidence and concentration, and give rise to medical, health and safety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Since long before the Accident, the plaintiff had been taking medication for her depression and anxiety. From time to time her dosage level was adjusted; in recent years it had primarily been adjusted upward. Concerned about the explosion of negative press warning of possible harmful effects of those medications, the plaintiff stopped taking them in about mid-2007. She returned to her local medical clinic again in June 2007 with low back pain symptoms and was prescribed an anti-inflammatory and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June 2007, some kind of informal hearings or meetings took place in relation to the plaintiff's toxic workplace complaint. The plaintiff was an active participant. A letter dated July 6, 2007, addressed to the plaintiff from the employer's human rights advisor, acknowledged that the plaintiff had raised some valid concerns. It stated that management was making an effort to resolve the work environment issues and that the file was being closed. The plaintiff was not happy with the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During the same time frame, Dr. McGregor could see that the plaintiff was not coping well at work. In late June she completed a work certificate on behalf of the plaintiff stating that "work-related stressors have contributed to recurrent symptoms of headaches, poor concentration, and depression". She also referred her back to Richmond Mental Health for follow-up. When she saw Dr. Donaldson, the plaintiff complained of depressed mood over the preceding two months that had interfered with her ability to attend work. She also mentioned workplace stress, which I find referred to the poisoned work environment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the plaintiff's next visit with Dr. Donaldson in August 2007, she reported depressive symptoms relating to the death of a friend. Later that month, she resumed group therapy and her antidepressant/anti-anxiety was reinstated. She also submitted an impassioned and detailed letter of appeal in relation to management's response to the toxic workplace complaint. It is noteworthy that at trial the plaintiff clarified that she believed that resolving the toxic work environment would enable her to regain her own health.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Major Depressive Episode - September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According to the plaintiff, she was still having a difficult time doing her work and was "not coping well" through the fall of 2007. She attributes her impediments to pain, confusion she experiences from depression, an inability to concentrate and lack of self-esteem.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an earlier time, sometime in 2006, the plaintiff had been disciplined at work for leaving her post during the ringing of an intermittent fire alarm. She explained that the union had intervened and successfully challenged the employer's action. In mid-September 2007, the plaintiff became concerned about safety issues at work in relation to the fire alarm protocol. She had evidently discovered that certain fire alarms in the hangar area had been or were going to be disarmed and removed. She contacted Labour Canada and within a few days was told that the proposed alarm removal would not be going ahead. Even though her actions were successful, the confrontation left her in "bad shape" emotionally causing her to take a few days off "just to get through it". She told Dr. McGregor that she had "crashed" at work and that she was unable to do anything except cry all day. Dr. McGregor prescribed her new medication and diagnosed depression with insomnia. Although the plaintiff confirmed at trial that she did "get through it", she has not returned to work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is most significant that the plaintiff volunteered at trial that this so-called fire alarm incident would have caused her to take a disability leave from work even if the Accident had not happened. In closing submissions, her counsel suggested that she made this statement in a moment of angst, and that in light of her chronic depression, her testimony should not be held against her. In my assessment, the plaintiff's statement was not an unintended utterance made while in a state of confusion or emotional turmoil. She offered it more than once in a very definite and matter-of-fact way. I accept her statement 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Within a few weeks of leaving work in 2007, the plaintiff began to involve herself in her sister's human rights complaint against her employer. She used the Internet to research the issue, helped complete the paperwork for submission to the tribunal, and met and communicated with her sister's employer about the matter. She also accompanied her sister to the hearing. According to the plaintiff, she was "not in any kind of shape" to assist her sister; she did not want to get involved, but felt that she could not "cancel". She testified that, in the scheme of things, it was not a big deal.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Events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had nine appointments at Dr. McGregor's office in 2008. While she complained of ongoing back pain, particularly in the last half of that year, there is no question that the overall thrust of her sessions were about her depression. Dr. McGregor was away for a large segment of that year. In her absence, another physician at her office wrote a note that the plaintiff was to be off work for another six months due to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recorded medical observations indicate that the plaintiff's mood fluctuated in 2008, and that she continued to socially isolate herself. She kept seeing Dr. Donaldson and her psychiatric medication was increased. At one point, the plaintiff identified as stressful factors: an incident involving her son; difficulties she was encountering with group therapy; and the fact that Dr. McGregor was away. She did not report her low back pain or any other physical exemption as being linked to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was first examined for discovery in this law suit on April 2, 2008. She was asked questions about why her physical injuries from the Accident had not been identified as a reason for her work absences in 2006 and 2007 on the forms that were filled out for her disability insurer. Approximately five weeks after her discovery, the plaintiff was required to complete another form for her insurer. This time, she did explicitly attribute her medical leave to injuries from Accident as well as to "other" factors, and wrote that she was off work "with depression and pain". The defence suggests that it is highly suspicious that the plaintiff only began to report that her pain played a role in her work absences after having been examined about its obvious omission. The explanation offered by the plaintiff in attempting to account for this discrepancy at trial was difficult to follow and implausible.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Also on that form, the plaintiff stated that she had been taking Tylenol 3 "5-12 times/day since the crash". That report was inconsistent with the evidence she had given at her previous examination for discovery and during her subsequent continuation of it. In cross-examination, the plaintiff admitted that her report of consuming that many Tylenol 3 per day since the Accident "might be" an exaggeration. The PharmaNet documentation in evidence shows that the plaintiff's account of her consumption of pain medication was greatly exaggerated.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August 2008, the plaintiff arranged for the doctor to provide another note confirming that she required an additional six months off work. In September 2008, she reported a very low mood, and that she constantly felt suicidal. She expressed difficulty in meeting her mortgage payments which also stressed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Additional Evidence of the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is an articulate and intelligent woman. Prior to the Accident, she had a keen interest in politics and community work, and routinely volunteered to fundraise and participate in other activities for various charities and workplace charitable committees. She was also active in local and federal politics, especially around election time. During the federal campaign in the summer of 2004, for example, she assisted the local candidate in rehearsing speeches and the like for approximately one month. The plaintiff also ran as a candidate herself about three times, although she was never elected. She found these endeavours enriching and rewarding.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also loves to garden. Before the Accident, she occasionally entered amateur garden contests. Housekeeping was not a priority, but she attended to the basics, and did the laundry and prepared meals. As for recreational activities before the Accident, the plaintiff enjoyed riding her bicycle and taking extended walks in her neighbourhood and to local destinations. She would occasionally ice skate in the winter. She regularly gathered with her family, often at her sister's home, to celebrate birthdays and other holidays. She would also share Sunday dinners with them every other week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claims that her life was completely disrupted by the Accident. She says that for the first two years or so after the Accident, her headaches were constant. They usually presented as low grade, but at times felt like pounding migraines where she needed to be in a dark room. In time, their frequency and intensity diminished, but they have never disappeared altogether. According to the plaintiff, her low back symptoms caused her discomfort if she walked too far, sat too long, rode her bike or skated. They have never fully resolved. The plaintiff says that her headaches and soft tissue symptoms caused her to miss large amounts of time from work and impaired and in some cases prevented her from enjoying her non-work pursuits. She withdrew from her political and community work. She felt humiliated at work for appearing to be weak in succumbing to her pain, and because of her symptoms of depression which she concealed as best she could from her workmates. She separated her workstation from her co-workers. She was only able to do a small amount of gardening, and could not mow the lawn or do composting. She has not entered a garden contest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also asserts that her ongoing pain in combination with her reduction in income due to time missed from work caused by the Accident, exacerbated and intensified her depression. As early as 2006, she found her financial circumstances overwhelmingly stressful. The plaintiff's sister testified that over time, the plaintiff withdrew from her extended family and the activities that involved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plaintiff's son was living with his mother at the time of the Accident. He subsequently moved out for a short time, but eventually returned. He was residing with her at the time of trial. In describing his mother before the Accident, he essentially corroborated the plaintiff's evidence. So too did the plaintiff's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son testified that she was an outgoing woman who was active in politics and union activities. She enjoyed outdoor pursuits, such as gardening, and competed in an annual garden show. She liked to stroll and bicycle in the neighbourhood. The son testified that he was aware that his mother had taken time off work after the Accident, but he did not know why she did so. She did not complain directly to him that she could not work because of her pain, however, he says that he knew she was in pain and not going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son noticed changes in his mother after the Accident. Her mood became more irritable in early 2005. She did not attend family dinners as frequently as she had before the Accident. As time passed, he observed her gradually pull back from attending most family gatherings. She stopped doing yard work and most of the gardening because it was no longer enjoyable for her. Her son started to help with the housework. He washed the dishes, cleaned the floors, used a weed whacker to mow their small patch of lawn and vacuumed. He estimated that he spent between 2 and 3 hours each week carrying out these chores. As well, her son began to do the grocery shopping until he lost his driver's licence. Since then, the plaintiff has resumed doing the grocery shopping but relies on her son to help unload the packages from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When asked about his mother's current activities, her son paused awhile and answered that she goes to doctor's appointments and attends "scheduled things" but does not do the same things 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son portrayed his mother as a proud and private person who did not open up readily or volunteer information, especially to him. He knew that she had taken time off work due to stress in 2003, but was not aware that she had taken weeks and months off before the Accident. The only complaint that he recalls her making about her work environment concerned the fire alarm incident in 2007. Clearly, the plaintiff did not burden her son with the details of her depression and work-related stress. Obviously, she cannot be faulted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plaintiff's son has been paying his mother $200 per month for his room and board. He acknowledged that his mother has been helping him financially by charging him "cheap" rent. Evidently, she also gives him some cash on a weekly basis, although the sum was not made clear. The son says that he plans to move out of his mother's townhome soon, but he would definitely come home to help her around the house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son was a credible witness. The key difficulty presented by a large portion of his testimony about the changes he saw in his mother post-Accident is that they were not tied to specific time periods. It is, therefore, not sufficiently clear during which periods of time he made his observations. In particular, it is unclear whether the changes he saw manifested before or after the plaintiff's major depressive episodes in February/March 2006 and September 2007, and to what degree. The plaintiff's sister also credibly supported the testimony of the plaintiff and her son about the changes in the plaintiff after the Accident. She described physical changes, complaints of pain and emotional and mood changes. However, her evidence also suffered somewhat from the same lack of precise timeline as to when the psychological changes appeared to take 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G had first worked with the plaintiff in the reservations department for ten years and later at the airport. At the time of the Accident, they worked together in the schedule change department. Their desks were across from one another. They chatted regularly at work but did not socialize outside of the office. Ms. G described the plaintiff before the Accident as being friendly, talkative and passionate about "righting wrongs".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According to Ms. G, the plaintiff's personality changed after the Accident. However, she cannot be sure of the timeline within which the changes manifested. She recalled that after the Accident, the plaintiff moved to a different workstation in a corner stating that she wanted to be by herself. She became extremely quiet and was not interested in exchanging small talk. When Ms. G tried to talk to her tears would well up in the plaintiff's eyes. Ms. G noticed that the plaintiff took "enormous" amounts of time off whenever she could. She and other co-workers became concerned about the negative financial consequences of the plaintiff's extended work absences.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G was overtly critical of the work atmosphere at Aeroplan on many fronts, as was the plaintiff. She described it as very stressful and believed that "toxic" was an apt descriptor. She explained that employees' actions are extremely controlled and that they are not encouraged to get up from their desks when it is not their specified break time. Ms. G was aware that the plaintiff found the work environment stressful. She testified that she and the plaintiff became friends in order to cope with the oppressive conditions at their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G did not know whether workplace stress was the reason for the plaintiff's lengthy work absences after the Accident claiming, implausibly, that they "aren't allowed to discuss that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Expert Evidence -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called five medical experts in addition to Dr. McGregor.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Dr. Elliott Weiss,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McGregor referred the plaintiff to Dr. Weiss for treatment on November 29, 2007. Dr. Weiss treated the plaintiff several times over the first half of 2008. He last saw her on June 20, 2008. When Dr. Weiss first met with the plaintiff, he understood from her that she had not worked since September 2007 for mood related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his report dated August 10, 2008, Dr. Weiss remarked that the plaintiff had a longstanding history both before and after the Accident of chronic and non-specific low back pain. He testified that she has reported persistent low back pain and left hip discomfort since the Accident. Pain on her left side was reported to be worse than on her right. A bone scan of her lumbosacral spine demonstrated L5/S1 facet arthropathy of moderate severity; the inflammation was slightly more on the left side than on the right. Her x-rays indicated moderate narrowing of the disc space at the same spinal level. The facets are the bony structures between the vertebrae of the spine. Dr. Weiss explained that facet arthropathy is a degenerative condition affecting the facet joints. It can come about from normal wear and tear with aging, or from trauma. He noted that the condition may or may not cause pain. When it does cause pain, he said that the pain may or may not resolve. A flare-up of pain can be triggered by a physical movement that, at least superficially, appears to be innocuous.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Weiss attempted to find a long-term solution for the plaintiff's pain. He arranged for a specialized radiologist to administer corticosteroid injections called facet blocks, at her L5/S1 level in March and April 2008. The procedures were excruciatingly painful. They provided the plaintiff with a significant reduction of pain, though only temporarily.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From a diagnostic perspective the treatments indicated to Dr. Weiss that some of the plaintiff's back pain originated from her facet joints. He believed that the injections had temporarily reduced their inflammation. In his view, the plaintiff's symptoms are consistent with mechanical low back pain, degenerative disc disease, and facet arthropathy. He testified that her degenerative condition does not necessary result 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Weiss noted that a medial branch block or a procedure called rhizotomy could be considered as longer term therapeutic options. However, he recited a number of concerns about their potentially adverse long term effects to the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Dr. Weiss's opinion, the acute injuries from the Accident likely applied stresses to the plaintiff's low back. Although her acute injuries had settled, he thought it reasonable to assume that the inflammatory changes in her low back occurred as a direct result of the Accident, and remained a persistent symptom. In his opinion, the plaintiff's ongoing complaints of low back symptoms developed as a direct result of the Accident. Dr. Weiss considered it likely that her persistent symptoms would produce ongoing low back pain, with prolonged stationary positions and/or active movements that involved loading her spine. It is his belief that if the plaintiff could attain a diminished level of pain intensity, she would be better prepared to participate in her prior work activities, and re-establish her prior vocational and personal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Weiss was aware that the plaintiff had been involved in an earlier motor vehicle accident. He had assumed that it had not caused her significant pain or physical restrictions. In cross-examination, he agreed that he had not had adequate time to review the binder of medical records and documentation provided to him before he formulated his opinion. He confirmed as well that he did not have sufficient information to say whether the plaintiff's facet joint problem had been present prior to the Accident or not.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Dr. Pankaj Dhawan,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After the plaintiff's sessions with Dr. Weiss, she sought a second opinion about the prospect of treatment by way of medial nerve block and rhizotomy. Dr. McGregor referred her to Dr. Dhawan who assessed her on August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Dhawan diagnosed the plaintiff with mechanical facet mediated back pain and moderately severe facet arthropathy at L5/S1. He thought that these were most likely pre-existing degenerative changes which had been rendered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Dhawan administered facet block injections for diagnostic purposes and as treatment. It was his understanding that the plaintiff experienced about 50% relief for a period of approximately three weeks. He did not consider that to be a great response to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Dhawan advocated a comprehensive treatment package for the plaintiff that included weight loss, core strengthening, muscle strengthening, using a bicycle with an electric motor for uphill, and mood disorder control. He confirmed that a job which would allow her to alternate between sitting and standing would be beneficial. He also favoured further consideration to nerve block treatments to improve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his report, Dr. Dhawan stated that the plaintiff had attempted to return to work, but had failed from a physical standpoint; he did not think that she was quite ready to return. When he reached this conclusion, he had not reviewed Dr. McGregor's clinical records or other relevant records documenting the plaintiff's complex pre and post-Accident medical history. Nor was there any reliable indication about the precise time frame that Dr. Dhawan was referring to when speaking about the plaintiff's failed attempts to resume work. In the end, I do not find Dr. Dhawan's comments on this point to be particularly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his report dated August 1, 2008, Dr. Dhawan wrote that the plaintiff had a chronic mood disorder with depression which had worsened since the Accident due to "pain, sleeplessness and she settled in to a chronic pain disorder". He was the only expert to refer to a diagnosis of chronic pain disorder. Dr. Dhawan agreed that it is a psychiatric diagnosis and would defer to a psychiatrist in relation to it. He would also defer to a psychiatrist regarding the plaintiff's psychological fitness to return to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Dr. Stephen Kline,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Kline provided two reports about the nature of the plaintiff's psychiatric problems and their relationship to the Accident. He has never been the plaintiff's treating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Kline conducted the first of his two assessments on August 21, 2007. It was during that session that the plaintiff relayed symptoms of anxiety around driving which she maintains have developed as a result of the Accident. Her complaints included nightmares, anxiety about driving and traffic, constant worrying about the function of her own vehicle, and startling in traffic in response to screeching brakes and sirens. The plaintiff had never before confided these symptoms to her treating physician or psychiatrist, or any other medical practitioner or therapist during the nearly three-year period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Dr. Kline's opinion, the constellation of anxiety complaints reported by the plaintiff indicated symptoms of post-traumatic stress and are a direct result of the Accident. He was clear that her symptoms were mild and emphasized that she did not meet the diagnostic criteria for the disorder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Kline concurred with the diagnosis of chronic major depressive disorder which he assessed as being mild to moderate. He also diagnosed marijuana dependence in remission following the plaintiff's addiction treatment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According to Dr. Kline, the causation of the plaintiff's ongoing symptoms of depression is complex. Cause and effect are more nuanced and complicated in the plaintiff's case because she had other problems at work. He was careful to say that the Accident did not directly cause the plaintiff's depression. In Dr. Kline's view, the plaintiff's difficulties arising after the Accident, including her chronic pain, inability to remain at work on a steady basis and financial hardship were all contributing factors. All contributed to an exacerbation of her depression and anxiety, and may have restricted an improvement in her depression. He did not elaborate on the relative degree that each of those factors might have contributed to a worsening of the plaintiff's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At the time of writing his first report on August 22, 2007, Dr. Kline was optimistic that cognitive behavioural therapy may help the plaintiff's depression and chronic pain management, as well as assist her symptoms of post-traumatic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Kline testified that the plaintiff's overall condition had not changed substantially when he met with her a second and final time on October 1, 2008. During this follow-up meeting, she confirmed that she was very stressed financially and did not feel well enough, physically or psychologically, to return to work. The plaintiff explained to him that her ongoing pain, toxic work environment and loss of income, combined with her chronic depression in such a way that by September 2007, she felt she could simply no longer work. Dr. Kline's diagnosis concerning her psychiatric condition remained unchanged. He reiterated that with specific treatment, her post-traumatic stress symptoms should improve. However, his overall view of the plaintiff in October 2008 was somewhat more pessimistic than the one he expressed in his report of August 22, 2007. He was concerned that, without improvement of her depression, it was unlikely that she was going to be able to work in the near future or possibly even the distant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Kline readily acknowledged that the clinical records do not document pain as a presenting issue in the exacerbation or intensity of the plaintiff's depression. In cross-examination, he explained that he had asked the plaintiff why she had not told her medical providers that she needed to take a leave from work in March 2006 due, in part, to her low back pain. He relayed that she answered that, when she felt depressed, she did not always report it, and likewise, when she experienced pain and other physical symptoms, she might not complain about them. He recalls telling her that her approach seemed unusual, to which she responded: "That is who I am". The plaintiff did not include this explanation in her testimony at trial. Had she done so, I would not have found it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At trial, the plaintiff appeared to suggest that she did not always tell Dr. McGregor about her ongoing symptoms of pain because of the time constraints imposed on their sessions. Evidently, Dr. McGregor's practice at the time was to restrict appointments to between 10 and 15 minutes. Patients are asked to write down their principal complaints while in the examining room and are expected to adhere to the time schedule. The plaintiff suggested that she respected those time limits but that they did not always allow her the time to discuss all of her complaints. The main difficulty I have with this explanation is that it is clear that from time to time the plaintiff did complain to Dr. McGregor about both physical and psychological symptoms in one appointment. If anything, her evidence supports the finding that her depression and not her physical symptoms, was consistently her dominant complaint. It also supports the finding that her physical symptoms were not sufficiently concerning or severe to raise during appointments or to schedule follow-up appointments to discuss them exclusively. Nor does her explanation address the fact that she did not disclose the difficulties she claims to have been having with chronic pain, and its linkage to her depression, to Drs. Donaldson or Frew or any other health care provider.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Dr. Heather Donaldson,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had several sessions with Drs. Donaldson and/or Frew between May 10, 2006 and October 29, 2008. I have already referred to a number of observations recorded by Dr. Donaldson in relation to those visits. In summary, she found that the plaintiff exhibited both depressive and anxiety symptoms, and that her depressive symptoms met the criteria for a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According to Dr. Donaldson, the plaintiff's depressive symptoms in the year preceding her report dated November 15, 2008, were severe. She considers the plaintiff to be at significant risk of relapse in the future. In her view, some of her depressive symptoms are disabling in terms of her ability to work. She testified that in order to successfully treat the plaintiff's depression, she will likely need medication and psychotherapy for "a couple of years, at least". Dr. Donaldson supposed that it may be possible for her to return to work in the future if her symptoms respond to treatment and she experiences a period of mood 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her expert report, Dr. Donaldson declined to comment on whether her depressive disorder was caused by the Accident, or whether the plaintiff's work absences after the Accident were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Donaldson clarified that the plaintiff had not voluntarily relayed any concerns or symptoms of anxiety around driving or nightmares related to the Accident. She revealed them only on the prodding of Dr. Donaldson, who had been alerted to the issue by reading Dr. Kline's report. Dr. Donaldson concurred that the plaintiff displayed some symptoms of post-traumatic stress disorder which seemed to be related to the Accident. She also confirmed that the plaintiff had not complained of back pain arising from the Accident until their session in June 2008, some months after the plaintiff's first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Katie Barr,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On October 6, 2008, Ms. Barr conducted a comprehensive physical capacity evaluation of the plaintiff with a view to determining her physical strength and limitations in the employment sphere. The testing spanned nearly six hours. In Ms. Barr's opinion the plaintiff gave full effort during the assessment. The plaintiff passed the tests for non-organic signs, with these noted exceptions: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occasionally underestimated her strength;</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report of changes in the rating of her pain were not always in keeping with observed changes in her movement patterns and demeanour. Ms. Barr gave as an example that the plaintiff at times would report significant increases in pain, yet remain pleasant and cooperative and continue to participate in the testing without showing significant changes in her movement;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rating of perceived capacity was lower than that determined during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Ms. Barr's view, the presence of those factors was not fully unexpected given what she understood to be the plaintiff's history of chronic pain. She did not consider those behaviours to have significantly have interfered with the plaintiff's performance during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Barr found that the plaintiff demonstrated fair to good activity tolerance. Conversely, she showed decreased tolerance with respect to certain postures, such as prolonged sitting, bending, crouching, kneeling and strength activities. She also scored below average on many productivity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told Ms. Barr that the main difficulty presented by her work related to tasks involving prolonged sitting and standing requirements, and her inability to be able to move around in her personal work area. Ms. Barr understood from the plaintiff that she worked in a confined space or cubicle. Based on that, she expressed the concern that the plaintiff's workspace would present difficulty in her regularly adjusting her posture. The evidence shows that the plaintiff's workstation is not a confined space or cubicle; it is an open pod space. As mentioned earlier, I am satisfied that it provides adequate space to allow the plaintiff to adjust her position throughout her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Barr concluded that with respect to the plaintiff's physical capacity, she is employable on at least a part-time basis in a restricted number of limited and light strength occupations, but she is unemployable in medium and heavy strength positions. Ms. Barr explained that "employable on a restricted basis" means that the plaintiff would not have the physical capacity to access an open labour market. The restrictions that Ms. Barr observed in relation to the plaintiff fell into nine categories: sitting; standing; walking; bending/stooping; crouching/kneeling; balance/climbing; reaching; handling; and strength. In cross-examination, Ms. Barr confirmed that of the nine restricted movements, seven are not required for the plaintiff's specific occupation or for an airline customer service agent generally. Moreover, she agreed that during the testing, the plaintiff did not demonstrate significant limitations to standing activities. She expected that the plaintiff could tolerate static standing activities for at least one hour intervals. Ms. Barr described "static" standing as standing in one place and "dynamic" standing as standing with the ability to move one's feet, although not a full walk. She also confirmed that the plaintiff did not describe any increase in her pain with either static or dynamic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Relying on the National Occupational Classification for the plaintiff's current position as a full-time customer service representative, Ms. Barr opined that the plaintiff would be considered employable with minimum restrictions, such as providing her with an ergonomically correct workstation and the ability to alternate each hour between walking, sitting, and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is noteworthy that the plaintiff's reported increase in pain with sitting was mild, and came about after two hours of sitting. Ms. Barr reported that the plaintiff took a two minute break to stretch after the first hour of sitting. During the second hour, she took three more very brief breaks. The first so-called break occurred when the plaintiff inadvertently dropped something onto the floor and bent over to pick it up, taking the opportunity to stretch while doing so. The next break was merely to adjust her chair to do the next sitting test; the third one amounted to nothing more than moving to another spot in the test room to begin a new test. The plaintiff herself had not requested a break at any point during the second hour of sitting. In any event, at Aeroplan the plaintiff is able to alter her position as she likes.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Barr cautioned that given the plaintiff's reported pain levels, her interpersonal behaviour and work productivity could potentially be impacted by her pain, leading to an inability to attend work consistently or reliably. She echoed that concern with regard to the potential impact of the plaintiff's emotional status on her employability,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Barr suggested that certain rehabilitation options be given consideration by a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Expert Evidence -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Heather Finlayson,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Finlayson performed an independent assessment of the plaintiff on August 26, 2008. She concurred with the diagnosis of back pain secondary to left L5/S1 facet arthropathy. Dr. Finlayson does not quarrel with Dr. McGregor's initial diagnosis of moderate to severe soft tissue injury. She noted that condition can co-exist with facet arthropathy.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her report, Dr. Finlayson stated that it was possible that the plaintiff had a prior episode of this form of back pain in 1998 which had resolved before the Accident, and had been exacerbated by the Accident. At trial, Dr. Finlayson clarified that she should have stated this was "probable" as opposed to "possible". She based this aspect of her opinion partly on the fact that the plaintiff had told her that her back pain was in a "similar" location to the place where she had experienced it post-Accident, and partly on the fact that Dr. McGregor recorded the plaintiff complaining of low back pain related to her 1997 motor vehicle accident on October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response to Ms. Barr's report, Dr. Finlayson considered it improbable that the muscle tremors in the plaintiff's trunk and extremities observed by Ms. Barr were caused by any problems originating in the plaintiff's low back. She suggested that the tremors most likely were due to one or a combination of anxiety, medication use and/or muscle fatigue. Dr. Finlayson also did not correlate the plaintiff's weak grip strength and below-average performance on handling tasks with her low back problems. I accept her view on these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Finlayson noted that individuals with facet-generated low back pain often need to frequently adjust their positions and alternate from sitting to standing. She observed that the plaintiff's workstation is set up in such a way that adjusting her position is possible; she expected that the plaintiff would have been able to return to her job if her back pain had been her main limiting factor. She did not expect that the plaintiff's type of back pain alone would have prevented her from returning to her job after nearly four years, especially in light of the low physical demands that her position entails, and the availability of an ergonomically appropriate workstation.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Dr. Finlayson's opinion, although the plaintiff has low back pain, it was not causing her any dysfunction and was not disabling. In her view, the plaintiff's current level of dysfunction in daily life and work is primarily related to her psychiatric disorder. In this regard, Dr. Finlayson pointed to the fact that when she physically examined the plaintiff, she demonstrated signs known as Waddell's signs, which are associated with a non-organic element to a patient's pain. They indicate that there may be a psychological component to her pain. Dr. Finlayson explained that where an individual exhibits three of the five Waddell signs, it is considered to be significant; the plaintiff displayed four of them. The presence of these non-organic signs, together with the plaintiff's extensive prior history of work absences due to psychosocial stressors, were the basis of Dr. Finlayson's opinion that it is the plaintiff's current psychiatric disorders, as distinct from any physical injuries, that are causing her dysfunction. Even so, Dr. Finlayson thinks that further treatment for the plaintiff's back symptoms such as medial branch blocks, could be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Weiss's only criticism of the content of Dr. Finlayson's report was that she purported to offer a psychiatric opinion in that she attributed the plaintiff's inability to work due to psychiatric reasons, which fell outside her expertise as a physiatrist. Leaving the psychological aspects of her opinion to the side, I find her opinion concerning the plaintiff's physical symptoms to be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Dr. Kevin Solomons,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Solomons assessed the plaintiff on November 5, 2008. He characterized her history of interpersonal relationships marked by ongoing episodes of conflict with people around her, including family and work colleagues, as highly suggestive of a dysfunctional or disordered personality style. Even though the prospect of a personality disorder was not addressed by the other psychiatrists and was not a formulation that emerged from the plaintiff's contact with the group therapy programs at Richmond Mental Health, Dr. Solomons nonetheless considered it an important aspect of the plaintiff's clinical presentation. What he found especially striking in the plaintiff's medical records was the consistency of the plaintiff's relapses, which he viewed as invariably being caused by conflicts at work and within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Solomons believes that the plaintiff spearheads issues for others at tremendous personal cost to her psychological well-being. To his mind, the unintended consequence of the plaintiff championing various causes at work was the workplace conflict that led to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Kline did not directly refute Dr. Solomons's opinion that the plaintiff may suffer from a personality disorder. However, he advocated caution in introducing personality disorder as the primary diagnosis over major depression. Dr. Kline noted that anyone, including a person with a personality dysfunction, can become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Solomons would not agree that the plaintiff's depressive symptoms were attributable to the indirect effects of the Accident. He did not think such a link was supported in the medical documentation, which indicates that she did not report any mood symptoms for well over a year after the Accident, and that when she did relay them, they were attributed to conflicts at work, family distress and other interpersonal relations. That summation of the medical records is not entirely accurate because it overlooks the plaintiff's occasional reports of her financial circumstances being linked to her stress and low mood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Whatever the precise nature of the plaintiff's psychiatric condition, in Dr. Solomons's view, it was not caused, affected or exacerbated by the Accident. In his opinion, the same emotional, psychological and psychiatric difficulties that the plaintiff had prior to the Accident have simply persisted post-Accident in the same intermittent pattern and are provoked by the same kinds of stresses. In his view, the Accident is not responsible for the plaintiff's ongoing psychological difficulties, and opines that those difficulties would have occurred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to the plaintiff's driving anxiety symptoms, Dr. Solomons noted that the plaintiff told him that she avoids driving when she can, but does drive when she needs to. She indicated to him that her symptoms were not disabling and did not prevent her from driving. Dr. Solomons found that the plaintiff's own account of her symptoms fell far short of a diagnosable psychiatric condition such as post-traumatic stress disorder or driving phobia. He noted that her driving-related symptoms did not appear in the medical records following the Accident, and were plainly not a focus of clinical concern or attention at any time following the Accident. His opinion is that the Accident did not induce any psychiatric disability in relation to the plaintiff's driving function.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Linda Waithman,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Waithman visited the plaintiff's workplace on two occasions. On the assumption that Ms. Barr's conclusions about the plaintiff's limitations were accurate, Ms. Waithman considered whether the plaintiff was physically capable of working at her present occupation given the physical layout of her workplace. While on site, Ms. Waithman saw many chair options in use as well as several modified workstations.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Waithman confirmed that the plaintiff's sit/stand workstation would enable her to change positions at will and, therefore, she would not have to constantly sit or constantly stand. When she visited the workplace, she saw nothing to suggest that the plaintiff would be restricted in changing her posture. Her observation was that employees could bend, stretch and move around even while they wore their telephone headsets that were connected by springy coils that were at least four feet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Waithman addressed individually the nine restrictions identified by Ms. Barr. In her view, none of them are a requirement of the plaintiff's current occupation or of a customer service agent generally. She found that the physical demands for the work fell within the plaintiff's restrictions as outlined in Ms. Barr's report. She concluded (again on the assumption that Ms. Barr's findings were accurate) that the plaintiff is able to work as a customer service agent in her current position and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plaintiff's current physical complaint centres around the chronic pain she claims to experience in her low back and into her left hip area. She says she feels a constant jabbing back pain, which is susceptible to aggravation if she sits or stands for a prolonged period, but also if she engages in certain other pastimes and activities like gardening. According to the plaintiff, her current low back symptoms are different from those caused by her motor vehicle accident in 1997, which fully resolved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contends that in a domino-effect fashion, the injuries she sustained in the Accident worsened, intensified and/or prolonged her chronic depression. The alleged link is that her pain, which is itself a negative stressor, caused her to miss work, which caused a reduction in her income and forced her to deplete her hard-earned RRSP savings and increase her debt load. This, in turn, magnified her financial stress and contributed to her depression, and continues to do so. The plaintiff also says that her ability to concentrate and memory are impaired and her sleep is inconsistent and intermittent. As for her emotional health, the plaintiff says she has "real trouble meeting with other people". She describes her current depression as the worst and longest episode "by far" that she has ever endured. She also claims that the Accident caused her anxiety and fear around driving, although she admits that she does "drive through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 asserts that her "thin skull" emotional fragility created by her prior episodes of depression, has combined with her pain and overwhelming financial pressures, which both stem from the Accident, to cause a continuing condition that disables her from work and is, in all likelihood,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As a means of taking into account her history of chronic depression prior to the Accident, the plaintiff submits that a reduction in damages of 10% across the board would be justified. This is intended to reflect the possibility that she would have suffered some degree of depression after the Accident,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defendants acknowledge that the plaintiff sustained soft tissue injuries from the Accident. They contend that her physical symptoms are rooted in her facet joint arthropathy at level L5/S1 that pre-existed the Accident. The defendants assert that the Accident in no way caused or worsened her actual underlying condition, but merely aggravated it causing a flare-up of symptoms that persisted until the end of 2005 or, at most, into the beginning of 2006. It is their contention that any physical symptoms manifesting beyond February 2006, at the latest, are not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defence rejects any causal connection between the plaintiff's financial stress and the Accident, and between her Accident induced soft tissue symptoms and her post-Accident relapses of depression. They say that she would have experienced episodic depression, including bouts of major depression necessitating work absences, even had the Accident not occurred. Given the plaintiff's late reporting of symptoms relating to her driving anxiety, the defendants dispute their very existence and submit that to the extent she has experienced them, they are incredibly mild and have had no deleterious impact on her enjoyment or quality of life or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It is trite to observe that for a plaintiff to recover damages in tort there must be a causal link between the wrongful act and the damage inflicted. This notion of cause-in-fact is distinct from the thornier question of proximate cause of damage. The former is concerned with the basis of liability; the latter examines the extent of the liability once it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addressing a perceived rigidity in the judicial approach to causation, Mr. Justice Sopinka memorably observed that it is not necessary to establish the causal connection with "scientific precision":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Causation in tort is established where the plaintiff proves on a balance of probabilities that the defendant caused or materially contributed to the harm. A contributing factor will be considered to be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cited to the S.C.R.]. A negligent defendant will not be excused from liability merely because other causal factors were at play in producing the harm. So long as it is part of the cause of her injuries, the defendant will be fully liable to the plaintiff even if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alone was not enough to create her injuries: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primary test for determining causation is commonly articulated as the </w:t>
      </w:r>
      <w:r>
        <w:rPr>
          <w:rFonts w:ascii="arial" w:eastAsia="arial" w:hAnsi="arial" w:cs="arial"/>
          <w:i/>
          <w:color w:val="000000"/>
          <w:sz w:val="20"/>
          <w:lang w:val="en-US" w:eastAsia="en-US" w:bidi="ar-SA"/>
        </w:rPr>
        <w:t>but for</w:t>
      </w:r>
      <w:r>
        <w:rPr>
          <w:rFonts w:ascii="arial" w:eastAsia="arial" w:hAnsi="arial" w:cs="arial"/>
          <w:color w:val="000000"/>
          <w:sz w:val="20"/>
          <w:lang w:val="en-US" w:eastAsia="en-US" w:bidi="ar-SA"/>
        </w:rPr>
        <w:t xml:space="preserve"> test. The plaintiff must prove that she would not have experienced her post-Accident physical symptoms, anxiety around driving or the frequency, duration and intensity of her symptoms of depression </w:t>
      </w:r>
      <w:r>
        <w:rPr>
          <w:rFonts w:ascii="arial" w:eastAsia="arial" w:hAnsi="arial" w:cs="arial"/>
          <w:i/>
          <w:color w:val="000000"/>
          <w:sz w:val="20"/>
          <w:lang w:val="en-US" w:eastAsia="en-US" w:bidi="ar-SA"/>
        </w:rPr>
        <w:t>but for</w:t>
      </w:r>
      <w:r>
        <w:rPr>
          <w:rFonts w:ascii="arial" w:eastAsia="arial" w:hAnsi="arial" w:cs="arial"/>
          <w:color w:val="000000"/>
          <w:sz w:val="20"/>
          <w:lang w:val="en-US" w:eastAsia="en-US" w:bidi="ar-SA"/>
        </w:rPr>
        <w:t xml:space="preserve"> the occurrence of the Accident: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foremost component of the plaintiff's psychological injury and the most debilitating is her depression, or what Dr. Solomons suggests are traits of a personality dysfunction. For our purposes, the precise diagnosis is not relevant. In this segment of my reasons, I will refer to the constellation of the plaintiff's mood and psychological symptoms as her "Depression" in order to distinguish it from her other, and much less troubling, alleged psychological injury of driving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 helpful way to approach the issue of causation with respect to the plaintiff's claim of psychological injury is to ask whether she would have experienced the multiple bouts of Depression at all, or with the same frequency, duration and intensity had there been no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the Supreme Court of Canada commented on the causation test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 key element of the plaintiff's assertion of a causal link between her physical symptoms caused by the Accident and the aggravation of her post-Accident Depression is the snowball effect of her pain and stress due to her financial hardship which she says developed after the Accident. In this regard, the plaintiff asserts that her physical injuries arising from the Accident caused multiple and prolonged work absences that resulted in a reduction of her income. This burdened her financially, making it difficult to meet her monthly mortgage payments and other expenses. She says that she eventually had to redeem her two RRSPs, which were her only savings, and rely on existing and new credit cards to cover expenses. The plaintiff says that soon enough she found herself having to borrow from one credit card to make the minimum payments on others. She testified that her debt load mounted steadily over time. The plaintiff says that her increasingly bleak financial picture (which she attributes to the Accident) was of enormous stress and was instrumental in compounding her Depression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order to assess the validity of the plaintiff's allegation that she experienced near financial calamity on account of the Accident, it is necessary to compare her income in the pre and post-Accident scenarios. In this analysis, I am referring to income in the broad sense of employment earnings, insurance benefits and other funds received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As a preliminary remark, I will say that the financial records in evidence clearly demonstrate that for a number of years before the Accident, the plaintiff did not work full-time hours and thus consistently earned less than her full-time rate of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plaintiff's line 150 income in 2000 reported in her tax return was $30,993. In 2001, her reported line 150 income was $31,700, and in 2002, it was $35,952.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For part of 2003 and 2004 (before the Accident), the plaintiff was on the employer sanctioned 45-week leave where she received both employment income and employment insurance benefits. Her line 150 income for 2003 was $39,269, comprised of $25,640 in earnings and $13,629 in employment insurance benefits. In 2004, her line 150 income was $38,977, plus she received an advance from ICBC in the amount of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2005, the plaintiff's employment earnings were $37,615. She also received the sum of $2,995 in disability benefits that are not subject to income tax. In addition, she redeemed an RRSP for nearly $8,000 that year, bringing the total of gross funds available to $48,610. The plaintiff claims that she was compelled to redeem this RRSP in order to meet her expenses and rising debt load. Interestingly, however, her total gross income for 2005, quite apart from those RRSP proceeds, was superior to her annual gross income in the 4- 1/2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2006, the plaintiff's gross earnings and employment insurance benefits totalled $27,026. She also received $9,076 in disability benefits that are not taxable, for a total of $36,103. Even leaving aside the preferential tax treatment of her disability benefits, the plaintiff's gross income for 2006 exceeded her pre-Accident income in 2001 and 2002, and was not substantially less than her income in 2003 and 2004. Additionally, she received a large tax refund of $3,003, a further advance from ICBC in the amount of $1,500, as well as the redemption proceeds of her second RRSP in the amount of $7,473. These funds tally up to $48,079. In terms of overall gross funds available to the plaintiff, 2006 was a banner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2007, the plaintiff line 150 income was $33,642 and her disability benefits (not subject to tax) were $7,000. Again, the total was greater than her annual income the year of the Accident and during the four years preceding it. She also received a tax refund of almost $800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had no employment earnings in 2008. She received disability benefits in the amount of $1,088 every two weeks amounting to $28,288 annually. They are not taxable in the plaintiff's hands. She is also entitled to receive monthly benefits pursuant to the Canada Pension Plan. She had applied for them before the trial but could not confirm the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plaintiff's global income dipped in 2008. However, when the preferential tax treatment of her disability benefits is taken into account and some allowance is made for even a meagre CPP stipend, her total income in 2008 is not significantly less than the funds available to her in prior years, including for many years before the Accident. Perhaps more to the point in evaluating the plaintiff's assertion that the stress associated with increasing financial pressures brought on by the Accident was a contributing factor to the worsening of her Depression, is the fact that the reduction of funds actually available to her in 2008 materialized after her major depressive episode in 2006, and after she initiated her current medical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Comparison of the gross funds at the plaintiff's disposal before the Accident with those after the Accident does not support the plaintiff's assertion of any Accident induced financial pressure. I conclude that the preponderance of the evidence does not support the plaintiff's contention of any real causal connection between her financial stress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That is not to say that the plaintiff did not experience heightening financial strain after the Accident; it appears that she likely did. The evidence shows that the source of her post-Accident financial stress was probably associated with her increased spending on gambling.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 began to spend time at a newly opened local casino shortly before the Accident. She gambled there often, initially with her sister in 2004 and for at least part of 2005. The plaintiff testified that for the first twelve months or so after the casino opened, she would usually withdraw cash, typically in an amount of between $40 and $80, to take to the casino to gamble and did not use the ATM on the casino premises to obtain cash for gambling. There is, therefore, no reliable record of the amount that she spent gambling between October 2004 through the end of 2005. Her bank records show that during this period, she withdrew a total of $2,820 from the ATM at the casino. That figure includes the sum of $240 withdrawn in December 2004 when she claims she was too broke to purchase Christmas gifts for her extended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plaintiff's cash withdrawals at the casino in 2006 totalled $5,910. A small percentage of that amount represents purchases that she made at the restaurant on site. I think it is reasonable to infer that the plaintiff's presence at the casino restaurant indicates that she also gambled on those occasions, even though she made no withdrawals from the casino ATM on those few dates. The plaintiff gambled every month in 2006, including while she was on her extended medical leave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amount of the plaintiff's withdrawals from the casino ATM in 2007 increased over 2006 by approximately $1,690. In October 2007 alone, while on her current medical leave, she withdrew a total of the $980. Still on leave in November that year, she withdrew another $560. The plaintiff testified that during the month of November 2007, she gambled almost every day. Based on that, I think it highly probable that she spent considerably more on gambling in the month of November than the ATM records would suggest. It is noteworthy also that on November 20, she told Dr. McGregor that she could not afford her medication and that, thereafter, her entitlement to a government subsidy for her prescription costs was reinstated. Upon hearing the plaintiff's complaints of her overwhelming financial constraints back in 2006, Dr. McGregor had arranged for her to participate in the same government assistance plan at that time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2008, the plaintiff had withdrawn $6,000 at the casino ATM as of October. No further banking records were adduced at trial. If she continued to withdraw funds for gambling at that rate, she would have withdrawn approximately the same as she did in 2007, even in the face of knowing that her sole source of income in 2008 was her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find that, in all probability, the plaintiff spent more money gambling than the amounts she withdrew from the casino ATM by a factor of between 10% and 20%, and perhaps slightly more in November 2007. The plaintiff testified that she sometimes won at the casino, but offered little evidence about the magnitude or frequency of her winnings beyond supposing that she was never "behind by more than $500" in any particular month. I have no doubt that she did win on occasion; however, I infer that her winnings in no way approached the amount that she was spending and 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find also that for the most part, the plaintiff did not disclose her gambling pastime with her treating physician. There is a cryptic note made by Dr. McGregor in March 2005 about the plaintiff's gambling. In her records of the plaintiff's visit on September 9, 2007, Dr. McGregor noted "pathological gambling", and made another notation about gambling at the plaintiff's visit eleven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conclude that the source of the plaintiff's post-Accident financial pressure, including the erosion of her savings and increased debt, were the substantial losses she incurred after the Accident at the casino tables. It was unrelated to the injuries that she sustained from the Accident, in any direct or indirect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 has a long history of depressive illness reaching as far back as her adolescence. The evidence establishes that before the Accident, her bouts of Depression were triggered by stressors in her personal life and, since at least 1992, from those arising in her workplace as well. She had been taking antidepressant and anti-anxiety medication for several years prior to the Accident and at the time it occurred. Her Depression was an active condition requiring monitoring and treatment at the time of the Accident. The pattern of the plaintiff's Depression and the sources that exacerbated it did not change in any meaningful way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defence placed considerable emphasis on the fact that the plaintiff did not report psychiatric symptoms of Depression until about sixteen months after the Accident. They assert that this lengthy delay supports their position that the Accident did not cause the plaintiff's Depression. Care must be taken not to overly rely on the temporal relationship between the Accident and the time that the plaintiff first reported active symptoms of Depression to her physician. The onset of depression can be subtle and may be undetectable in its early days. Where it manifests as a reaction to the chronicity of a physical injury and pain, one would expect the symptoms to emerge gradually over time as the chronic injury develops and persists. That expectation strikes me as particularly reasonable where, as here, a plaintiff is already taking antidepressant medication. Having said that, however, in the case at hand, neither the plaintiff nor her longstanding treating physician or psychiatrist appeared to draw a connection between her soft tissue injuries and pain as factors potentially contributing to her Depression until years down the road. Indeed, the plaintiff testified that the fire-alarm incident in September 2007 would have caused her to go on medical leave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In the end, I find that the evidence does not show that the plaintiff's pain and discomfort from her physical injuries caused by the Accident, exacerbated, compounded or intensified her Depression. Having rejected any causal link between the Accident and the plaintiff's post-Accident financial stress, and between the pain and discomfort of her personal injuries and the state of her Depression, Dr. Kline's opinion with respect to the causation of the plaintiff's post-Accident Depression, is not reliable. The plaintiff has not proved that her Depression would not have manifested in the manner it did, </w:t>
      </w:r>
      <w:r>
        <w:rPr>
          <w:rFonts w:ascii="arial" w:eastAsia="arial" w:hAnsi="arial" w:cs="arial"/>
          <w:i/>
          <w:color w:val="000000"/>
          <w:sz w:val="20"/>
          <w:lang w:val="en-US" w:eastAsia="en-US" w:bidi="ar-SA"/>
        </w:rPr>
        <w:t>but for</w:t>
      </w:r>
      <w:r>
        <w:rPr>
          <w:rFonts w:ascii="arial" w:eastAsia="arial" w:hAnsi="arial" w:cs="arial"/>
          <w:color w:val="000000"/>
          <w:sz w:val="20"/>
          <w:lang w:val="en-US" w:eastAsia="en-US" w:bidi="ar-SA"/>
        </w:rPr>
        <w:t xml:space="preserv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Turning next to the plaintiff's claim of psychological symptoms of anxiety and fear around driving, I accept the opinions of Drs. Kline and Donaldson and the plaintiff's evidence, and find that the Accident caused the plaintiff those symptoms. I conclude that she did not discuss them with Dr. McGregor or raise them in any form with a health care provider until her session with Dr. Kline because they manifested infrequently, were extremely mild and fleeting in nature, and were so inconsequential in comparison to her cascading Depression, that she felt no need to have them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There is no debate that the Accident caused the plaintiff soft tissue injuries along the lines described by the plaintiff. I find that she sustained moderate to severe soft tissue injuries to her neck and low back, and suffered other physical symptoms including headaches, dizziness and discomfort in her left hip as she has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controversy with respect to the plaintiff's physical injury pertains to whether her low back injury amounted to a flare-up secondary to a pre-existing facet joint arthropathy, and the intensity and persistence of her symptoms after 2005. I will address those issues in the segment of my reasons dealing with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purpose of damages is to theoretically restore an injured plaintiff to her original position to the extent that monetary damages can do so. A fundamental principle in the assessment of damages is that the defendant must take the plaintiff as he finds her. This is known as the "thin-skull" rule, and embodies important policy considerations as to who should ultimately bear the loss. A companion term often used to refer to a plaintiff whose peculiar psychological makeup makes her more vulnerable to sustaining psychological injury is "egg-shell" personality. Irrespective of the nomenclature (which has fallen out of favour in recent times), the underlying rule is that a plaintiff is to be compensated for the entire extent of the injury, physical and/or psychological. This is so even where owing to some unique feature of the plaintiff, the injury was greater or of a different type than one would expect an average person to sustain, and where the extent of the damage could not reasonably be foreseen by the tortfeasor: </w:t>
      </w:r>
      <w:r>
        <w:rPr>
          <w:rFonts w:ascii="arial" w:eastAsia="arial" w:hAnsi="arial" w:cs="arial"/>
          <w:i/>
          <w:color w:val="000000"/>
          <w:sz w:val="20"/>
          <w:lang w:val="en-US" w:eastAsia="en-US" w:bidi="ar-SA"/>
        </w:rPr>
        <w:t>Cotic v. Gray</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(1981), 124 D.L.R. (3d) 641</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[1996] 8 W.W.R. 239</w:t>
        </w:r>
      </w:hyperlink>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21 B.C.L.R. (3d) 318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issue of whether a plaintiff has a pre-existing condition, be it latent or active, that was rendered symptomatic or otherwise aggravated by the Accident is relevant to the measure of damages. (See generally: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 (T.W.N.) v. Clarke</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Damages may be reduced to reflect the measurable risk that a plaintiff's pre-existing condition would have become symptomatic or worsened even had the plaintiff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defence asserts that the plaintiff's low back pain and related physical symptoms are the result of an aggravation of her degenerative facet joint pathology that predates the Accident. There is no evidence that the plaintiff suffered any difficulties with her low back prior to her motor vehicle accident in 1997. Her low back symptoms caused by that accident appeared to resolve relatively quickly, except for the isolated complaint to Dr. McGregor of L5/S1 discomfort on October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Although Dr. Weiss opined in his report that the Accident had likely caused the plaintiff's facet joint arthropathy, in cross-examination he conceded that he did not have sufficient medical information to say whether that degeneration had been present before the Accident. The plaintiff's other expert, Dr. Dhawan, and the defence expert, Dr. Finlayson, both considered it likely that the plaintiff's facet degeneration pre-existed the Accident, and was rendered symptomatic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am satisfied that the preponderance of the expert evidence indicates that the plaintiff's persistent low back symptoms and related left hip discomfort are secondary to her facet joint arthropathy at L5/S1, and that, in all probability, this degenerative condition pre-existed the Accident. There is evidence that the natural path of this condition is that the symptoms will wax and wane and will flare up for no obvious reason or may cease altogether. Beyond those general remarks, there was little cogent evidence from any expert about the prospect that the plaintiff would have developed her present symptoms at some future time independent of the Accident and, if so, the likelihood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On the poorly developed evidence as it stands, I am prepared to deduct a minimal amount only, namely 5%, from the award of damages for non-pecuniary loss, loss of future earning capacity and the cost of future care, to reflect a slim measurable risk that the plaintiff's pre-existing condition would have caused her low back symptoms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objective of non-pecuniary damages is to compensate a plaintiff's pain, suffering, and loss of enjoyment of life. The essential principle, expressed in a variety of ways, is that fairness and reasonableness of the amount of an award is measured by the adverse impact of the particular injuries on the particular individual plaintiff. Consequently, while fairness is assessed by reference to awards made in comparable cases, it is "impossible to develop a tariff":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hyperlink r:id="rId72" w:history="1">
        <w:r>
          <w:rPr>
            <w:rFonts w:ascii="arial" w:eastAsia="arial" w:hAnsi="arial" w:cs="arial"/>
            <w:i/>
            <w:color w:val="0077CC"/>
            <w:sz w:val="20"/>
            <w:u w:val="single"/>
            <w:shd w:val="clear" w:color="auto" w:fill="FFFFFF"/>
            <w:lang w:val="en-US" w:eastAsia="en-US" w:bidi="ar-SA"/>
          </w:rPr>
          <w:t>129 D.L.R. (3d) 263</w:t>
        </w:r>
      </w:hyperlink>
      <w:r>
        <w:rPr>
          <w:rFonts w:ascii="arial" w:eastAsia="arial" w:hAnsi="arial" w:cs="arial"/>
          <w:color w:val="000000"/>
          <w:sz w:val="20"/>
          <w:lang w:val="en-US" w:eastAsia="en-US" w:bidi="ar-SA"/>
        </w:rPr>
        <w:t xml:space="preserve">. Each case is decided on its own unique facts: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Noriega v. Lewars</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2008 BCSC 1405</w:t>
        </w:r>
      </w:hyperlink>
      <w:r>
        <w:rPr>
          <w:rFonts w:ascii="arial" w:eastAsia="arial" w:hAnsi="arial" w:cs="arial"/>
          <w:color w:val="000000"/>
          <w:sz w:val="20"/>
          <w:lang w:val="en-US" w:eastAsia="en-US" w:bidi="ar-SA"/>
        </w:rPr>
        <w:t>. Because it is not entirely possible to restore a plaintiff to her original position by an award of money, the process is one of assessment and not of mathematical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w:t>
      </w:r>
      <w:hyperlink r:id="rId75"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Kirkpatrick J.A. enumerated a non-exhaustive list of factors to be considered in awarding non-pecuniary damages. They include: the plaintiff's age; the nature of the injury; the severity and duration of the pain; disability; emotional suffering; loss or impairment of life; impairment of family, marital and social relationships; impairment of physical and mental abilities;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 experienced moderate to severe soft tissue injuries to her neck and back as a result of the Accident. Although her shoulders were also implicated and she had initial sleep disturbance and was plagued with low-grade headaches that occasionally developed into migraine-like discomfort, the primary area of injury was her low back and her related left hip discomfort. I accept that during their acute phase, these injuries caused persistent and sometimes severe discomfort and pain to the plaintiff, and disabled her from attending work. Following her leave from work in 2005 and her intensive physiotherapy program, her symptoms improved significantly. She continued to be susceptible to flare-ups of her symptoms throughout the summer of 2005. Her discomfort prompted the plaintiff to attend a program at the CBI which she found considerably beneficial in improving her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find that by the end of 2005, the plaintiff's physical symptoms had largely settled, but had not resolved entirely. She was not restored to her pre-Accident condition at that time. I am satisfied that after that stage, the plaintiff experienced intermittent low back symptoms and associated pain throughout 2006 and continuing forward. Those episodes were infrequent but sufficiently bothersome to prompt her to obtain treatment from Dr. Weiss in late 2007 and endure two excruciating injections. I think that the plaintiff will probably experience intermittent bouts of low back discomfort caused by the Accident into the foreseeable future. The evidence indicates that those episodes will continue to be infrequent and rather mild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accept that the physical symptoms caused by the Accident brought about unwelcome and disruptive changes to the plaintiff's enjoyment and quality of her life, especially during the first twelve months after the Accident. She was no longer the fun-loving and enthusiastic person familiar to her son, sister and co-workers. In time, she was able to gradually reintroduce and enjoy certain pursuits such as walking and some gardening, and bike-riding using her electric bike. I have found it challenging to attempt to parse out the changes in the plaintiff's personality and life which can be said to be attributable to her physical injuries from the Accident, from those associated with her ongoing and severe bouts of Depression, which adversely affected her life but are unconnected to the Accident. I conclude that the enjoyment of certain of her activities was negatively affected at times by her low mood. Even the plaintiff agreed that her gardening could be affected by her mood. While I accept that in the first year or so following the Accident, the plaintiff's physical symptoms made it uncomfortable for her to attend the usual family functions and pursue her normal community and political interests, I find that her sustained withdrawal from those endeavours and detachment from her sister and other extended family, are due to the plaintiff's psychological state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As mentioned earlier, I believe the plaintiff's evidence pertaining to her driving anxiety despite her seemingly very late disclosure of it. Those symptoms have been extremely mild in nature and can hardly be said to have interfered in any real way with the quality or enjoyment of her life. On the plaintiff's own evidence, those symptoms vastly improved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seeks an award for non-pecuniary damages in the range of between $100,000 and $130,000. The defendants have provided case authorities supporting significantly smaller awards of between $30,000 and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Having reviewed the authorities provided by the parties, and considered the totality of the evidence pertaining to the plaintiff's specific circumstances, I conclude that a fair and reasonable award for non-pecuniary damages is $55,000. A deduction of 5% is to be taken to reflect the measurable risk that her low back symptoms would have manifested without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There is no question that the plaintiff is entitled to damages for her past wage loss on account of her physical injuries caused by the Accident. There is no evidence that her driving anxiety caused any loss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plaintiff's economist expert, Douglas Hildebrand, calculated the plaintiff's loss for 2004 and 2005 in the first of his two reports dated September 2008. In reviewing her paystubs, he noted that the sick pay and disability benefits received in respect of the plaintiff's time missed from work in those years were deducted from her biweekly pay. Applying straight arithmetic, Mr. Hildebrand tabulated the total of those deductions and used them to quantify her past wage loss as $4,307 in 2004 and $6,172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defence argues that in light of the plaintiff's settled pattern of taking unpaid RO time to pursue personal interests, it is reasonable to infer that some of her unpaid RO time in 2005 after she had returned from her medical leave and when, by her own account her symptoms had dramatically improved, was taken for reasons unconnected to the Accident. I am not persuaded that the evidence supports that approach. I am satisfied that the plaintiff's wage loss for 2004 and 2005 is as calculated by Mr. Hildebrand and amount to $10,479.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Calculating past wage loss for 2006 until the date of trial has proved to be a far more difficult exercise. Mr. Hildebrand's calculations are not useful because they are built on assumptions that were not proved at trial. The plaintiff's extended medical leave in 2006 and her current one which began in September 2007, are unconnected to the Accident. Consequently, any associated wage loss during those periods is not compensable by the defendants. There is a paucity of reliable evidence showing whether the plaintiff missed any hours or days from work because of her physical symptoms arising from the Accident from 2006 forward. Although there were some Air Canada payroll and work absence documents in evidence, there was no helpful evidence on how to go about interpreting them to ascertain the reasons for her work absences. The plaintiff's post-2005 pay-stubs in evidence offered no greater insight. I conclude that the evidence cannot support a finding that the plaintiff incurred any compensable wage loss after the end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total award under this head is $10,479. I will leave it to counsel to calculate the net amount. They have liberty to apply in the event they are not able to agree.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plaintiff is seeking damages for her diminished earning capacity in the future, attributable to the injuries that she says she will likely continue to suffer into the future as a result of the Accident. Her contention is that due to her chronic physical and psychological conditions caused by the Accident, it is unlikely that she will be able to work in any position in the future. My conclusion that the Accident did not in any way cause or contribute to the plaintiff's Depression after the Accident, significantly undercuts her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issue here is whether the plaintiff's future earning capacity has been impaired or diminished by the physical injuries and driving anxiety caused by the Accident. If it has, then the Court must look at the companion issue of what amount, in light of all the evidence, should she be awarded as compensation for that impairment. Because this is a future loss, the plaintiff need only prove the realistic or substantial possibility, as distinct from a probability, that because of her Accident induced injuries, her earning capacity has been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The law has long recognized that unknown contingencies and uncertain factors make it impossible to calculate lost future earning capacity with any precision. It is because the occurrence of future events is unknown, that allowances must be made for the contingency that the assumptions underlying a proposed award may prove to be wrong. Accordingly, the process of quantification in respect of any impairment is one of assessment based on the evidence, taking into account all relevant positive and negative contingencies: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(2003), 10 B.C.L.R. (4th) 16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Durand v. Bolt</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71 B.C.L.R. (4th) 261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at 59 (C.A.), Southin J.A. made the following clarifying remarks in relation to the concept of future impairment: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In determining whether the plaintiff's earning capacity has been impaired, the court will consider factors such as whether she has been rendered less capable overall of earning income from all types of employment; is less marketable or attractive as a potential employee; has lost the ability to take advantage of all job opportunities that might otherwise have been open; and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my view, the symptoms of driving anxiety have no bearing on the plaintiff's capacity to earn income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accept the evidence that there will probably be a corporate reorganization of some kind soon between Aeroplan and Air Canada which may require the plaintiff to elect to either stay with Aeroplan or work exclusively for Air Canada in some capacity. The nature of the impending changes and the timing of their implementation is by no means clear. I think it likely that whatever the outcome in this regard, the plaintiff will continue to work in a sedentary type position with one or the other entity. Even so, having regard to the legal principles at play, I conclude that the preponderance of the evidence does demonstrate an impairment of the plaintiff's future earning capacity caused by her injuries sustained in the Accident. This is reflected by her need to be ergonomically accommodated in the workplace and the likelihood of her experiencing mild episodic aggravation of her low back symptoms which may require her to occasionally miss a small amount of time from work into the future. In my opinion, the extent of the plaintiff's diminishment is mild; but it exists nonetheless. She is entitled to compensation for that small degree of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Mr. Hildebrand provided calculations intended to assist the Court in the evaluation of the plaintiff's future economic loss in terms of earnings and pension benefits. He also provided a table of multipliers for use in the calculation of the present value of any pattern of future earnings loss. His approach is premised on the footing that the plaintiff would probably be disabled from work permanently due to compensable injuries caused by the Accident, and that </w:t>
      </w:r>
      <w:r>
        <w:rPr>
          <w:rFonts w:ascii="arial" w:eastAsia="arial" w:hAnsi="arial" w:cs="arial"/>
          <w:i/>
          <w:color w:val="000000"/>
          <w:sz w:val="20"/>
          <w:lang w:val="en-US" w:eastAsia="en-US" w:bidi="ar-SA"/>
        </w:rPr>
        <w:t>but for</w:t>
      </w:r>
      <w:r>
        <w:rPr>
          <w:rFonts w:ascii="arial" w:eastAsia="arial" w:hAnsi="arial" w:cs="arial"/>
          <w:color w:val="000000"/>
          <w:sz w:val="20"/>
          <w:lang w:val="en-US" w:eastAsia="en-US" w:bidi="ar-SA"/>
        </w:rPr>
        <w:t xml:space="preserve"> the Accident, she would be working full-time and earning her full-time salary. In light of my findings on the evidence and conclusions on causation, his calculations have little utility in quantifying the plaintiff's modest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Valuation of a future loss may take the form of comparing the respective income streams of what the plaintiff would probably earn but for the Accident, with what she will probably earn in her injured state. However, as noted by the Court of Appeal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that comparison is not conclusive: the overall fairness and reasonableness of the award must also be considered. In assessing quantum in this case, I must consider the usual contingencies as well as the realistic possibility that the plaintiff's Depression may, of itself, prevent her from returning to work, or from working at the same pace as in her pre-Accident days, for years to 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applying the relevant legal principles, taking into account the case authorities relied upon by each side and using my judgment as best I can on the totality of the evidence, I conclude that, in all the circumstances, the sum of $20,000 is a fair and reasonable measure of the present value of the plaintiff's loss of future earning capacity, inclusive of any damages for the negative effects on her pension. This award is also to be discounted by a factor of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The purpose of awarding damages for the cost of future care is to compensate for a financial loss reasonably incurred to sustain or promote the mental and/or physical health of an injured plaintiff. The cost must be justified as reasonable in the sense of being medically required or justified, and in the sense that the plaintiff will be likely to incur them based on the evidence. In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the court summarized the relevant principles in relation to a claim for cost of future care at paras. 163-164: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award for the cost of future care is notional and imprecise in nature: </w:t>
      </w:r>
      <w:r>
        <w:rPr>
          <w:rFonts w:ascii="arial" w:eastAsia="arial" w:hAnsi="arial" w:cs="arial"/>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The court must consider evidence regarding what care is likely in the injured person's best interest and calculate its present cost, with appropriate adjustment for contingencies in all of the circumstances of the case: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support of the plaintiff's claim for damages for cost of future care, she relies on what she characterizes as the recommendations made by Ms. Barr for future physiotherapy, kinesiology and enrolment in similar programs. However, Ms. Barr did not go so far as to recommendation that the plaintiff actually participate in any program. She merely recommended that a physician's opinion ought to be obtained regarding the benefits of the programs she identified. That is not sufficient to justify an award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Dr. Dhawan recommended that the plaintiff embark on a comprehensive therapeutic regimen incorporating several modalities, from core strengthening to expert mood control. There was very little evidence breaking down the costs of the suggested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am persuaded that a customized exercise program aimed at strengthening and stabilizing the plaintiff's low back, and to assist her in the management of her residual physical symptoms caused by the Accident, is reasonably necessary. As best I can decipher based mostly on the evidence of Ms. Waithman, the cost of a session with a personal trainer or kinesiologist would be approximately $37.50 and an annual gym membership would cost approximately $380. An evidentiary foundation supporting damages for housekeeping services has not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my view, the plaintiff is entitled to an award of $1,400 to cover training sessions and a gym membership. This amount reflects the present value of the costs of that care. It also must take a deduction of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plaintiff seeks special damages in the amount of $1,856.76. Included within that aggregate amount are travel and parking costs related to Richmond Mental Health and Dr. Donaldson. They are not compensable I have separated them as best I can from the other travel costs which are compensable. Also incorporated is the cost of an electric bike for the plaintiff as recommended by Dr. Dhawan. That was a rather controversial purchase in the eyes of the defence; however, I am satisfied that it was a proper expenditure incurred as a result of the plaintiff's injuries caused by the Accident. Accordingly, it is allowed. The total award for the plaintiff's special damages is $1,324.26.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in-trust claim for services provided by the son has not been proved and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the event that the parties are unable to reach an agreement on costs, the plaintiff's counsel is at liberty to file written submissions within 60 days of these reasons. Counsel for the defence is to file submissions in response within 45 days of receipt of plaintiff's submissions. Any reply submissions are to be filed within 15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 w:history="1">
        <w:r>
          <w:rPr>
            <w:rFonts w:ascii="arial" w:eastAsia="arial" w:hAnsi="arial" w:cs="arial"/>
            <w:b/>
            <w:bCs/>
            <w:i/>
            <w:color w:val="0077CC"/>
            <w:kern w:val="32"/>
            <w:sz w:val="28"/>
            <w:szCs w:val="32"/>
            <w:u w:val="single"/>
            <w:shd w:val="clear" w:color="auto" w:fill="FFFFFF"/>
            <w:lang w:val="en-US" w:eastAsia="en-US" w:bidi="ar-SA"/>
          </w:rPr>
          <w:t>Boyle v. Insurance Corp. of British Columbia, [2017] B.C.J. No. 1969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9 and 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S182863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1969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2017 BCSC 1762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2017 CarswellBC 2716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[2018] I.L.R. para. I-5999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283 A.C.W.S. (3d) 829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Judith Cindy Boyle, Plaintiff, and Insurance Corporation of British Columbia, Defendant, and Reuben Edward Weiner,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 w:name="Keywords_4"/>
      <w:bookmarkEnd w:id="33"/>
      <w:r>
        <w:rPr>
          <w:rFonts w:ascii="arial" w:eastAsia="arial" w:hAnsi="arial" w:cs="arial"/>
          <w:b/>
          <w:color w:val="000000"/>
          <w:sz w:val="20"/>
          <w:lang w:val="en-US" w:eastAsia="en-US" w:bidi="ar-SA"/>
        </w:rPr>
        <w:t>Insurance law — Actions — By insured against insurer — Defences — Fraud — Misrepresentations or non-disclosure — Practice and procedure — Evidence — Burden of proof — Action by insured for declaration she was entitled to indemnification for claims arising from motor vehicle accidents allowed — Plaintiff lost car keys and her vehicle was involved in two accidents, with her adult son likely driver — Plaintiff's medical conditions affected her precision of evidence — It was accepted that plaintiff did not give son permission to drive, and circumstances were explained by his convalescence at plaintiff's apartment and storage of belongings in vehicle — Defendant did not establish plaintiff made willfully false statements; two statements were not false, and incorrect statement about locating keys was not willful or material.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Automobile insurance — Property damage policy — Exclusions — Action by insured for declaration she was entitled to indemnification for claims arising from motor vehicle accidents allowed — Plaintiff lost car keys and her vehicle was involved in two accidents, with her adult son likely driver — Plaintiff's medical conditions affected her precision of evidence — It was accepted that plaintiff did not give son permission to drive, and circumstances were explained by his convalescence at plaintiff's apartment and storage of belongings in vehicle — Defendant did not establish plaintiff made willfully false statements; two statements were not false, and incorrect statement about locating keys was not willful or material.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Theft and burglary insurance — Coverage — Action by insured for declaration she was entitled to indemnification for claims arising from motor vehicle accidents allowed — Plaintiff lost car keys and her vehicle was involved in two accidents, with her adult son likely driver — Plaintiff's medical conditions affected her precision of evidence — It was accepted that plaintiff did not give son permission to drive, and circumstances were explained by his convalescence at plaintiff's apartment and storage of belongings in vehicle — Defendant did not establish plaintiff made willfully false statements; two statements were not false, and incorrect statement about locating keys was not willful or material.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 w:name="Case Summary_4"/>
            <w:bookmarkEnd w:id="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insured for a declaration she was entitled to be indemnified for claims arising from two motor vehicle accidents. The plaintiff was not driving her vehicle on either occasion and claimed it was stolen and she ought to be indemnified pursuant to her theft coverage with the defendant. The plaintiff had multiple sclerosis and testified it affected her memory. The plaintiff testified she had two sets of car keys and lost one set before the time of the first accident. The plaintiff learned of the first accident when she received a ticket and of the second when the police called her. The plaintiff testified her adult son was staying with her at that time because he was ill, but she never gave him permission to drive, and he had moved out and not contacted her since. The plaintiff testified she allowed her son to store some of his personal belongings in her trunk at that time. The plaintiff admitted she told the defendant she found her lost set of keys, but later realized they were not for that car, and did not correct her statement until examination for discovery. The defendant argued the son was the likely driver and must have had the keys and implied or express consent to drive. The defendant pointed to the anti-theft system that made starting the car without keys nearly impossible, the fact the keys went missing while the son was staying with the plaintiff, the vehicle was returned to the plaintiff's parking lot after the accidents, the vehicle did not contain the plaintiff's walker or handicapped sign, but contained numerous personal effects of the son. The defendant asserted coverage was forfeited, as the plaintiff made willfully false statements about never seeing the son and him not visiting, that she was typically the only person who drove the car, and that she found the keys.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 w:name="Holdings of Court_4"/>
            <w:bookmarkEnd w:id="3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accepted that the plaintiff's serious health problems inhibited her ability to be entirely consistent and accurate in her evidence. It would not assist the plaintiff in any way to manufacture evidence she found the keys; in fact, it would have been in her interest not to find them. It was common ground between the parties that the plaintiff's adult son was the likely driver. The suspicious circumstances alleged by the defendant were explained by the fact the son was staying with the plaintiff during his period of convalescence, and evidence indicated his living arrangements were not settled, so it made sense for him to keep some items in her trunk. The adjuster's evidence on whether there was a walker and disabled sign in the vehicle was not detailed or strong, and there were no photographs. The son was found to have driven the plaintiff's vehicle without her permission. The plaintiff did not make willfully false statements. The statement the son did not visit was made in the present tense and was accurate when made. The plaintiff's use of the word typically with respect to driving her car was inapt, but the statement was not false. The incorrect statement about her keys was not willful, but due to confusion and imprecision, and this was not a material issue.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 w:name="Legislation Cited_2"/>
      <w:bookmarkEnd w:id="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9"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Regulation, </w:t>
      </w:r>
      <w:hyperlink r:id="rId92" w:history="1">
        <w:r>
          <w:rPr>
            <w:rFonts w:ascii="arial" w:eastAsia="arial" w:hAnsi="arial" w:cs="arial"/>
            <w:i/>
            <w:color w:val="0077CC"/>
            <w:sz w:val="20"/>
            <w:u w:val="single"/>
            <w:shd w:val="clear" w:color="auto" w:fill="FFFFFF"/>
            <w:lang w:val="en-US" w:eastAsia="en-US" w:bidi="ar-SA"/>
          </w:rPr>
          <w:t>BC Reg. 447/83, s. 75</w:t>
        </w:r>
      </w:hyperlink>
      <w:r>
        <w:rPr>
          <w:rFonts w:ascii="arial" w:eastAsia="arial" w:hAnsi="arial" w:cs="arial"/>
          <w:color w:val="000000"/>
          <w:sz w:val="20"/>
          <w:lang w:val="en-US" w:eastAsia="en-US" w:bidi="ar-SA"/>
        </w:rPr>
        <w:t>(c)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7" w:name="Counsel_4"/>
      <w:bookmarkEnd w:id="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 Schuld.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 w:name="Judgment_4"/>
      <w:bookmarkEnd w:id="38"/>
      <w:r>
        <w:pict>
          <v:line id="_x0000_s1051"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 w:name="M.B. BLOK J."/>
            <w:bookmarkEnd w:id="39"/>
            <w:r>
              <w:rPr>
                <w:rFonts w:ascii="arial" w:eastAsia="arial" w:hAnsi="arial" w:cs="arial"/>
                <w:b/>
                <w:color w:val="000000"/>
                <w:sz w:val="30"/>
                <w:lang w:val="en-US" w:eastAsia="en-US" w:bidi="ar-SA"/>
              </w:rPr>
              <w:t>M.B. BLOK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insurance coverage case. The plaintiff, Judith Boyle, was the owner of a Jaguar automobile that was involved in two accidents, one on August 23, 2015 (the "August MVA") and the other on September 17, 2015 (the "September MVA"). Ms. Boyle was not driving the car on either occasion. She was unaware of the August MVA and she learned of the September MVA only when she was telephoned by the police in the middle of the night. She says her car was used without her permission, stolen in effect, and so the defendant ought to indemnify her pursuant to her theft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Insurance Corporation of British Columbia ("ICBC") takes the position that Ms. Boyle's son Reuben Weiner ("Reuben") was the likely driver on both of the occasions in question, he must have had keys to the vehicle, and he may have had possession of the car with Ms. Boyle's express or implied consent. Reuben, who the plaintiff suggests has a history of car theft, was prohibited from driving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ICBC's principal defence, however, surrounds the several statements made by Ms. Boyle to ICBC. ICBC alleges that some of her statements were wilfully false and thus coverage is forfeited as a result. Ms. Boyle acknowledges some inconsistencies or other difficulties with her statements but says they were inadvertent and are attributable to her various health and memory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Judith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Boyle is 59 years old. She lives on disability benefits. She suffers from multiple sclerosis (MS), the onset of which took place when she was 41. She has not worked since that time. She also suffers from diabetes, arthritis and osteoporosis.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Boyle said MS is a neurological affliction that affects her body. While it manifests itself in different ways, she said generally "your body doesn't function". In her case, she lost the ability to walk and she then had to re-learn how to do so. She uses a walker for mobility. She also suffers "attacks", which I took to be pain in different parts of her body, including her face and cheeks. These attacks can last months, even years. She said that, at present, her MS status is "pretty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Boyle said MS has also affected her memory. She had no problems with memory prior to the onset of MS but now relies on friends and family, as well as doctors' receptionists, to remember things. She tends to forget appointments, for example. She also has difficulty recalling details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Boyle owned a 2002 Jaguar X-Type car in 2015. She acquired it in May or June of that year. Ms. Boyle said she obtained two sets of keys for the car at the time she purchased it, but at some point she misplaced one of the sets. She thought she might have lost them while bringing groceries in, though she was not sure when it was that she lost them. From that point onwards she used the spare set of keys.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Boyle said she was made aware that her car was involved in an accident in August 2015. She said she lost her set of car keys before that date. She was not aware of the accident at the time, however, and became aware of it only when she received a violation ticket in the 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Boyle was also made aware of the September MVA. A police officer telephoned her in the middle of the night, while she was sleeping. The officer told her that her vehicle was seen driving erratically. An officer called her again a couple of hours later, asking her to see if her car was in the parking lot where she lived. She checked, and it was not there. She testified that she had last used her car a couple of days prior to the telephone call from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Boyle said she had not given permission for anyone to use her car on those two occasions and she had not given her keys to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the telephone call from the police she looked for her car keys but could not find them. She went back to bed. When she got up the next morning she searched again for the keys and found a set. She spoke to someone from ICBC that day and told that person she thought she had found the keys but it later turned out that these were similar-looking keys for her previous vehicle, a Toyota. She realized her mistake later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Ms. Boyle provided several formal and informal statements to ICBC: (1) a telephone report made in October 2015; (2) two written statements (one for each incident) dated February 4, 2016; (3) an examination under oath on June 21, 2016 pursuant to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as amended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and (4) an examination for discovery on March 8,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was in not until her examination for discovery that she corrected her statement about having found a set of keys for the Jaguar. Ms. Boyle said she had never intended to mislead ICBC and until her examination for discovery she had genuinely believed she had located a key for the Jaguar.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Boyle said she has two sons, Reuben and Nathan. They are now 29 and 30 years old, respectively. Their father died when they were young. They both went into the care of the Ministry of Children and Family Development, in foster homes, around age 10. She said she did not have a strong relationship with them. She sees them at times, but not very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Both sons have been in her Jaguar but they have never driven it. She has never told them that they could use the vehicle. She said she has given Reuben rides in it and he has also accompanied her to the grocery store in that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one point, Reuben kept some of his possessions, such as clothes, in the trunk of the Jaguar. He put them there when he was leaving his residence and they stayed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Reuben has been to her residence and he stayed with her for a couple of weeks in August 2015 upon his release from hospital. She let him stay with her because he was sick. She did not give him permission to use the Jaguar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had no contact with Reuben after he moved out. She said she rarely talks to either of her 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Sometime after September 2015 she was contacted by someone from the special investigations unit of ICBC. They left messages on her answering machine. She did not return his calls directly, but instead dealt with it by referring the messages to her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Boyle did not possess an iPhone in 2015. She also did not leave cash in the Jaguar, nor did she leave a butane torch. If these were found in Jaguar at the time of the September MVA they were not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cross-examination, Ms. Boyle said:</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never allowed anyone to use the Jaguar;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allowed Reuben to put some of his things in the Jaguar's trunk when he was moving. She believed this took place after he had stayed with her for a couple of weeks;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aware that both of her sons are prohibited drivers;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make a claim for theft of her vehicle following the August MVA because she was not aware that the car had been taken. Eventually she did make a theft claim;</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time after the August MVA the vehicle was located in the usual parking lot she used. She did not notice anything amiss with the vehicle;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acknowledged that she said in her October 2015 statement that she told the police officer who called her in the night that she could not locate the main keys, but said she was confused and was in fact looking for the second set of keys. She added that "that's what a sleeping pill does", referring to that portion of her statement where she said she was "very groggy" from the effects of a sleeping pill when the officer called her;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only in the last three months prior to trial that she realized the keys she had located were keys for the Toyota. She noted that both are black keys. When she found out these were not keys for the Jaguar she told her lawyer;</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Reuben did not have keys to her apartment;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September MVA Reuben contacted her about items he had retrieved from the Jaguar and he returned her walker and "handicapped" sign, although she was not sure exactly how these were returned;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acknowledged she told ICBC she had not talked to Reuben since September 2015.</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James Larke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Larke is an officer with ICBC's special investigations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Larke telephoned Ms. Boyle on October 28, 2015 and left a message for her to call him. She did not call him back, nor did anyone else call him on her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November 6, 2015 he attended at Ms. Boyle's residence. There was no answer. He left a message asking her to call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Based on information received from the RCMP he noted Reuben's building was within walking distance of Ms. Boyle's building. He estimated that the residences were a five minute walk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Larke prepared a report. He noted the information he gathered showed Reuben was at the scene of the September MVA, the key was in the ignition of the vehicle and that he lived a five minute walk from his mother's residence. The focus of the investigation at that time was on recovery of expenses from Reuben.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Because Ms. Boyle did not return his messages, as far as he was concerned she had not cooperated in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cross-examination Mr. Larke said that his intention in contacting Ms. Boyle was to set up an appointment to take another statement, specifically to address the question of who had access to the Jaguar. He sent no letters to Ms. Boyle and was unaware if anyone else at ICBC sent her any communications asking her to contact him. He did not recall if he ever indicated to her that a failure to contact him would be viewed as a failure to cooperate and he did not know of anyone else at ICBC did that either. Finally, he did not recall if anyone at ICBC told him that Ms. Boyle's lawyer had contacted ICBC.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Heather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Williams is an ICBC adjuster. She was assigned to the file following a theft claim made as a result of the September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information she had on hand indicated that the vehicle was equipped with an immobilizer. Ms. Williams was not concerned about the claim at that point because Ms. Boyle had reported that she was missing some keys.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Williams arranged to have the vehicle towed to ICBC for an inspection. She did not inspect the vehicle herself as this was done by an estimator, who noted that someone had wanted to access the vehicle to retrieve personal items. This led to a telephone call that Ms. Williams had with Reuben. She told Reuben that the car had to be "bio cleared" for hazards before he would be given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telephone call caused Ms. Williams to have some concerns and so she called Ms. Boyle on October 14, 2015 and typed notes as she spoke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Williams said that the police report indicated that the Jaguar been involved in a collision and that Reuben was "possibly seen" fleeing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Williams then made a referral request to the special investigations unit because of the apparent involvement of Reuben. Her opinion at that time was that Ms. Boyle was not involved in a fraud. She said "it appeared to be all to do with Reuben".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Williams said she did not make the ultimate coverage decision. She herself would have granted coverage based on what Ms. Boyle had told her. The matter was referred to another adjuster because legal counsel had become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cross-examination Ms. Williams said:</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Boyle had comprehensive coverage and so she was covered for theft claims;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referred the matter to the special investigations unit to pursue possible recovery against Reuben;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came to the conclusion that Reuben had taken the car without permission;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not concerned about the Jaguar having an immobilizer because Ms. Boyle had said she lost a set of keys;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Boyle had lost one or two sets of keys would not of impacted her conclusion on that point, although they might have looked into the matter further;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never asked Ms. Boyle if her sons had stayed with her at any time in the prior three months;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Boyle's statement about whether her sons visit her was stated in the present tense, that is as of October 2015;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agreed that Ms. Boyle's answers about contact with her sons were not important because Ms. Williams believed that Reuben had taken the car keys without permission.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Richard Sparrow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Sparrow is a material damage appraiser and estimator with ICBC. He is a licensed heavy duty mechanic and also completed most of an apprenticeship in autobody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Sparrow inspected and took photographs of the Jaguar. He saw no indications of theft, such as ignition damage, damage to locks or broken windows. The vehicle had an anti-theft system that made it "almost impossible" to use it without a 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trunk contained a "whole pile" of personal items, such as shoes. Reuben arranged to get some personal effects. He had indicated he wanted to retrieve "his mother's cell phone", walker and cash. He took the money, cell phone, shoes and a pair of pants, "or something like that". Reuben told Mr. Sparrow that his mother would be happy to get the cell phone. He mentioned several times that his mother was particularly anxious about her cell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Sparrow said he did not see a walker in the car. He did not recall if there was a "disabled" sign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Reuben took the items out, some items still remained. Reuben told him that the remaining items were his brother's. He said "I don't want this stuff".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Sparrow clarified one item contained in his report. In his report he describes the retrieved items as including "$600 and an iPhone 6 that had been in the car". He said this should have been "a $600 phone", not $600.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cross-examination, Mr. Sparrow said he did not recover a set of keys in the vehicle. He also said that the cell phone was located in the glove box and that Reuben knew where to find it as he went straight to the glove box to retrieve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Amanda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McDonald is a claims adjuster with ICBC. She handles litigation claims only. She received the file in December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examining the several statements from Ms. Boyle she noted inconsistencies as to the number of keys and what set was missing, and so the decision was made to proceed to examine Ms. Boyle under oath pursuant to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decision was later made to deny coverage on the basis of false statements Ms. Boyle made to ICBC. In this regard two letters were sent, one for each MVA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cross-examination, Ms. McDonald said that she was of the view that the operator of the vehicle on September 17, 2015 had keys to the car. She also said that if she had known that two sets of keys had been lost this would not have affected how she investigated the case. Finally, she said that there was no correspondence sent by ICBC to Ms. Boyle concerning any allegation or consequences of a failure to cooperate on Ms. Boyle's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submits the evidence shows her vehicle was taken without her permission and so she has established claims for theft in both instances. It therefore falls to the defendant to establish a breach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She says that ICBC has failed to show such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submits that proof of a misrepresentation requires: (1) a factually false statement; (2) made wilfully, that is, with intent to deceive; and that (3) the statement or statements are material. She says that ICBC has failed in its proof on all three elements.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submits the plaintiff has not established that her car was taken without permission. In this regard the defendant points to circumstantial evidence that suggests the car was used by Reuben with her permission, including the fact that the allegedly unauthorized use coincided at least approximately with Reuben's stay at his mother's. The defendant also notes the apparent return of the car to its normal parking spot after the August MVA, the car trunk being filled with Reuben's personal effects and the fact that no walker was seen in the vehicle after the September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 submits that the plaintiff made wilfully false statements about: (1) what happened with the two sets of car keys; and (2) her relationship or contacts with 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had also alleged a breach by the plaintiff of her duty to cooperate, but in submissions counsel indicated the defendant was not relying on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parties agree on the general principles applicable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insurance claims the insured has the onus of showing that the loss alleged falls within the perils insured against under the terms of the policy coverage. Once that burden has been met, the onus is on the insurer to prove any affirmative defences, including fraud: </w:t>
      </w:r>
      <w:r>
        <w:rPr>
          <w:rFonts w:ascii="arial" w:eastAsia="arial" w:hAnsi="arial" w:cs="arial"/>
          <w:i/>
          <w:color w:val="000000"/>
          <w:sz w:val="20"/>
          <w:lang w:val="en-US" w:eastAsia="en-US" w:bidi="ar-SA"/>
        </w:rPr>
        <w:t>Bevacqua v. I.C.B.C.</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1999 BCCA 553</w:t>
        </w:r>
      </w:hyperlink>
      <w:r>
        <w:rPr>
          <w:rFonts w:ascii="arial" w:eastAsia="arial" w:hAnsi="arial" w:cs="arial"/>
          <w:color w:val="000000"/>
          <w:sz w:val="20"/>
          <w:lang w:val="en-US" w:eastAsia="en-US" w:bidi="ar-SA"/>
        </w:rPr>
        <w:t>,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the Supreme Court of Canada confirmed that the ordinary standard of proof in civil cases applies even in cases where fraud or other criminal-like conduct is alleged, although the court added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To suggest that depending upon the seriousness, the evidence in the civil case must be scrutinized with greater care implies that in less serious cases the evidence need not be scrutinized with such care. I think it is inappropriate to say that there are legally recognized different levels of scrutiny of the evidence depending upon the seriousness of the case. There is only one legal rule and that is that in all cases, evidence must be scrutinized with care by the trial judge.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Similarly, evidence must always be sufficiently clear, convincing and cogent to satisfy the balance of probabilities test. But again, there is no objective standard to measure sufficiency. In serious cases, like the present, judges may be faced with evidence of events that are alleged to have occurred many years before, where there is little other evidence than that of the plaintiff and defendant. As difficult as the task may be, the judge must make a decision. If a responsible judge finds for the plaintiff, it must be accepted that the evidence was sufficiently clear, convincing and cogent to that judge that the plaintiff satisfied the balance of probabilities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will outline some principles specific to the defence allegation of wilfully false statements under a later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that Ms. Boyle's considerable physical and health problems are a factor in this case. She is a frail individual who has to cope with various physical difficulties. She said these difficulties affect her mentally as well. Her evidence on these points was not challenged. I was left with the impression, and I conclude, that she was doing her best to give an honest and accurate account, both at trial and in her various statements to ICBC, but that her impairments inhibit her ability to be entirely consistent and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issue with the keys is an example of this. She lost the main set but does not know where or exactly when. She thought she found the second set after the September MVA but it turned out these were the wrong keys. It did not assist her case in any way to manufacture that evidence. If anything, it was against her interest to "find" the keys. I conclude she genuinely thought she had found the Jaguar keys when she found keys to her former Toyota vehicle. Other people might not have made such a mistake, but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will return to this later when I discuss the alleged misrepresentations.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common ground that the plaintiff had insurance coverage for theft. The question here is whether the plaintiff has established that her car was taken without her permission on both of the occasions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said she did not give permission for anyone to use her car on those occasions. The defendant says there are circumstances which should cause the Court to disbelieve the plaintiff's assertion of unauthorized use. These are: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fact that the Jaguar had an immobilizer and there were no signs of forced use, a key would have been needed to operate the Jaguar;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 set of keys went missing at about the same time Reuben was staying with the plaintiff, yet she did not make the connection between these events;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Jaguar was returned to the plaintiff's parking lot after the August MVA;</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report the August MVA despite driving the car between the two MVAs;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 contained Reuben's personal effects, suggesting he had use of the vehicle;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ICBC's Mr. Sparrow did not see a walker or handicap sign in the vehicle after the September MVA;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plaintiff's allegedly poor relationship with Reuben they were in "frequent contact" in the relevant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to some of those matters just listed, I note that it is common ground between the parties that the vehicle was likely driven by Reuben on both occasions and that his use of the vehicle was likely effected by using a key. Accordingly, these probable facts do not advance our knowledge about whether that use was authorized or unauthorized.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theory is that Reuben acquired a set of keys around the time he stayed with the plaintiff, but did so without her knowledge. He used the keys to drive the Jaguar, without permission, on the occasion of the August MVA and afterward returned the car to its usual parking lot. The plaintiff did not report the August MVA because she was unaware until later that it had occurred. Reuben used keys, again without permission, on the occasion of the September MVA, this time rendering the Jaguar a total loss in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says that most, if not all, of the circumstances alleged by the defendant to be suspicious are explained by that scenario. I agree, although I will discuss some of those circumstances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First, I note that Ms. Boyle allowed Reuben to stay to stay with her for a couple of weeks in August 2015 due to his illness. This provided him with an opportunity to get the Jaguar keys and use the car. The evidence, however, did not support the defence assertion of "frequent contact" between mother and son outside of that period of convalescence. In all other respects, the plaintiff had little or nothing to do with 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also bear in mind that Ms. Boyle and her sons are far from being a traditional or conventional family unit, an assumption that seems to underlie the defendant's submissions about suspicious circumstances. I agree with the submission of plaintiff's counsel that "some people live very different lives" and I accept that Ms. Boyle and her son ought to be included in that statement. Accordingly, it would be a mistake to make assumptions or inferences based on the lives of typical or conventional people where the lives of the actual people are very different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leads me to the point about Reuben's goods being in the vehicle. The evidence suggests Reuben's living arrangements were not well-settled. Ms. Boyle said she let him put some of his effects in her car when he left his residence. For the reasons discussed earlier, I believe her. Accordingly, this circumstantial evidence does not necessarily lead to the conclusion that the plaintiff's evidence about Reuben's unauthorized use ought to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Finally, there is the evidence of Mr. Sparrow, who said he did not see a walker in the car. He did not recall if there was a "disabled" sign in it, so the defence contention that it was not there was not made out to any substantive degree of likelihood. Mr. Sparrow's evidence on this aspect was not strong. He said there were a lot of goods in the trunk ("a whole pile of personal items"), but he did not provide any detail other than to mention "shoes". I mean no criticism of Mr. Sparrow, as the contents of the trunk were not at all the focus of his inspection, but my impression was that he either did not see, or he did not recall, much of what was in the trunk of the car. His evidence might have been aided by photographs, but Mr. Sparrow said photographs were taken of the trunk's contents only </w:t>
      </w:r>
      <w:r>
        <w:rPr>
          <w:rFonts w:ascii="arial" w:eastAsia="arial" w:hAnsi="arial" w:cs="arial"/>
          <w:i/>
          <w:color w:val="000000"/>
          <w:sz w:val="20"/>
          <w:lang w:val="en-US" w:eastAsia="en-US" w:bidi="ar-SA"/>
        </w:rPr>
        <w:t>after</w:t>
      </w:r>
      <w:r>
        <w:rPr>
          <w:rFonts w:ascii="arial" w:eastAsia="arial" w:hAnsi="arial" w:cs="arial"/>
          <w:color w:val="000000"/>
          <w:sz w:val="20"/>
          <w:lang w:val="en-US" w:eastAsia="en-US" w:bidi="ar-SA"/>
        </w:rPr>
        <w:t xml:space="preserve"> Reuben had "taken stuff out". The items that remained in the trunk ? that is, the items that were photographed ? were those items he did not want.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quality of this evidence is such that I am not satisfied the defendant has shown the plaintiff's walker was not in the trunk.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Ultimately, the issue turns on my assessment of the plaintiff's credibility. The circumstantial evidence alleged by the defendant to be suspicious does not cause me to conclude Ms. Boyle's evidence about unauthorized use of the vehicle ought to be rejected. For the reasons expressed earlier, I believe her, and so I conclude that Reuben drove the plaintiff's vehicle without her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Wilfully False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relevant statutory provision is s. 75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All claims by or in respect of the applicant or insured are invalid and the right of an applicant, an insured, or a person claiming through or on behalf of an applicant or insured or of a person claiming as a dependant of the applicant or the insured, to insurance money under the plan or an optional insurance contract, is forfeited if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insured makes a wilfully false statement with respect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meaning of "wilfully false statements" was considered by our Court of Appeal in </w:t>
      </w:r>
      <w:r>
        <w:rPr>
          <w:rFonts w:ascii="arial" w:eastAsia="arial" w:hAnsi="arial" w:cs="arial"/>
          <w:i/>
          <w:color w:val="000000"/>
          <w:sz w:val="20"/>
          <w:lang w:val="en-US" w:eastAsia="en-US" w:bidi="ar-SA"/>
        </w:rPr>
        <w:t>Peterson v. Bannon</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(1993), 84 B.C.L.R. (2d) 350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Peterson</w:t>
      </w:r>
      <w:r>
        <w:rPr>
          <w:rFonts w:ascii="arial" w:eastAsia="arial" w:hAnsi="arial" w:cs="arial"/>
          <w:color w:val="000000"/>
          <w:sz w:val="20"/>
          <w:lang w:val="en-US" w:eastAsia="en-US" w:bidi="ar-SA"/>
        </w:rPr>
        <w:t>]. There, the court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[46] A wilful act is one done intentionally, knowingly and purposely, without justifiable excuse. A wilful act is to be distinguished from an act done carelessly, thoughtlessly, heedlessly or inadvertently. A wilful act differs essentially from one done negligently.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[47] The onus is on the insurer to prove on a balance of probabilities that the statements in question were wilfully false.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An allegation that an insured has made a wilfully false statement is founded in fraud, and the court will not find fraud where the person making the false statement has an honest belief in its truth: </w:t>
      </w:r>
      <w:r>
        <w:rPr>
          <w:rFonts w:ascii="arial" w:eastAsia="arial" w:hAnsi="arial" w:cs="arial"/>
          <w:i/>
          <w:color w:val="000000"/>
          <w:sz w:val="20"/>
          <w:lang w:val="en-US" w:eastAsia="en-US" w:bidi="ar-SA"/>
        </w:rPr>
        <w:t>Skuratow v. Commonwealth Insurance Co.</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2005 BCCA 515</w:t>
        </w:r>
      </w:hyperlink>
      <w:r>
        <w:rPr>
          <w:rFonts w:ascii="arial" w:eastAsia="arial" w:hAnsi="arial" w:cs="arial"/>
          <w:color w:val="000000"/>
          <w:sz w:val="20"/>
          <w:lang w:val="en-US" w:eastAsia="en-US" w:bidi="ar-SA"/>
        </w:rPr>
        <w:t>,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insurer must also demonstrate that the wilfully false statement was material to the management or payment of the claim. In this regard, "material" means the statement is "capable of affecting the mind of the insurer either in the management of the claim or in deciding to pay it": </w:t>
      </w:r>
      <w:r>
        <w:rPr>
          <w:rFonts w:ascii="arial" w:eastAsia="arial" w:hAnsi="arial" w:cs="arial"/>
          <w:i/>
          <w:color w:val="000000"/>
          <w:sz w:val="20"/>
          <w:lang w:val="en-US" w:eastAsia="en-US" w:bidi="ar-SA"/>
        </w:rPr>
        <w:t>Inland Kenworth Ltd. v. Commonwealth Insurance Co</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(1990), 48 B.C.L.R. (2d) 305</w:t>
        </w:r>
      </w:hyperlink>
      <w:r>
        <w:rPr>
          <w:rFonts w:ascii="arial" w:eastAsia="arial" w:hAnsi="arial" w:cs="arial"/>
          <w:color w:val="000000"/>
          <w:sz w:val="20"/>
          <w:lang w:val="en-US" w:eastAsia="en-US" w:bidi="ar-SA"/>
        </w:rPr>
        <w:t>, at 310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Mere speculation of fraud will not suffice, and there are cases where even very strong speculation and circumstantial evidence have not been sufficient to establish fraud: </w:t>
      </w:r>
      <w:r>
        <w:rPr>
          <w:rFonts w:ascii="arial" w:eastAsia="arial" w:hAnsi="arial" w:cs="arial"/>
          <w:i/>
          <w:color w:val="000000"/>
          <w:sz w:val="20"/>
          <w:lang w:val="en-US" w:eastAsia="en-US" w:bidi="ar-SA"/>
        </w:rPr>
        <w:t>Lexis Holdings Int'l Ltd. v. I.C.B.C.</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2009 BCSC 344</w:t>
        </w:r>
      </w:hyperlink>
      <w:r>
        <w:rPr>
          <w:rFonts w:ascii="arial" w:eastAsia="arial" w:hAnsi="arial" w:cs="arial"/>
          <w:color w:val="000000"/>
          <w:sz w:val="20"/>
          <w:lang w:val="en-US" w:eastAsia="en-US" w:bidi="ar-SA"/>
        </w:rPr>
        <w:t>, at paras. 27 and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says that there were several wilfully false statements, which I distill into three areas: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statement of October 14, 2015 the plaintiff said her sons "do not come and visit me. I have not seen them at all". The defendant says the plaintiff contradicted this statement in her trial testimony, as she acknowledged Reuben lived with her for a time;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statements of February 4, 2016 she said she was the "registered owner and primary operator" of the Jaguar, and "I was typically the only person who drives [the car]". The defendant says this is contradicted by the plaintiff's testimony that she has never allowed anyone else to drive the car;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various, contradictory statements about her keys.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deal with the first two as follows: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("my sons do not come and visit me", etc.) is answered by the testimony of Ms. Williams, who acknowledged that Ms. Boyle was speaking in the present tense, that is, as of October 2015. As of that date Ms. Boyle's statement was correct. The defendant has therefore failed to show this statement was false.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the second set of statements ("primary operator" and "typically the only person who drives [the car]"), I view "primary operator" as being the equivalent to the standard "principal operator" designation on automobile insurance forms. It is not an incorrect statement. I agree that the use of the word "typically" is inapt (and here I note that she used the word "typically" twice more in the same paragraph, as in "I typically use the car..." and the car "is typically parked in an outdoor parking lot"), but ultimately it is not a false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This leaves the statements about the keys. These were as follows: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statement of October 14, 2015: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keys I use for my car all the time were not in my purse. I went to look for my spare in my junk drawer. I didn't look in the right spot when I was first asked to look. I did find the spare in the drawer the next morning.</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statements of February 4, 2015: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 two sets of keys to [the car]. I usually keep one set of keys (the "Main Keys") in my purse ... [and] I usually keep the second set ... in a drawer in my kitchen.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lost possession of the Main Keys in early August 2015. I have not recovered the Main Keys since that time.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examination under oath pursuant to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conducted on June 21, 2016: the plaintiff testified that she located her spare set of keys after the September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concedes the several statements about the keys are factually incorrect, but says the statements were not wilfully false and, in any event, they were not material. Among other things, the defendant says Ms. Boyle had opportunities to correct her statements but did not do so, and so she was reckless or at least not diligent about providing correct information. Specifically, the defendant notes the telephone statement of October 2015 was typed up and sent to Ms. Boyle for her to sign, but she never returned a signed copy. Also, the February 2016 statements were prepared with the assistance of counsel and so one might assume they were prepared with consideration and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am not persuaded that Ms. Boyle's incorrect statements about her car keys were made wilfully, that is intentionally, knowingly and purposely. I accept her evidence that her errors and were the result of confusion or mere imprecision on her part (in particular, about the timing of some events). Her errors were therefore inadvertent and not deliberate. On this point I rely on the evidence generally as well as on my earlier comments concerning Ms. Boyle's credibility. As to the defence comments about lack of care or diligence, Ms. Boyle's errors were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most, which does not suffice as proof of wilfulness, as </w:t>
      </w:r>
      <w:r>
        <w:rPr>
          <w:rFonts w:ascii="arial" w:eastAsia="arial" w:hAnsi="arial" w:cs="arial"/>
          <w:i/>
          <w:color w:val="000000"/>
          <w:sz w:val="20"/>
          <w:lang w:val="en-US" w:eastAsia="en-US" w:bidi="ar-SA"/>
        </w:rPr>
        <w:t>Peterson</w:t>
      </w:r>
      <w:r>
        <w:rPr>
          <w:rFonts w:ascii="arial" w:eastAsia="arial" w:hAnsi="arial" w:cs="arial"/>
          <w:color w:val="000000"/>
          <w:sz w:val="20"/>
          <w:lang w:val="en-US" w:eastAsia="en-US" w:bidi="ar-SA"/>
        </w:rPr>
        <w:t xml:space="preserve"> confirms ("a wilful act differs essentially from one done negligently", at para. 46). The defence proof falls well short of the recklessness or wilful blindness required for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has also failed to establish that Ms. Boyle's statements about the keys were material. Ms. McDonald said if she had known two sets of keys had been lost, not just one, this would not have affected ICBC's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Accordingly, the defendant has failed to establish that her insurance claims were rendered invalid by wilfully false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plaintiff's claim is allowed. There will be a declaration that the plaintiff is entitled to be indemnified against any claims or losses arising out of the two accidents. The plaintiff also claimed damages, presumably for the value of her vehicle, but the parties did not address this specifically. I expect that counsel will be able to work out the wording of the relief in the order, but if not they may re-attend to speak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Unless there are issues on costs that the parties wish to raise, the plaintiff will have her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 w:history="1">
        <w:r>
          <w:rPr>
            <w:rFonts w:ascii="arial" w:eastAsia="arial" w:hAnsi="arial" w:cs="arial"/>
            <w:b/>
            <w:bCs/>
            <w:i/>
            <w:color w:val="0077CC"/>
            <w:kern w:val="32"/>
            <w:sz w:val="28"/>
            <w:szCs w:val="32"/>
            <w:u w:val="single"/>
            <w:shd w:val="clear" w:color="auto" w:fill="FFFFFF"/>
            <w:lang w:val="en-US" w:eastAsia="en-US" w:bidi="ar-SA"/>
          </w:rPr>
          <w:t>P.B. v. R.V.E., [2008] B.C.J. No. 887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S046684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887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613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167 A.C.W.S. (3d) 659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P.B. and J.B., Plaintiffs, and R.V.E., Defendant, and P.B. and J.B.,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0" w:name="Keywords_5"/>
      <w:bookmarkEnd w:id="40"/>
      <w:r>
        <w:rPr>
          <w:rFonts w:ascii="arial" w:eastAsia="arial" w:hAnsi="arial" w:cs="arial"/>
          <w:b/>
          <w:color w:val="000000"/>
          <w:sz w:val="20"/>
          <w:lang w:val="en-US" w:eastAsia="en-US" w:bidi="ar-SA"/>
        </w:rPr>
        <w:t>Civil litigation — Civil procedure — Costs — Assessment or fixing of costs — Considerations — Particular orders — Special orders — Offers to settle — For reprehensible or inefficient conduct — Ruling regarding costs following defendant daughter's successful claim against her stepfather, PB, for sexual and physical abuse — Upon daughter reporting the abuse, parents claimed for defamation — Daughter's claim against mother unsuccessful — As parents were not joint tortfeasors, not appropriate to order costs against mother — Court did not accept daughter's claim for special costs against stepfather for stepfather's improper purpose in commencing litigation, which was to keep daughter "in line", as this was already addressed in punitive damage order — As claims by and against mother were unsuccessful, costs only ordered against stepfather in favour of daughter.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General damages — For personal injuries — Cost of future care — Determination of cost of future care in terms of medication costs of the defendant following the trial judge's conclusion that the defendant's post-traumatic stress disorder and other problems were caused by the plaintiff stepfather's sexual and physical abuse — Court awarded damages against the plaintiff PB of $15,000 for the cost of medication up to trial, and $10,000 for the cost of future medication.</w:t>
      </w:r>
    </w:p>
    <w:p>
      <w:pPr>
        <w:jc w:val="both"/>
        <w:rPr>
          <w:rFonts w:ascii="arial" w:eastAsia="arial" w:hAnsi="arial" w:cs="arial"/>
          <w:sz w:val="20"/>
          <w:lang w:val="en-US" w:eastAsia="en-US" w:bidi="ar-SA"/>
        </w:rPr>
      </w:pPr>
      <w:bookmarkStart w:id="41" w:name="Legislation Cited_3"/>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4"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Rule 37, Rule 37(31)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2" w:name="Counsel_5"/>
      <w:bookmarkEnd w:id="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and Defendants by Counterclaim: G.A. Pyper.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M.R. Ellis,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3" w:name="Judgment_5"/>
      <w:bookmarkEnd w:id="43"/>
      <w:r>
        <w:pict>
          <v:line id="_x0000_s1056"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4" w:name="J.S. SIGURDSON J."/>
            <w:bookmarkEnd w:id="44"/>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my reasons for judgment in this action dated October 25, 2007 [</w:t>
      </w:r>
      <w:hyperlink r:id="rId106" w:history="1">
        <w:r>
          <w:rPr>
            <w:rFonts w:ascii="arial" w:eastAsia="arial" w:hAnsi="arial" w:cs="arial"/>
            <w:i/>
            <w:color w:val="0077CC"/>
            <w:sz w:val="20"/>
            <w:u w:val="single"/>
            <w:shd w:val="clear" w:color="auto" w:fill="FFFFFF"/>
            <w:lang w:val="en-US" w:eastAsia="en-US" w:bidi="ar-SA"/>
          </w:rPr>
          <w:t>2007 BCSC 1568</w:t>
        </w:r>
      </w:hyperlink>
      <w:r>
        <w:rPr>
          <w:rFonts w:ascii="arial" w:eastAsia="arial" w:hAnsi="arial" w:cs="arial"/>
          <w:color w:val="000000"/>
          <w:sz w:val="20"/>
          <w:lang w:val="en-US" w:eastAsia="en-US" w:bidi="ar-SA"/>
        </w:rPr>
        <w:t>], I invited the parties to make further submissions on the cost of future care in terms of the medication costs of the defendant, R.V.E., and as well on the issue of costs: see para. 318.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My conclusion on causation and damages was set out in para. 296, which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in summary, I conclude that it has been proven on a balance of probabilities that the cause of R.V.E.'s post-traumatic stress disorder, anxiety disorder and personality problems was the plaintiff's sexual and physical abuse. In terms of depression, I accept Dr. O'Shaughnessy's opinion that it is probable that the sexual abuse played a significant role, causing the initial depression, but other factors, i.e. chronic pain from the accidents and arthritis added to the severity of this mood disorder. I also accept his opinion that her alcohol abuse would not have occurred had the sexual abuse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claims for the cost of medication, both before and after the trial, in connection with treatment of her post-traumatic stress disorder, anxiety disorder, and personality problems, including as well in part for her chronic pain, given the suggestion of a bi-directional relationship between depression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Ellis, counsel for the defendant, suggests that the evidence shows that during the period of January 1, 2001 to December 31, 2006, R.V.E. spent an average of $1,479.60 per year on the following drugs: Zopiclone, Dexadrine Spansule, Fluoxetine, Clonazapam, Sertraline, Methoprazine, and Gabapentin.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Ellis submits that these drugs are anti-depressant drugs or are for night time sedation, and are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Ellis argues that fifty percent of the cost of the pain medication should be attributed to the psychological condition created by the tortious conduct of the plaintiff, P.B., which she roughly estimates at $1,000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Her submission is that the defendant should receive $1,500 per year for drugs for anxiety, depression, and pain, starting in 1993. From 2001 to 2007 inclusive, she argues the defendant should receive $1,500 for drugs for anxiety and depression, and $1,000 for drugs for pain medication. From 2008 onward until the defendant's anticipated retirement in 11 years, Ms. Ellis submits she should receive $2,500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Pyper, counsel for the plaintiff, argued that it has not been established that this medication is needed for the conditions for which the plaintiff P.B.'s conduct was responsible, and that there are other causes identified in my reasons for judgment. Mr. Pyper submits there is no evidence that the defendant had to pay for these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have concluded that R.V.E. has established by her evidence at trial that she paid for the medications described in Exhibit 8 at trial, either directly or through a long-term disability plan for which she paid. Although the evidence on that topic was brief and the burden is on the defendant by counterclaim (claimant) to show that she paid directly or indirectly for the medications, I am satisfied that she did: </w:t>
      </w:r>
      <w:r>
        <w:rPr>
          <w:rFonts w:ascii="arial" w:eastAsia="arial" w:hAnsi="arial" w:cs="arial"/>
          <w:b/>
          <w:i/>
          <w:color w:val="000000"/>
          <w:sz w:val="20"/>
          <w:lang w:val="en-US" w:eastAsia="en-US" w:bidi="ar-SA"/>
        </w:rPr>
        <w:t>Ratych v. Bloomer</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Cunningham v. Wheeler</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 On the evidence, I find that the prescription drugs used by R.V.E. during the six year period before trial represents a reasonable approximation of her past cost and her future use. Ms. Ellis argues that I should not discount the cost for its present value given the historical increase in the cost of prescription medications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assessing the amount of this claim for the cost of medication past and future, I must take into consideration the fact that the evidence is imprecise, and that there are other conditions for which R.V.E. requires medication that were not caused by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Doing the best I can on the evidence before me, I award as damages against P.B. the sum of $15,000 for the cost of medication up to trial, and $10,000 for the cost of future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now turn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position is that as the claim by her mother, J.B., against her, and the defendant's claim against J.B., for respectively, defamation and breach of fiduciary duty, were both unsuccessful, there should be no costs either way in the litigation involving R.V.E. and J.B.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P.B., the defendant's counsel points out that in August 2005, the defendant delivered an offer to settle for the sum of $160,000. That offer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[P.B. and J.B.]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[R.V.E.], offers to settle the claims in this proceeding on the following terms: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by the plaintiffs to the defendant of $160,000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to the defendant in accordance with Rules 37(22)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says that as the judgment, even without the costs of medication, slightly exceeded the settlement offer, R.V.E. should have ordinary costs to August 4, 2005 and double costs thereafter. Alternatively, the defendant seeks special costs (but if her position is correct on the offer to settle, and the defendant is entitled to double costs from P.B., then the defendant makes no claim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have concluded that the defendant is not entitled to double costs pursuant to Rule 37 because the conditions required under Rule 37 were not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the judgment against P.B. exceeded the offer to settle, it was less than the amount awarded against J.B., as no judgment was made against J.B.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offer to settle was apparently made under Rule 37(31),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than in an action for defamation, if several defendants are sued jointly, a plaintiff may not make an offer to settle except jointly to all defendants, and a defendant may not make an offer to settle except jointly with all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issue before me is how Rule 37(31) applies in these circumstances. Ms. Ellis says that the plaintiffs were sued jointly, that her offer complied with Rule 37(31), and the result was better than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Canadian Forest Products Ltd. v. B.C. Rail Ltd.</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2005 BCCA 460</w:t>
        </w:r>
      </w:hyperlink>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51 B.C.L.R. (4th) 34</w:t>
        </w:r>
      </w:hyperlink>
      <w:r>
        <w:rPr>
          <w:rFonts w:ascii="arial" w:eastAsia="arial" w:hAnsi="arial" w:cs="arial"/>
          <w:color w:val="000000"/>
          <w:sz w:val="20"/>
          <w:lang w:val="en-US" w:eastAsia="en-US" w:bidi="ar-SA"/>
        </w:rPr>
        <w:t xml:space="preserve"> (C.A.); leave to appeal ref'd, </w:t>
      </w:r>
      <w:hyperlink r:id="rId110" w:history="1">
        <w:r>
          <w:rPr>
            <w:rFonts w:ascii="arial" w:eastAsia="arial" w:hAnsi="arial" w:cs="arial"/>
            <w:i/>
            <w:color w:val="0077CC"/>
            <w:sz w:val="20"/>
            <w:u w:val="single"/>
            <w:shd w:val="clear" w:color="auto" w:fill="FFFFFF"/>
            <w:lang w:val="en-US" w:eastAsia="en-US" w:bidi="ar-SA"/>
          </w:rPr>
          <w:t>[2005] S.C.C.A. No. 436</w:t>
        </w:r>
      </w:hyperlink>
      <w:r>
        <w:rPr>
          <w:rFonts w:ascii="arial" w:eastAsia="arial" w:hAnsi="arial" w:cs="arial"/>
          <w:color w:val="000000"/>
          <w:sz w:val="20"/>
          <w:lang w:val="en-US" w:eastAsia="en-US" w:bidi="ar-SA"/>
        </w:rPr>
        <w:t xml:space="preserve"> (S.C.C.), Rowles J.A. said at para. 26-28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submission of B.C. Rail that the offer contemplated by Rule 37(2) is one made by one party to another party in the same proceeding and does not authorize, for example, the making of "global" offers by multiple parties in multiple actions heard together. An exception is created by Rule 37(31) where there are multiple defendants in the same proceeding and those defendants are sued jointly.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Brown v. Lowe</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(2002), 97 B.C.L.R. (3d) 246</w:t>
        </w:r>
      </w:hyperlink>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Southin J.A., for the majority, considered the meaning of the phrase "sued jointly" in Rule 37(31) and concluded that it referred to circumstances in which the defendants are pursued as joint tortfeasors, not simply where one or more of the defendants are alleged to be liable for the damages suffered by the plaintiff. After setting out Rule 37(31), Southin J.A. said (at paragraph 156):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all respect, the defendants here were not sued "jointly". Under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their liability is joint but they are not joint tortfeasors. The cause of action against each is several. Tortfeasors can only be said to be sued "jointly" if they have joined together in committing the tort and the liability of the one is the liability of the other, e.g. if two landowners agree to enter upon the land of another and cut down his trees.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distinction made by Southin J.A. in the foregoing paragraph, with which I respectfully agree, has application here. Canfor did not allege that the defendants were joint tortfeasors. Just as multiple defendants who are not sued jointly are unable to make a valid global offer to a plaintiff under Rule 37, so too is a plaintiff unable to make a valid global offer to multiple defendants who are not sued jointly. The same considerations apply. To avail itself of the costs consequences prescribed by Rule 37, Canfor would have had to make individual offers to settle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result, she held that Canfor was not entitled to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have concluded that the plaintiffs were not sued as joint tortfeasors in this case. Although there was some overlap in the pleadings, the essential claims that were advanced were different: the claims against P.B. were for sexual assault and battery; and the claims advanced against J.B. were for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such, they were not sued jointly as Rule 37(31) contemplates and a joint offer could not be made to them. As such, the defendant R.V.E. is not entitled to double costs against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then turn to the issue of whether R.V.E. is entitled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test for special costs is well known and is set out in </w:t>
      </w:r>
      <w:r>
        <w:rPr>
          <w:rFonts w:ascii="arial" w:eastAsia="arial" w:hAnsi="arial" w:cs="arial"/>
          <w:b/>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at para. 17 (C.A.) and </w:t>
      </w:r>
      <w:r>
        <w:rPr>
          <w:rFonts w:ascii="arial" w:eastAsia="arial" w:hAnsi="arial" w:cs="arial"/>
          <w:b/>
          <w:i/>
          <w:color w:val="000000"/>
          <w:sz w:val="20"/>
          <w:lang w:val="en-US" w:eastAsia="en-US" w:bidi="ar-SA"/>
        </w:rPr>
        <w:t>Leung v. Leung</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xml:space="preserve"> (S.C.). In the latter case, Chief Justice Esson, as he then was, said,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test for awarding such costs was stated thus by Lambert, J.A. in </w:t>
      </w:r>
      <w:r>
        <w:rPr>
          <w:rFonts w:ascii="arial" w:eastAsia="arial" w:hAnsi="arial" w:cs="arial"/>
          <w:i/>
          <w:color w:val="000000"/>
          <w:sz w:val="20"/>
          <w:lang w:val="en-US" w:eastAsia="en-US" w:bidi="ar-SA"/>
        </w:rPr>
        <w:t>Stiles v. British Columbia (Workers' Compensation Board)</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(C.A). at 311: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solicitor-and-client costs should not be awarded unless there is some form of reprehensible conduct, either in the circumstances giving rise to the cause of action, or in the proceedings, which makes such costs desirable as a form of chastisement. The words "scandalous" and "outrageous" have also been 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nothing in the conduct of Mr. Leung in relation to this matter which I would call "scandalous" or "outrageous". But "reprehensible" is a word of wide meaning. It can include conduct which is scandalous, outrageous or constitutes misbehaviour; but it also includes milder forms of misconduct. It means simply "deserving of reproof or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conduct that the defendant points to as justifying special costs is conduct related to the commencement of the litigation. Although the defendant suggested that there was some collusion of witnesses in order to deceive the court, the central submission for special costs, as I understood it, was the plaintiff P.B.'s commencement of an action against his daughter for defamation as an attempt to "keep her in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jurisdiction to award special costs for pre-litigation conduct is limited, but it is available in certain circumstances. These authorities were reviewed by Parrett J. in </w:t>
      </w:r>
      <w:r>
        <w:rPr>
          <w:rFonts w:ascii="arial" w:eastAsia="arial" w:hAnsi="arial" w:cs="arial"/>
          <w:b/>
          <w:i/>
          <w:color w:val="000000"/>
          <w:sz w:val="20"/>
          <w:lang w:val="en-US" w:eastAsia="en-US" w:bidi="ar-SA"/>
        </w:rPr>
        <w:t>Wiebe v. Gunderson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2003 BCSC 1931</w:t>
        </w:r>
      </w:hyperlink>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46 C.P.C. (5th) 272</w:t>
        </w:r>
      </w:hyperlink>
      <w:r>
        <w:rPr>
          <w:rFonts w:ascii="arial" w:eastAsia="arial" w:hAnsi="arial" w:cs="arial"/>
          <w:color w:val="000000"/>
          <w:sz w:val="20"/>
          <w:lang w:val="en-US" w:eastAsia="en-US" w:bidi="ar-SA"/>
        </w:rPr>
        <w:t xml:space="preserve"> at paras. 13-16; damage award varied on appeal, </w:t>
      </w:r>
      <w:hyperlink r:id="rId116" w:history="1">
        <w:r>
          <w:rPr>
            <w:rFonts w:ascii="arial" w:eastAsia="arial" w:hAnsi="arial" w:cs="arial"/>
            <w:i/>
            <w:color w:val="0077CC"/>
            <w:sz w:val="20"/>
            <w:u w:val="single"/>
            <w:shd w:val="clear" w:color="auto" w:fill="FFFFFF"/>
            <w:lang w:val="en-US" w:eastAsia="en-US" w:bidi="ar-SA"/>
          </w:rPr>
          <w:t>2004 BCCA 456</w:t>
        </w:r>
      </w:hyperlink>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243 D.L.R. (4th) 1</w:t>
        </w:r>
      </w:hyperlink>
      <w:r>
        <w:rPr>
          <w:rFonts w:ascii="arial" w:eastAsia="arial" w:hAnsi="arial" w:cs="arial"/>
          <w:color w:val="000000"/>
          <w:sz w:val="20"/>
          <w:lang w:val="en-US" w:eastAsia="en-US" w:bidi="ar-SA"/>
        </w:rPr>
        <w:t xml:space="preserve"> (C.A.), costs order at trial not varied, </w:t>
      </w:r>
      <w:hyperlink r:id="rId117" w:history="1">
        <w:r>
          <w:rPr>
            <w:rFonts w:ascii="arial" w:eastAsia="arial" w:hAnsi="arial" w:cs="arial"/>
            <w:i/>
            <w:color w:val="0077CC"/>
            <w:sz w:val="20"/>
            <w:u w:val="single"/>
            <w:shd w:val="clear" w:color="auto" w:fill="FFFFFF"/>
            <w:lang w:val="en-US" w:eastAsia="en-US" w:bidi="ar-SA"/>
          </w:rPr>
          <w:t>2004 BCCA 606</w:t>
        </w:r>
      </w:hyperlink>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27 C.C.L.T. (3d) 211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Wild Dunes Holdings Inc. v. Hackett</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[1999] B.C.J. No. 372</w:t>
        </w:r>
      </w:hyperlink>
      <w:r>
        <w:rPr>
          <w:rFonts w:ascii="arial" w:eastAsia="arial" w:hAnsi="arial" w:cs="arial"/>
          <w:color w:val="000000"/>
          <w:sz w:val="20"/>
          <w:lang w:val="en-US" w:eastAsia="en-US" w:bidi="ar-SA"/>
        </w:rPr>
        <w:t>, 1999 CarswellBC 325, Macaulay J. reached a similar conclusion. After reviewing a series of decisions on special costs he concludes, at paras. 7 and 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None of these cases involved findings of fraudulent conduct during the pre-litigation stage not otherwise addressed by a claim for punitive or aggravated damages. Although the circumstances justifying the exercise of judicial discretion to award special costs solely for pre-litigation reprehensible conduct may well be limited, I am not persuaded that there are no such circumstances. Neither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nor </w:t>
      </w:r>
      <w:r>
        <w:rPr>
          <w:rFonts w:ascii="arial" w:eastAsia="arial" w:hAnsi="arial" w:cs="arial"/>
          <w:i/>
          <w:color w:val="000000"/>
          <w:sz w:val="20"/>
          <w:lang w:val="en-US" w:eastAsia="en-US" w:bidi="ar-SA"/>
        </w:rPr>
        <w:t>Stiles v. British Columbia (Workers' Compensation Board)</w:t>
      </w:r>
      <w:r>
        <w:rPr>
          <w:rFonts w:ascii="arial" w:eastAsia="arial" w:hAnsi="arial" w:cs="arial"/>
          <w:color w:val="000000"/>
          <w:sz w:val="20"/>
          <w:lang w:val="en-US" w:eastAsia="en-US" w:bidi="ar-SA"/>
        </w:rPr>
        <w:t xml:space="preserve"> (1989), 38 B.C.L.R. (2d) 3[0]7 (B.C.C.A.) referred to with approval, exclude the possibility of an award of special costs for reprehensible conduct in the circumstances giving rise to the action. As pointed out in </w:t>
      </w:r>
      <w:r>
        <w:rPr>
          <w:rFonts w:ascii="arial" w:eastAsia="arial" w:hAnsi="arial" w:cs="arial"/>
          <w:i/>
          <w:color w:val="000000"/>
          <w:sz w:val="20"/>
          <w:lang w:val="en-US" w:eastAsia="en-US" w:bidi="ar-SA"/>
        </w:rPr>
        <w:t>Stiles</w:t>
      </w:r>
      <w:r>
        <w:rPr>
          <w:rFonts w:ascii="arial" w:eastAsia="arial" w:hAnsi="arial" w:cs="arial"/>
          <w:color w:val="000000"/>
          <w:sz w:val="20"/>
          <w:lang w:val="en-US" w:eastAsia="en-US" w:bidi="ar-SA"/>
        </w:rPr>
        <w:t xml:space="preserve">, this results in part from the wide measure of discretion described in </w:t>
      </w:r>
      <w:r>
        <w:rPr>
          <w:rFonts w:ascii="arial" w:eastAsia="arial" w:hAnsi="arial" w:cs="arial"/>
          <w:i/>
          <w:color w:val="000000"/>
          <w:sz w:val="20"/>
          <w:lang w:val="en-US" w:eastAsia="en-US" w:bidi="ar-SA"/>
        </w:rPr>
        <w:t>Oasis Hotel</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[1981] B.C.J. No. 690</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 Accordingly, I am satisfied that I have jurisdiction to order special costs not just in relation to reprehensible conduct during an action, but also in relation to such conduct giving rise to the cause of action where it has not otherwise been addressed. Here, I would not have hesitated to order special costs against Markert and Butler if the plaintiff had proved damages flowing from deceit, nor would I have hesitated to order special costs against all defendants if the conspiracy allegations were proven. In both cases, the proof was deficient and accordingly, I am not prepared to order special costs against the defendants found liable on different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same principle was adopted by our Court of Appeal in </w:t>
      </w:r>
      <w:r>
        <w:rPr>
          <w:rFonts w:ascii="arial" w:eastAsia="arial" w:hAnsi="arial" w:cs="arial"/>
          <w:b/>
          <w:i/>
          <w:color w:val="000000"/>
          <w:sz w:val="20"/>
          <w:lang w:val="en-US" w:eastAsia="en-US" w:bidi="ar-SA"/>
        </w:rPr>
        <w:t>Sun Life Assurance of Canada v. Ritchie</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[2000] 6 W.W.R. 480</w:t>
        </w:r>
      </w:hyperlink>
      <w:r>
        <w:rPr>
          <w:rFonts w:ascii="arial" w:eastAsia="arial" w:hAnsi="arial" w:cs="arial"/>
          <w:color w:val="000000"/>
          <w:sz w:val="20"/>
          <w:lang w:val="en-US" w:eastAsia="en-US" w:bidi="ar-SA"/>
        </w:rPr>
        <w:t>, where Lambert, J.A., in giving the court's decision, notes at para. 54: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54 Special costs are usually awarded only in relation to misconduct in the course of the litigation itself. However, there may arise circumstances where special costs may be awarded because of reprehensible conduct giving rise to the litigation, particularly where the fruits of the litigation do not provide any appropriate compensation in relation to the reprehensible conduct. In this case the action itself seeks to invoke a penalty provision. The amount of the penalty in this case is commensurate with the loss caused by the fraud. There was no misconduct in the course of the litigation itself. I would allow the appeal from the order of special costs and substitute an award of costs in accordance with the tariff.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decisions were reviewed by Edwards, J., in </w:t>
      </w:r>
      <w:r>
        <w:rPr>
          <w:rFonts w:ascii="arial" w:eastAsia="arial" w:hAnsi="arial" w:cs="arial"/>
          <w:b/>
          <w:i/>
          <w:color w:val="000000"/>
          <w:sz w:val="20"/>
          <w:lang w:val="en-US" w:eastAsia="en-US" w:bidi="ar-SA"/>
        </w:rPr>
        <w:t>Golden Capital Securities Ltd. v. Holmes</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2003 BCSC 1265</w:t>
        </w:r>
      </w:hyperlink>
      <w:r>
        <w:rPr>
          <w:rFonts w:ascii="arial" w:eastAsia="arial" w:hAnsi="arial" w:cs="arial"/>
          <w:color w:val="000000"/>
          <w:sz w:val="20"/>
          <w:lang w:val="en-US" w:eastAsia="en-US" w:bidi="ar-SA"/>
        </w:rPr>
        <w:t>, before concluding, at para. 167,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Put another way, where an order for special costs is the only method in which the court can demonstrate its disapproval for the misconduct, such an order is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authorities in this province seem to clearly establish a principle that in appropriate cases the court may look to reprehensible conduct giving rise to the litigation. I prefer conceptually to consider such a factor within the boundaries of the litigation itself. Where a cause of action is founded in deceit or fraud and those claims have been defended unsuccessfully at trial the conduct giving rise to the cause of action has been brought within the litigation process and, in appropriate circumstances, an award of special costs may be made. To extend the reach of R. 57 to conduct prior to the commencement of the action itself otherwise seems to me to stretch the boundaries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Although there is merit to the defendant's counsel's point that there was improper conduct on the part of P.B. in starting the action to keep his step-daughter "in line", I have already taken this into account in the assessment of punitive damages. This is reflected in my reasons when I considered the fact that "P.B. met his daughter's report to other family members of the sexual abuse with a defamation action to stop her from speaking" [para.311].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such, although I have concluded that this is not an appropriate case for special costs, the appropriate order in the circumstances is that the defendant R.V.E. receive costs for a matter of ordinary difficulty from P.B. Because the claims by and against J.B. were both unsuccessful, there will be no order for costs between the plaintiff J.B. and the defendant 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Campbell River School District No. 72 v. IBI Group Consultants Ltd., [2007] B.C.J. No. 399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Rice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14 - 15, 2006 and January 25,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SO42535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399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B.C.L.R. (4th) 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B.L.R. (4th) 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61 C.L.R. (3d) 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1210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440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Board of School Trustees of School District No. 72 (Campbell River), Plaintiff, and IBI Group Consultants Ltd., IBI Group Architects, N.A. Irwin Consulting Limited, Beinhaker Design Services Ltd., Ewen S. Fisher Management Inc., M. Blumberg Design Services Ltd., Scott Stewart &amp; Associates Limited, DHA Design Group Inc., E.A. Patton Design Services Inc., Peter Zurawel Design Services Ltd., TJ McIntyre Design Group Ltd., Precision Civil Installations Ltd., J.F. Butler &amp; Sons Ltd., Status Electrical Corporation, Sky-Tech Products Ltd., Standard Roofing Corporation and Sunco Drywall Ltd., Defendants, and Torry &amp; Sons Plumbing &amp; Heating Ltd. and Bill Torry Holdings Corp.,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5" w:name="Keywords_6"/>
      <w:bookmarkEnd w:id="45"/>
      <w:r>
        <w:rPr>
          <w:rFonts w:ascii="arial" w:eastAsia="arial" w:hAnsi="arial" w:cs="arial"/>
          <w:b/>
          <w:color w:val="000000"/>
          <w:sz w:val="20"/>
          <w:lang w:val="en-US" w:eastAsia="en-US" w:bidi="ar-SA"/>
        </w:rPr>
        <w:t>Civil procedure — Judgments and orders — Summary judgments — To dismiss action — The action for damages due to the alleged faulty design and construction of a school was dismissed as against the applicant defendants for being statute-barred — The agreement clearly specified a limitation period of six years with no provision, express or implied, for discoverability.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Construction law — Liability of contractors and subcontractors — Defences — Expiry of warranty or limitation period — The action for damages due to the alleged faulty design and construction of a school was dismissed as against the applicant defendants for being statute-barred — The agreement clearly specified a limitation period of six years with no provision, express or implied, for discoverability.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Time — When time begins to run — The action for damages due to the alleged faulty design and construction of a school was dismissed as against the applicant defendants for being statute-barred — The agreement clearly specified a limitation period of six years with no provision, express or implied, for discoverability.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Topics — Torts — Construction law — The action for damages due to the alleged faulty design and construction of a school was dismissed as against the applicant defendants for being statute-barred — The agreement clearly specified a limitation period of six years with no provision, express or implied, for discoverability.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6" w:name="Case Summary_5"/>
            <w:bookmarkEnd w:id="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group of the multiple defendants brought an application to summarily dismiss the plaintiff school board's claim against them on the grounds that it was statute-barred by virtue of a limitation clause in an agreement between the plaintiff and the defendant IBI Group Consultants Ltd. -- In the underlying action, the school board contended that leakage problems at an elementary school were due to the faulty design and construction of the school by the group in 1993 and 1994 -- The question was when the six-year limitation period in the agreement began to run, either from the certified date of substantial completion, or when the faults were discovered or became discoverable -- HELD: The application was granted; the claims were statute-barred -- The agreement clearly specified a limitation period of six years with no provision, express or implied, for discoverability -- The parties chose to exclude discoverability -- There was nothing unconscionable or unfair to exclude discoverability in the case at bar -- This was a sizeable commercial transaction between sophisticated parties and there is nothing about it that would constitute an affront to public policy or outweigh the intent of the parties as the court found it to be.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Legislation Cited_4"/>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9"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Builders Lien Act,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Builders Lien Act, R.S.B.C. 1979, c.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8" w:name="Counsel_6"/>
      <w:bookmarkEnd w:id="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Brian M. Samuels.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IBI Defendants: Gregory S. Miller.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6"/>
      <w:bookmarkEnd w:id="49"/>
      <w:r>
        <w:pict>
          <v:line id="_x0000_s1061" style="position:absolute;z-index:25181900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12, 2007.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RICE J."/>
            <w:bookmarkEnd w:id="50"/>
            <w:r>
              <w:rPr>
                <w:rFonts w:ascii="arial" w:eastAsia="arial" w:hAnsi="arial" w:cs="arial"/>
                <w:b/>
                <w:color w:val="000000"/>
                <w:sz w:val="30"/>
                <w:lang w:val="en-US" w:eastAsia="en-US" w:bidi="ar-SA"/>
              </w:rPr>
              <w:t>RICE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is brought pursuant to Rule 18A by a group of the defendants for dismissal of the plaintiff's claims against them in this action. The group alleges that the plaintiff's right to commence action was statute barred by a limitation clause in an agreement between the plaintiff School Board and the defendant IBI Group Consultants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applicant defendants (collectively the "IBI Group") include IBI Group Consultants Ltd., IBI Group Architects, N.A. Irwin Consulting Limited, Beinhaker Design Services Ltd., Ewen S. Fisher Management Inc., M. Blumberg Design Services Ltd., Scott Stewart &amp; Associates Limited, DHA Design Group Inc., E.A. Patton Design Services Inc., Peter Zurawel Design Services Ltd. and TJ McIntyre Design Group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respondent plaintiff is a British Columbia School Board which owns Sayward Elementary School at 690 Kelsey Way, Sayward, British Columbia, including the land, the school building and other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dispute concerns leakage problems at Sayward Elementary School which the School Board contends are due to the faulty design and construction of the School by the IBI Group in 1993 and 1994. The question is whether a six year limitation clause in the parties' construction agreement (Article 3.9.6) now bars claims against the IBI Group because the six-year limitation period began from the certified date of substantial completion, or whether the time began to run not until when the faults were discovered or became discoverable. If the agreement was subject to "discovery" or "discoverability", as the School Board contends, the action is not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School Board entered into a contract with IBI in a form called the Canadian Standard Form of Agreement Between Client and Architect (1989 edition) (the "Client-Architect Agreement"), under which IBI was to provide architectural services for design and construction of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requested by the Ministry of Education of British Columbia, IBI submitted the Client-Architect Agreement to the plaintiff subject to review by the Ministry of Education. The Ministry of Education subsequently advised the respondent that it was "OK to sign", and the parties executed it with effect from November 6, 1991. Construction commenced in about 1993 and IBI certified substantial performance of its work as of March 21,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School Board's expectation was that the building would last for 50 years. Unfortunately, water leakage problems developed, and after 10 years, the School Board discovered that those problems were due to major defects such that by 2004, as a result of water ingress through the building envelope, some of the structural posts and members had become so rotted that they were in danger of collapsing, and it was too dangerous for students or staff to occupy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School Board did not commence this action until May 6, 2004 because the defects were not discovered and were not discoverable until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IBI Group agrees that for the purposes of this application only, and without prejudice to its right to dispute the issues at trial, the court may assume that there has been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breach of contract, or a fundamental breach and a breach of duty to warn on the part of the defendant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RULE 18A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IBI Group contends that the court should decide the issue on this Rule 18A application because it is founded on a question of law and contractual interpretation, and the facts are largely uncontroversial. It is a case where, as stated in </w:t>
      </w:r>
      <w:r>
        <w:rPr>
          <w:rFonts w:ascii="arial" w:eastAsia="arial" w:hAnsi="arial" w:cs="arial"/>
          <w:b/>
          <w:i/>
          <w:color w:val="000000"/>
          <w:sz w:val="20"/>
          <w:lang w:val="en-US" w:eastAsia="en-US" w:bidi="ar-SA"/>
        </w:rPr>
        <w:t>Airishenkoff v. British Columbia</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[2002] 7 W.W.R. 127</w:t>
        </w:r>
      </w:hyperlink>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2002 BCSC 488</w:t>
        </w:r>
      </w:hyperlink>
      <w:r>
        <w:rPr>
          <w:rFonts w:ascii="arial" w:eastAsia="arial" w:hAnsi="arial" w:cs="arial"/>
          <w:color w:val="000000"/>
          <w:sz w:val="20"/>
          <w:lang w:val="en-US" w:eastAsia="en-US" w:bidi="ar-SA"/>
        </w:rPr>
        <w:t xml:space="preserve"> at para. 3, "significant time and expense may be avoided in the event that the plaintiff's claims are statute barred"; and the matter is not complex or inextricably interwoven with other issues that require a trial. See </w:t>
      </w:r>
      <w:r>
        <w:rPr>
          <w:rFonts w:ascii="arial" w:eastAsia="arial" w:hAnsi="arial" w:cs="arial"/>
          <w:b/>
          <w:i/>
          <w:color w:val="000000"/>
          <w:sz w:val="20"/>
          <w:lang w:val="en-US" w:eastAsia="en-US" w:bidi="ar-SA"/>
        </w:rPr>
        <w:t>Dixon v. B.C. Snowmobile Federation</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(2003), 180 B.C.A.C. 99</w:t>
        </w:r>
      </w:hyperlink>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2003 BCCA 174</w:t>
        </w:r>
      </w:hyperlink>
      <w:r>
        <w:rPr>
          <w:rFonts w:ascii="arial" w:eastAsia="arial" w:hAnsi="arial" w:cs="arial"/>
          <w:color w:val="000000"/>
          <w:sz w:val="20"/>
          <w:lang w:val="en-US" w:eastAsia="en-US" w:bidi="ar-SA"/>
        </w:rPr>
        <w:t xml:space="preserve"> at para. 5;, </w:t>
      </w:r>
      <w:r>
        <w:rPr>
          <w:rFonts w:ascii="arial" w:eastAsia="arial" w:hAnsi="arial" w:cs="arial"/>
          <w:b/>
          <w:i/>
          <w:color w:val="000000"/>
          <w:sz w:val="20"/>
          <w:lang w:val="en-US" w:eastAsia="en-US" w:bidi="ar-SA"/>
        </w:rPr>
        <w:t>Dahl v. Royal Bank of Canada</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(2005), 46 B.C.L.R. (4th) 342</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26; and </w:t>
      </w:r>
      <w:r>
        <w:rPr>
          <w:rFonts w:ascii="arial" w:eastAsia="arial" w:hAnsi="arial" w:cs="arial"/>
          <w:b/>
          <w:i/>
          <w:color w:val="000000"/>
          <w:sz w:val="20"/>
          <w:lang w:val="en-US" w:eastAsia="en-US" w:bidi="ar-SA"/>
        </w:rPr>
        <w:t>Western Delta Lands Partnership v. 3557537 Canada Inc.</w:t>
      </w:r>
      <w:r>
        <w:rPr>
          <w:rFonts w:ascii="arial" w:eastAsia="arial" w:hAnsi="arial" w:cs="arial"/>
          <w:color w:val="000000"/>
          <w:sz w:val="20"/>
          <w:lang w:val="en-US" w:eastAsia="en-US" w:bidi="ar-SA"/>
        </w:rPr>
        <w:t xml:space="preserve"> (2000), 44 C.P.C. (4th) 382, </w:t>
      </w:r>
      <w:hyperlink r:id="rId132" w:history="1">
        <w:r>
          <w:rPr>
            <w:rFonts w:ascii="arial" w:eastAsia="arial" w:hAnsi="arial" w:cs="arial"/>
            <w:i/>
            <w:color w:val="0077CC"/>
            <w:sz w:val="20"/>
            <w:u w:val="single"/>
            <w:shd w:val="clear" w:color="auto" w:fill="FFFFFF"/>
            <w:lang w:val="en-US" w:eastAsia="en-US" w:bidi="ar-SA"/>
          </w:rPr>
          <w:t>2000 BCSC 54</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court's jurisdiction to grant or refuse to grant judgments on a Rule 18A application is well summarized in the reasons of Mr. Justice Groberman in </w:t>
      </w:r>
      <w:r>
        <w:rPr>
          <w:rFonts w:ascii="arial" w:eastAsia="arial" w:hAnsi="arial" w:cs="arial"/>
          <w:b/>
          <w:i/>
          <w:color w:val="000000"/>
          <w:sz w:val="20"/>
          <w:lang w:val="en-US" w:eastAsia="en-US" w:bidi="ar-SA"/>
        </w:rPr>
        <w:t>Coast Foundation Society (1974) v. John Currie Architect Inc.</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[2003] B.C.J. No. 2749</w:t>
        </w:r>
      </w:hyperlink>
      <w:r>
        <w:rPr>
          <w:rFonts w:ascii="arial" w:eastAsia="arial" w:hAnsi="arial" w:cs="arial"/>
          <w:color w:val="000000"/>
          <w:sz w:val="20"/>
          <w:lang w:val="en-US" w:eastAsia="en-US" w:bidi="ar-SA"/>
        </w:rPr>
        <w:t xml:space="preserve"> at paras. 12-18: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summary trial can serve as an efficient manner of disposing of issues or claims in appropriate circumstances. Where the court has the entire claim before it on a summary trial application, it will generally endeavour to grant judgment unless credibility issues preclude the fair adjudication of matters on affidavit evidence. There are, of course, exceptions. Discoveries, for example, may not have progressed to the point where the court is satisfied that each side has had an opportunity to uncover all of the evidence that might be important to its case. In such a case, it might be unjust to grant judgment: </w:t>
      </w:r>
      <w:r>
        <w:rPr>
          <w:rFonts w:ascii="arial" w:eastAsia="arial" w:hAnsi="arial" w:cs="arial"/>
          <w:i/>
          <w:color w:val="000000"/>
          <w:sz w:val="20"/>
          <w:lang w:val="en-US" w:eastAsia="en-US" w:bidi="ar-SA"/>
        </w:rPr>
        <w:t>Bank of British Columbia v. Anglo-American Cedar Products Ltd.</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(1984), 57 B.C.L.R. 350</w:t>
        </w:r>
      </w:hyperlink>
      <w:r>
        <w:rPr>
          <w:rFonts w:ascii="arial" w:eastAsia="arial" w:hAnsi="arial" w:cs="arial"/>
          <w:color w:val="000000"/>
          <w:sz w:val="20"/>
          <w:lang w:val="en-US" w:eastAsia="en-US" w:bidi="ar-SA"/>
        </w:rPr>
        <w:t xml:space="preserve"> (S.C.). The court will also decline to grant judgment where the complexity of the issues is such that the court is unable to absorb all of the evidence and legal argument in the compressed time available within the Rule 18A procedure: </w:t>
      </w:r>
      <w:r>
        <w:rPr>
          <w:rFonts w:ascii="arial" w:eastAsia="arial" w:hAnsi="arial" w:cs="arial"/>
          <w:i/>
          <w:color w:val="000000"/>
          <w:sz w:val="20"/>
          <w:lang w:val="en-US" w:eastAsia="en-US" w:bidi="ar-SA"/>
        </w:rPr>
        <w:t>Chen v. Chen</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2002 BCSC 906</w:t>
        </w:r>
      </w:hyperlink>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22 C.P.C. (5th) 73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of when the court ought to give judgment on an issue, as opposed to on the claim generally, is more complex. The court is justifiably reluctant to decide cases in a piecemeal fashion. In addition to all of the concerns that arise when the entire claim is before the court, there is a multitude of others. The result is that the court must exercise considerable caution before coming to the conclusion that it should grant judgment on an issue in a summary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Rule 18A application requires determination of a difficult issue of law that might not need to be resolved in order to decide the claim at trial, for example, the court may conclude that the appropriate development of the common law demands restraint: </w:t>
      </w:r>
      <w:r>
        <w:rPr>
          <w:rFonts w:ascii="arial" w:eastAsia="arial" w:hAnsi="arial" w:cs="arial"/>
          <w:i/>
          <w:color w:val="000000"/>
          <w:sz w:val="20"/>
          <w:lang w:val="en-US" w:eastAsia="en-US" w:bidi="ar-SA"/>
        </w:rPr>
        <w:t>Bacchus Agents (1981) Ltd. v. Phillipe Dandurand Wines Ltd.</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164 B.C.A.C. 300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also be wary of making determinations on particular issues on a Rule 18A application when those issues are inexorably intertwined with other issues that are to be left for determination at trial: </w:t>
      </w:r>
      <w:r>
        <w:rPr>
          <w:rFonts w:ascii="arial" w:eastAsia="arial" w:hAnsi="arial" w:cs="arial"/>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210 D.L.R. (4th) 649</w:t>
      </w:r>
      <w:r>
        <w:rPr>
          <w:rFonts w:ascii="arial" w:eastAsia="arial" w:hAnsi="arial" w:cs="arial"/>
          <w:color w:val="000000"/>
          <w:sz w:val="20"/>
          <w:lang w:val="en-US" w:eastAsia="en-US" w:bidi="ar-SA"/>
        </w:rPr>
        <w:t xml:space="preserve">; inter-relatedness of issues is not always obvious, and caution is necessary whenever a party seeks judgment on an issue as opposed to judgment generally under Rule 18A: </w:t>
      </w:r>
      <w:r>
        <w:rPr>
          <w:rFonts w:ascii="arial" w:eastAsia="arial" w:hAnsi="arial" w:cs="arial"/>
          <w:i/>
          <w:color w:val="000000"/>
          <w:sz w:val="20"/>
          <w:lang w:val="en-US" w:eastAsia="en-US" w:bidi="ar-SA"/>
        </w:rPr>
        <w:t>B.M.P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Global et al v. Bank of Nova Scotia</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2003 BCCA 534</w:t>
        </w:r>
      </w:hyperlink>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[2003] B.C.J. No. 2383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must be borne in mind that the primary purpose of Rule 18A is the efficient resolution of disputes. Where the court does not consider that the determination of an issue under Rule 18A will assist in the efficient resolution of the dispute, it ought not to make the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at least two aspects to be considered in gauging the efficiency of the summary trial process. First, this court must be concerned about the allocation of its own resources: </w:t>
      </w:r>
      <w:r>
        <w:rPr>
          <w:rFonts w:ascii="arial" w:eastAsia="arial" w:hAnsi="arial" w:cs="arial"/>
          <w:i/>
          <w:color w:val="000000"/>
          <w:sz w:val="20"/>
          <w:lang w:val="en-US" w:eastAsia="en-US" w:bidi="ar-SA"/>
        </w:rPr>
        <w:t>North Vancouver (District) v. Lunde</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(1998), 60 B.C.L.R. (3d) 201</w:t>
        </w:r>
      </w:hyperlink>
      <w:r>
        <w:rPr>
          <w:rFonts w:ascii="arial" w:eastAsia="arial" w:hAnsi="arial" w:cs="arial"/>
          <w:color w:val="000000"/>
          <w:sz w:val="20"/>
          <w:lang w:val="en-US" w:eastAsia="en-US" w:bidi="ar-SA"/>
        </w:rPr>
        <w:t xml:space="preserve"> at 212 (C.A.) (paragraph 33). Summary trial applications that will not, even if successful, reduce the length of trial, should, in general, be discouraged. The court must recognize the reality that judicial time is a scarce resource.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the court must consider the efficiency of a partial determination from the standpoint of the litigation itself. Piecemeal decision-making is rarely an efficient manner in which to resolve a dispute. It raises the possibility of multiple appeals on individual issues, and this will generally impede rather than hasten the orderly determination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Coast Foundation</w:t>
      </w:r>
      <w:r>
        <w:rPr>
          <w:rFonts w:ascii="arial" w:eastAsia="arial" w:hAnsi="arial" w:cs="arial"/>
          <w:color w:val="000000"/>
          <w:sz w:val="20"/>
          <w:lang w:val="en-US" w:eastAsia="en-US" w:bidi="ar-SA"/>
        </w:rPr>
        <w:t xml:space="preserve"> was not persuaded that the determination of the limitation issue in advance would be efficient. The reasons were twofold. Firstly, neither party showed that the summary trial would reduce the amount of time needed to resolve the issue. Secondly, the limitation issue was important enough to justify taking an appeal on it such that the trial likely would be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am satisfied by the submissions of the IBI Group that there would be a significant shortening of the trial if the limitation issue is decided by summary trial. Also, there will be no risk of delay of the trial at this point because the trial has been adjourned and a new date has not been set. As for the possibility that a Rule 18A application would excite a number of possible third party claims, I accept the IBI's Group's submission that if they are found not to be liable at this stage, there will likely be fewer third party claims advanced: see </w:t>
      </w:r>
      <w:r>
        <w:rPr>
          <w:rFonts w:ascii="arial" w:eastAsia="arial" w:hAnsi="arial" w:cs="arial"/>
          <w:b/>
          <w:i/>
          <w:color w:val="000000"/>
          <w:sz w:val="20"/>
          <w:lang w:val="en-US" w:eastAsia="en-US" w:bidi="ar-SA"/>
        </w:rPr>
        <w:t>Bow Valley Husky (Bermuda) Ltd. v. St. John Shipbuilding Ltd.</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at para. 123, </w:t>
      </w:r>
      <w:hyperlink r:id="rId139" w:history="1">
        <w:r>
          <w:rPr>
            <w:rFonts w:ascii="arial" w:eastAsia="arial" w:hAnsi="arial" w:cs="arial"/>
            <w:i/>
            <w:color w:val="0077CC"/>
            <w:sz w:val="20"/>
            <w:u w:val="single"/>
            <w:shd w:val="clear" w:color="auto" w:fill="FFFFFF"/>
            <w:lang w:val="en-US" w:eastAsia="en-US" w:bidi="ar-SA"/>
          </w:rPr>
          <w:t>153 D.L.R. (4th) 385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School Board also cited the following passage from the Ontario Court of Appeal in </w:t>
      </w:r>
      <w:r>
        <w:rPr>
          <w:rFonts w:ascii="arial" w:eastAsia="arial" w:hAnsi="arial" w:cs="arial"/>
          <w:b/>
          <w:i/>
          <w:color w:val="000000"/>
          <w:sz w:val="20"/>
          <w:lang w:val="en-US" w:eastAsia="en-US" w:bidi="ar-SA"/>
        </w:rPr>
        <w:t>MacMillan v. McDermid</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(2004), 70 O.R. (3d) 252</w:t>
        </w:r>
      </w:hyperlink>
      <w:r>
        <w:rPr>
          <w:rFonts w:ascii="arial" w:eastAsia="arial" w:hAnsi="arial" w:cs="arial"/>
          <w:color w:val="000000"/>
          <w:sz w:val="20"/>
          <w:lang w:val="en-US" w:eastAsia="en-US" w:bidi="ar-SA"/>
        </w:rPr>
        <w:t xml:space="preserve"> at para. 1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has made it clear that it is generally not appropriate to grant summary judgment when the rule of discoverability is central to the resolution of the limitations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MacMillan</w:t>
      </w:r>
      <w:r>
        <w:rPr>
          <w:rFonts w:ascii="arial" w:eastAsia="arial" w:hAnsi="arial" w:cs="arial"/>
          <w:color w:val="000000"/>
          <w:sz w:val="20"/>
          <w:lang w:val="en-US" w:eastAsia="en-US" w:bidi="ar-SA"/>
        </w:rPr>
        <w:t xml:space="preserve"> is distinguishable on its facts, in my view. However, if I find that discoverability is applicable to this case, I may then deem it necessary to declare the matter unsuitable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Client-Architect Agreement in Article 3.9.6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Architect's liability for all claims of the Client arising out of this agreement shall absolutely cease to exist after a period of six (6) years from the date of:</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Substantial Performance of the Work,</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suspension or abandonment of the project,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termination of the Architect's services in this agreement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commencement of the limitation period for claims prescribed by any statute of the province or territory of the Place of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whichever shall first occur, and following the expiration of such period, the Client shall have no claim whatsoever against the Architect. The Architect's liability with respect to any claims arising out of the agreement shall be absolutely limited to direct damages arising out of the Architect's services rendered under this agreement, and the Architect shall hear no liability whatsoever for any consequential loss, injury or damage incurred by the Client, including but not limited to claims for loss of profits and loss of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Clause 3.9.1 of the Client-Architect Agreement defines the word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premises and of provision of the services by the Architect to the Client under this agreement, the Client agrees that any and all claims which he has or hereafter may have against the Architect in any way arising out of or related to the Architect's duties and responsibilities pursuant to this agreement (hereinafter referred to in this Article 3.9 as "claims" or "claim"), whether such claims sound in contract or in tort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Clause 1.8 of the Client-Architect Agreement defines "Substantial Performance":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Substantial Performance of the Work is as defined in the lien legislation applicable to the place of the project. If such legislation is not in force or does not contain such a definition, Substantial Performance shall have been reached when the Work is ready for use or is being used for the purpose intended and is so certified by the Architect.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Builders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 xml:space="preserve">, does not provide a definition for "Substantial Performance", and neither does its predecessor, </w:t>
      </w:r>
      <w:r>
        <w:rPr>
          <w:rFonts w:ascii="arial" w:eastAsia="arial" w:hAnsi="arial" w:cs="arial"/>
          <w:b/>
          <w:i/>
          <w:color w:val="000000"/>
          <w:sz w:val="20"/>
          <w:lang w:val="en-US" w:eastAsia="en-US" w:bidi="ar-SA"/>
        </w:rPr>
        <w:t>Builders Lien Act</w:t>
      </w:r>
      <w:r>
        <w:rPr>
          <w:rFonts w:ascii="arial" w:eastAsia="arial" w:hAnsi="arial" w:cs="arial"/>
          <w:color w:val="000000"/>
          <w:sz w:val="20"/>
          <w:lang w:val="en-US" w:eastAsia="en-US" w:bidi="ar-SA"/>
        </w:rPr>
        <w:t>, R.S.B.C. 1979, c. 40, although the latter defines "completed" as meaning "Substantial Performance, not necessarily total performance". The plaintiff submits, and I agree, that substantial performance must mean the same as "completed". If that is wrong, then the definition found in Clause 1.8 of the Client-Architect Agreement would apply. In either case, the case law establishes that the date for "Substantial Performance" is a question of fact, for the court to determine. I will discuss this further under the heading of "Substantial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IBI Groups says that the court should interpret Clause 3.9.6 according to the "golden rule" of contractual interpretation. A variation of the rule is cited by G.H.L. Fridman,</w:t>
      </w:r>
      <w:r>
        <w:rPr>
          <w:rFonts w:ascii="arial" w:eastAsia="arial" w:hAnsi="arial" w:cs="arial"/>
          <w:color w:val="000000"/>
          <w:sz w:val="20"/>
          <w:u w:val="single"/>
          <w:lang w:val="en-US" w:eastAsia="en-US" w:bidi="ar-SA"/>
        </w:rPr>
        <w:t>The Law of Contract in Canada</w:t>
      </w:r>
      <w:r>
        <w:rPr>
          <w:rFonts w:ascii="arial" w:eastAsia="arial" w:hAnsi="arial" w:cs="arial"/>
          <w:color w:val="000000"/>
          <w:sz w:val="20"/>
          <w:lang w:val="en-US" w:eastAsia="en-US" w:bidi="ar-SA"/>
        </w:rPr>
        <w:t>, 5th ed. (Toronto: Carswell, 2006) at pp. 442, 454-462:</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no ambiguity in a written contract it must be given its literal meaning;</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words must be given their plain, ordinary meaning, at least unless to do so would result in absurdity;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should be considered as a whole, giving effect to everything in it if at all possible;</w:t>
      </w:r>
    </w:p>
    <w:p>
      <w:pPr>
        <w:numPr>
          <w:numId w:val="1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cases of doubt, as a last resort, language should always be construed against the grantor or promisor under the contract; verba fortius accipiuntur contra proferentem.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IBI Group argues that the Client-Architect Agreement was clear on its face. It provided unambiguously that any liability of the IBI Group for any and all claims of the plaintiff, regardless of their nature, expired by agreement six years after the date of "Substantial Performance", which was March 21, 1994, and the plaintiff could not bring this claim or any claim made with respect to the Client-Architect Agreement after March 21,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DISCOVERABILITY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Without disputing the applicability of the Golden Rule, the School Board argues that the Client-Architect Agreement does not unambiguously exclude discoverability and therefore it should be interpreted as incorporating discoverability, that is, the limitation period must be deemed to have commenced only once the defect became discoverable. The discovery principle is a "general rule applied" to avoid the injustice of precluding an action before the person is able to raise it: </w:t>
      </w:r>
      <w:r>
        <w:rPr>
          <w:rFonts w:ascii="arial" w:eastAsia="arial" w:hAnsi="arial" w:cs="arial"/>
          <w:b/>
          <w:i/>
          <w:color w:val="000000"/>
          <w:sz w:val="20"/>
          <w:lang w:val="en-US" w:eastAsia="en-US" w:bidi="ar-SA"/>
        </w:rPr>
        <w:t>Peixeiro v. Haberman,</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[1997] 3 S.C.R. 549</w:t>
        </w:r>
      </w:hyperlink>
      <w:r>
        <w:rPr>
          <w:rFonts w:ascii="arial" w:eastAsia="arial" w:hAnsi="arial" w:cs="arial"/>
          <w:color w:val="000000"/>
          <w:sz w:val="20"/>
          <w:lang w:val="en-US" w:eastAsia="en-US" w:bidi="ar-SA"/>
        </w:rPr>
        <w:t xml:space="preserve"> at para. 36, </w:t>
      </w:r>
      <w:hyperlink r:id="rId141" w:history="1">
        <w:r>
          <w:rPr>
            <w:rFonts w:ascii="arial" w:eastAsia="arial" w:hAnsi="arial" w:cs="arial"/>
            <w:i/>
            <w:color w:val="0077CC"/>
            <w:sz w:val="20"/>
            <w:u w:val="single"/>
            <w:shd w:val="clear" w:color="auto" w:fill="FFFFFF"/>
            <w:lang w:val="en-US" w:eastAsia="en-US" w:bidi="ar-SA"/>
          </w:rPr>
          <w:t>151 D.L.R. (4th) 429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There are a number of cases where the courts have confirmed that the law requires exclusionary clauses in statutes to be unambiguous in meaning and scope: see </w:t>
      </w:r>
      <w:r>
        <w:rPr>
          <w:rFonts w:ascii="arial" w:eastAsia="arial" w:hAnsi="arial" w:cs="arial"/>
          <w:b/>
          <w:i/>
          <w:color w:val="000000"/>
          <w:sz w:val="20"/>
          <w:lang w:val="en-US" w:eastAsia="en-US" w:bidi="ar-SA"/>
        </w:rPr>
        <w:t>Timberwest Forest Ltd. v. Gearbulk Pool Ltd.,</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2001 BCSC 882</w:t>
        </w:r>
      </w:hyperlink>
      <w:r>
        <w:rPr>
          <w:rFonts w:ascii="arial" w:eastAsia="arial" w:hAnsi="arial" w:cs="arial"/>
          <w:color w:val="000000"/>
          <w:sz w:val="20"/>
          <w:lang w:val="en-US" w:eastAsia="en-US" w:bidi="ar-SA"/>
        </w:rPr>
        <w:t xml:space="preserve"> at para. 69-76, aff'd </w:t>
      </w:r>
      <w:hyperlink r:id="rId143" w:history="1">
        <w:r>
          <w:rPr>
            <w:rFonts w:ascii="arial" w:eastAsia="arial" w:hAnsi="arial" w:cs="arial"/>
            <w:i/>
            <w:color w:val="0077CC"/>
            <w:sz w:val="20"/>
            <w:u w:val="single"/>
            <w:shd w:val="clear" w:color="auto" w:fill="FFFFFF"/>
            <w:lang w:val="en-US" w:eastAsia="en-US" w:bidi="ar-SA"/>
          </w:rPr>
          <w:t>2003 BCCA 39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Doyle Construction Co. v. Carling O'Keefe Breweries of Canada Ltd.</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(1988), 27 B.C.L.R. (2d) 89</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Carleton Condominium Corp. No. 32 v. Camdev Corp.</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(1999), 47 C.L.R. (2d) 224</w:t>
        </w:r>
      </w:hyperlink>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[1999] O.J. No. 3448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courts have also held that "exemption clauses are as a general rule strictly construed against the parties who draft and rely on them": </w:t>
      </w:r>
      <w:r>
        <w:rPr>
          <w:rFonts w:ascii="arial" w:eastAsia="arial" w:hAnsi="arial" w:cs="arial"/>
          <w:b/>
          <w:i/>
          <w:color w:val="000000"/>
          <w:sz w:val="20"/>
          <w:lang w:val="en-US" w:eastAsia="en-US" w:bidi="ar-SA"/>
        </w:rPr>
        <w:t>Burry et al v. Centennial Properties Limited et al</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(1979), 38 N.S.R. (2d) 473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Tardif v. Wong</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(2002), 213 D.L.R. (4th) 680</w:t>
        </w:r>
      </w:hyperlink>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2002 ABCA 121</w:t>
        </w:r>
      </w:hyperlink>
      <w:r>
        <w:rPr>
          <w:rFonts w:ascii="arial" w:eastAsia="arial" w:hAnsi="arial" w:cs="arial"/>
          <w:color w:val="000000"/>
          <w:sz w:val="20"/>
          <w:lang w:val="en-US" w:eastAsia="en-US" w:bidi="ar-SA"/>
        </w:rPr>
        <w:t xml:space="preserve"> (2002), Wittmann J.A. stated, at para. 21, that "[i]t is settled law that limitation statutes are to be strictly construed". At para. 56, he went on to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as it appears, some inconsistency is inevitable, an interpretation which favours the plaintiff is to be preferred as limitations statutes are to be construed strictly in favour of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courts have also held (although not invariably) that treatment of the "discoverability rule" applies to limitations not only in statutes but also in contracts: see </w:t>
      </w:r>
      <w:r>
        <w:rPr>
          <w:rFonts w:ascii="arial" w:eastAsia="arial" w:hAnsi="arial" w:cs="arial"/>
          <w:b/>
          <w:i/>
          <w:color w:val="000000"/>
          <w:sz w:val="20"/>
          <w:lang w:val="en-US" w:eastAsia="en-US" w:bidi="ar-SA"/>
        </w:rPr>
        <w:t>Vanir Construction Services Ltd. (Receiver of) v. Field Aviation Co.</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(1988), 88 A.R. 140</w:t>
        </w:r>
      </w:hyperlink>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30 C.L.R. 38</w:t>
        </w:r>
      </w:hyperlink>
      <w:r>
        <w:rPr>
          <w:rFonts w:ascii="arial" w:eastAsia="arial" w:hAnsi="arial" w:cs="arial"/>
          <w:color w:val="000000"/>
          <w:sz w:val="20"/>
          <w:lang w:val="en-US" w:eastAsia="en-US" w:bidi="ar-SA"/>
        </w:rPr>
        <w:t xml:space="preserve"> (Q.B.). The Supreme Court of Canada has made it clear that the discoverability principle must be applied with care, with due regard for normal rules of construction in both statutory and contractual cases. The issue was discussed by Bastarache J. in </w:t>
      </w:r>
      <w:r>
        <w:rPr>
          <w:rFonts w:ascii="arial" w:eastAsia="arial" w:hAnsi="arial" w:cs="arial"/>
          <w:b/>
          <w:i/>
          <w:color w:val="000000"/>
          <w:sz w:val="20"/>
          <w:lang w:val="en-US" w:eastAsia="en-US" w:bidi="ar-SA"/>
        </w:rPr>
        <w:t>Ryan v. Moore</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[2005] 2 S.C.R. 53</w:t>
        </w:r>
      </w:hyperlink>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2005 SCC 38</w:t>
        </w:r>
      </w:hyperlink>
      <w:r>
        <w:rPr>
          <w:rFonts w:ascii="arial" w:eastAsia="arial" w:hAnsi="arial" w:cs="arial"/>
          <w:color w:val="000000"/>
          <w:sz w:val="20"/>
          <w:lang w:val="en-US" w:eastAsia="en-US" w:bidi="ar-SA"/>
        </w:rPr>
        <w:t xml:space="preserve"> at paras. 22-24: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discoverability principle provides that "a cause of action arises for purposes of a limitation period when the material facts on which it is based have been discovered or ought to have been discovered by the plaintiff by the exercise of reasonable diligence": </w:t>
      </w:r>
      <w:r>
        <w:rPr>
          <w:rFonts w:ascii="arial" w:eastAsia="arial" w:hAnsi="arial" w:cs="arial"/>
          <w:i/>
          <w:color w:val="000000"/>
          <w:sz w:val="20"/>
          <w:lang w:val="en-US" w:eastAsia="en-US" w:bidi="ar-SA"/>
        </w:rPr>
        <w:t>Central Trust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at p. 224. In some provinces, the discoverability rule has been codified by statute; in others, it has been deemed redundant because of other remedial provisions.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discoverability has been qualified in the past as a "general rule" (</w:t>
      </w:r>
      <w:r>
        <w:rPr>
          <w:rFonts w:ascii="arial" w:eastAsia="arial" w:hAnsi="arial" w:cs="arial"/>
          <w:i/>
          <w:color w:val="000000"/>
          <w:sz w:val="20"/>
          <w:lang w:val="en-US" w:eastAsia="en-US" w:bidi="ar-SA"/>
        </w:rPr>
        <w:t>Central Trust</w:t>
      </w:r>
      <w:r>
        <w:rPr>
          <w:rFonts w:ascii="arial" w:eastAsia="arial" w:hAnsi="arial" w:cs="arial"/>
          <w:color w:val="000000"/>
          <w:sz w:val="20"/>
          <w:lang w:val="en-US" w:eastAsia="en-US" w:bidi="ar-SA"/>
        </w:rPr>
        <w:t xml:space="preserve">, at p. 224, </w:t>
      </w:r>
      <w:r>
        <w:rPr>
          <w:rFonts w:ascii="arial" w:eastAsia="arial" w:hAnsi="arial" w:cs="arial"/>
          <w:i/>
          <w:color w:val="000000"/>
          <w:sz w:val="20"/>
          <w:lang w:val="en-US" w:eastAsia="en-US" w:bidi="ar-SA"/>
        </w:rPr>
        <w:t>Peixeiro v. Haberman,</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[1997] 3 S.C.R. 549</w:t>
        </w:r>
      </w:hyperlink>
      <w:r>
        <w:rPr>
          <w:rFonts w:ascii="arial" w:eastAsia="arial" w:hAnsi="arial" w:cs="arial"/>
          <w:color w:val="000000"/>
          <w:sz w:val="20"/>
          <w:lang w:val="en-US" w:eastAsia="en-US" w:bidi="ar-SA"/>
        </w:rPr>
        <w:t>, at para. 36), it must not be applied systematically without a thorough balancing of competing interests (</w:t>
      </w:r>
      <w:r>
        <w:rPr>
          <w:rFonts w:ascii="arial" w:eastAsia="arial" w:hAnsi="arial" w:cs="arial"/>
          <w:i/>
          <w:color w:val="000000"/>
          <w:sz w:val="20"/>
          <w:lang w:val="en-US" w:eastAsia="en-US" w:bidi="ar-SA"/>
        </w:rPr>
        <w:t>Piexeiro</w:t>
      </w:r>
      <w:r>
        <w:rPr>
          <w:rFonts w:ascii="arial" w:eastAsia="arial" w:hAnsi="arial" w:cs="arial"/>
          <w:color w:val="000000"/>
          <w:sz w:val="20"/>
          <w:lang w:val="en-US" w:eastAsia="en-US" w:bidi="ar-SA"/>
        </w:rPr>
        <w:t>, at para. 34). The rule is an interpretative tool for construing limitation statutes. I agree with the Manitoba Court of Appeal when it writes: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judge-made discoverability rule is nothing more than a rule of construction. Whenever a statute requires an action to be commenced within a specified time from the happening of a specific event, the statutory language must be construed. When time runs from "the accrual of the cause of action" or from some other event which can be construed as occurring only when the injured party has knowledge of the injury sustained, the judge-made discoverability rule applies. </w:t>
      </w:r>
      <w:r>
        <w:rPr>
          <w:rFonts w:ascii="arial" w:eastAsia="arial" w:hAnsi="arial" w:cs="arial"/>
          <w:color w:val="000000"/>
          <w:sz w:val="20"/>
          <w:u w:val="single"/>
          <w:lang w:val="en-US" w:eastAsia="en-US" w:bidi="ar-SA"/>
        </w:rPr>
        <w:t>But, when time runs from an event which clearly occurs without regard to the injured party's knowledge, the judge-made discoverability rule may not extend the period the legislature has prescribed</w:t>
      </w:r>
      <w:r>
        <w:rPr>
          <w:rFonts w:ascii="arial" w:eastAsia="arial" w:hAnsi="arial" w:cs="arial"/>
          <w:color w:val="000000"/>
          <w:sz w:val="20"/>
          <w:lang w:val="en-US" w:eastAsia="en-US" w:bidi="ar-SA"/>
        </w:rPr>
        <w:t>. [Emphasis added.]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(Fehr v. Jacob</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(1993), 14 C.C.L.T. (2d) 200</w:t>
        </w:r>
      </w:hyperlink>
      <w:r>
        <w:rPr>
          <w:rFonts w:ascii="arial" w:eastAsia="arial" w:hAnsi="arial" w:cs="arial"/>
          <w:color w:val="000000"/>
          <w:sz w:val="20"/>
          <w:lang w:val="en-US" w:eastAsia="en-US" w:bidi="ar-SA"/>
        </w:rPr>
        <w:t xml:space="preserve"> (Man. C.A.), at p. 206).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Peixeiro</w:t>
      </w:r>
      <w:r>
        <w:rPr>
          <w:rFonts w:ascii="arial" w:eastAsia="arial" w:hAnsi="arial" w:cs="arial"/>
          <w:color w:val="000000"/>
          <w:sz w:val="20"/>
          <w:lang w:val="en-US" w:eastAsia="en-US" w:bidi="ar-SA"/>
        </w:rPr>
        <w:t xml:space="preserve">, at para. 37; </w:t>
      </w:r>
      <w:r>
        <w:rPr>
          <w:rFonts w:ascii="arial" w:eastAsia="arial" w:hAnsi="arial" w:cs="arial"/>
          <w:b/>
          <w:i/>
          <w:color w:val="000000"/>
          <w:sz w:val="20"/>
          <w:lang w:val="en-US" w:eastAsia="en-US" w:bidi="ar-SA"/>
        </w:rPr>
        <w:t>Snow (Guardian ad litem of) v. Kashyap</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(1995), 125 Nfld. &amp; P.E.I.R. 182</w:t>
        </w:r>
      </w:hyperlink>
      <w:r>
        <w:rPr>
          <w:rFonts w:ascii="arial" w:eastAsia="arial" w:hAnsi="arial" w:cs="arial"/>
          <w:color w:val="000000"/>
          <w:sz w:val="20"/>
          <w:lang w:val="en-US" w:eastAsia="en-US" w:bidi="ar-SA"/>
        </w:rPr>
        <w:t xml:space="preserve"> (Nfld.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Court of Appeal of Newfoundland and Labrador is correct in stating that the rule is "generally" applicable where the commencement of the limitation period is related by the legislation to the arising or accrual of the cause of action. The law does not permit resort to the judge-made discoverability rule when the limitation period is explicitly linked by the governing legislation to a fixed event unrelated to the injured party's knowledge or the basis of the cause of action (see Mew, at p.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Other courts have approached discoverability with less concern for the consequences and more respect for the rights of the parties to bargain and manage their own affairs. In </w:t>
      </w:r>
      <w:r>
        <w:rPr>
          <w:rFonts w:ascii="arial" w:eastAsia="arial" w:hAnsi="arial" w:cs="arial"/>
          <w:b/>
          <w:i/>
          <w:color w:val="000000"/>
          <w:sz w:val="20"/>
          <w:lang w:val="en-US" w:eastAsia="en-US" w:bidi="ar-SA"/>
        </w:rPr>
        <w:t>BG Checo International Ltd. v. British Columbia Hydro &amp; Power Authority</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at pp. 26-27, </w:t>
      </w:r>
      <w:hyperlink r:id="rId153" w:history="1">
        <w:r>
          <w:rPr>
            <w:rFonts w:ascii="arial" w:eastAsia="arial" w:hAnsi="arial" w:cs="arial"/>
            <w:i/>
            <w:color w:val="0077CC"/>
            <w:sz w:val="20"/>
            <w:u w:val="single"/>
            <w:shd w:val="clear" w:color="auto" w:fill="FFFFFF"/>
            <w:lang w:val="en-US" w:eastAsia="en-US" w:bidi="ar-SA"/>
          </w:rPr>
          <w:t>99 D.L.R. (4th) 577</w:t>
        </w:r>
      </w:hyperlink>
      <w:r>
        <w:rPr>
          <w:rFonts w:ascii="arial" w:eastAsia="arial" w:hAnsi="arial" w:cs="arial"/>
          <w:color w:val="000000"/>
          <w:sz w:val="20"/>
          <w:lang w:val="en-US" w:eastAsia="en-US" w:bidi="ar-SA"/>
        </w:rPr>
        <w:t>, the majority of the court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always open to parties to limit or waive the duties which the common law would impose on them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principle is of great importance in preserving a sphere of individual liberty and commercial flexibility. ... if two business firms agree that a particular risk should lie on a party who would not ordinarily bear that risk at common law, they may do so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Viewed thus, the only limit on the right to choose one's action is the principle of primacy of private ordering - the right of individuals to arrange their affairs and assume risks in a different way than would be done by the law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Gray v. Canada Life Assurance Co.</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184 Man.R. (2d) 224</w:t>
        </w:r>
      </w:hyperlink>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2004 MBCA 88</w:t>
        </w:r>
      </w:hyperlink>
      <w:r>
        <w:rPr>
          <w:rFonts w:ascii="arial" w:eastAsia="arial" w:hAnsi="arial" w:cs="arial"/>
          <w:color w:val="000000"/>
          <w:sz w:val="20"/>
          <w:lang w:val="en-US" w:eastAsia="en-US" w:bidi="ar-SA"/>
        </w:rPr>
        <w:t>, the Manitoba Court of Appeal applied the discoverability principle in claims under a disability insurance policy. However, at para. 15, Twaddle J.A.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not myself have construed the limitation provision of the policy as introducing the discoverability rule to claims under the policy. The parties have agreed, however, that the provision is to be so construed.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Dealing specifically with Clauses 3.9.1 and 3.9.6, the School Board argued that there was ambiguity arising from the use of the word "claim". The School Board argued that clause 3.9.6 does not state what steps must be taken before all claims "cease to exist". It does not say, for example, that written notice of a claim must be given, or an action be commenced, or a judgment obtained, within the time referred to in the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School Board maintained that, literally interpreted, Clause 3.9.6 causes a claim to cease to exist unless judgment is granted within six years of one of the dates specified. After six years and a day, even if the Board had already commenced action, but judgment had not been obtained, the architect could apply to have the action dismissed on the basis that "the client shall have no claim whatsoever" after six years and the architect's liability had "ceased to exist". A more clearly drafted clause, the School Board maintains, would have specified what action must be taken before "the client shall have no claim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With respect, I disagree that the word "claim" introduces the ambiguities suggested by the School Board. It has a plain meaning in the context of Clause 3.9.6., which provides for the limitation period to start and to continue for six years from the date of substantial completion. With respect, I do not accept the case of </w:t>
      </w:r>
      <w:r>
        <w:rPr>
          <w:rFonts w:ascii="arial" w:eastAsia="arial" w:hAnsi="arial" w:cs="arial"/>
          <w:b/>
          <w:i/>
          <w:color w:val="000000"/>
          <w:sz w:val="20"/>
          <w:lang w:val="en-US" w:eastAsia="en-US" w:bidi="ar-SA"/>
        </w:rPr>
        <w:t>Newfoundland and Labrador (Human Rights Commission) v. Newfoundland Liquor Corp.</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(2004), 30 C.C.E.L. (3d) 181</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2004 NLCA 5</w:t>
        </w:r>
      </w:hyperlink>
      <w:r>
        <w:rPr>
          <w:rFonts w:ascii="arial" w:eastAsia="arial" w:hAnsi="arial" w:cs="arial"/>
          <w:color w:val="000000"/>
          <w:sz w:val="20"/>
          <w:lang w:val="en-US" w:eastAsia="en-US" w:bidi="ar-SA"/>
        </w:rPr>
        <w:t>, cited by the School Board, as reasonable basis for deciding that the word "claims" imports the discoverability rule into the limitation period found in the Client-Architect Agreement. There is no other authority to support that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SUBSTANTIAL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School Board argued that the limitation cannot apply because the defects and damage, being fundamental in nature, made substantial performance impossible. It submits that the clause should not be enforced because it is unfair, unreasonable and/or contrary to public policy. It pleads relief from forfeiture pursuant to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and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School Board submitted that it is well established that the date for substantial performance is a question of fact for the court to consider, and the issuance of a certificate for substantial performance is not determinative: see </w:t>
      </w:r>
      <w:r>
        <w:rPr>
          <w:rFonts w:ascii="arial" w:eastAsia="arial" w:hAnsi="arial" w:cs="arial"/>
          <w:b/>
          <w:i/>
          <w:color w:val="000000"/>
          <w:sz w:val="20"/>
          <w:lang w:val="en-US" w:eastAsia="en-US" w:bidi="ar-SA"/>
        </w:rPr>
        <w:t>General Paint Ltd. v. Richmond School District No. 38</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(2001), 7 C.L.R. (3d) 116</w:t>
        </w:r>
      </w:hyperlink>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2001 BCSC 222</w:t>
        </w:r>
      </w:hyperlink>
      <w:r>
        <w:rPr>
          <w:rFonts w:ascii="arial" w:eastAsia="arial" w:hAnsi="arial" w:cs="arial"/>
          <w:color w:val="000000"/>
          <w:sz w:val="20"/>
          <w:lang w:val="en-US" w:eastAsia="en-US" w:bidi="ar-SA"/>
        </w:rPr>
        <w:t xml:space="preserve"> at para. 13; and </w:t>
      </w:r>
      <w:r>
        <w:rPr>
          <w:rFonts w:ascii="arial" w:eastAsia="arial" w:hAnsi="arial" w:cs="arial"/>
          <w:b/>
          <w:i/>
          <w:color w:val="000000"/>
          <w:sz w:val="20"/>
          <w:lang w:val="en-US" w:eastAsia="en-US" w:bidi="ar-SA"/>
        </w:rPr>
        <w:t>548635 B.C. Ltd. v. Island Kitchen Centre Ltd.</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(2000), 2 C.L.R. (3d) 273</w:t>
        </w:r>
      </w:hyperlink>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2000 BCSC 739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School Board argued that the certificate falsely declared that substantial performance was achieved on March 21, 1994. In fact, the work was not ready for use on March 21, 1994 because of the latent defects, and the construction did not comply with relevant B.C. Building Code requirements. Therefore, there was no substantial performance on March 21, 1994 or any time. The reasons given in </w:t>
      </w:r>
      <w:r>
        <w:rPr>
          <w:rFonts w:ascii="arial" w:eastAsia="arial" w:hAnsi="arial" w:cs="arial"/>
          <w:b/>
          <w:i/>
          <w:color w:val="000000"/>
          <w:sz w:val="20"/>
          <w:lang w:val="en-US" w:eastAsia="en-US" w:bidi="ar-SA"/>
        </w:rPr>
        <w:t>General Paint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were cited by the School Board as authority for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choice of a date for substantial performance rests with the architect and it depends upon his or her impression at the time that it is declared. From that point, it is relied upon by tradesmen, contractors, and workers to facilitate payments to them of the holdback monies. Accordingly, once the date of the substantial performance is declared by the architect, it may be avoided on some grounds. Whether a fundamental breach occurs, such as in the form of a latent defect, and whether that will affect the date for substantial completion for purposes of determining commencement of the limitation period are questions of fact for the court to decide. The IBI Group insisted that all parties accepted March 21, 1994 as the date for commencement of the limitation period, and they did not agree that it would be dispensable at any point. The school board argues that it is impossible to imply that a party would agree to be bound by the exclusion clause in the face of the fundamental breach. That is not wholly supported by the authorities. However, it is true to say that the courts have required very clear language of intention to exclude an exclusion clause in the case of a 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Tercon Contractors Ltd. v. British Columbia</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(2006), 53 B.C.L.R. (4th) 138</w:t>
        </w:r>
      </w:hyperlink>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2006 BCSC 499</w:t>
        </w:r>
      </w:hyperlink>
      <w:r>
        <w:rPr>
          <w:rFonts w:ascii="arial" w:eastAsia="arial" w:hAnsi="arial" w:cs="arial"/>
          <w:color w:val="000000"/>
          <w:sz w:val="20"/>
          <w:lang w:val="en-US" w:eastAsia="en-US" w:bidi="ar-SA"/>
        </w:rPr>
        <w:t>, the court stated, at para. 147,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next question is whether the exclusion clause applies to the breach in question. In </w:t>
      </w:r>
      <w:r>
        <w:rPr>
          <w:rFonts w:ascii="arial" w:eastAsia="arial" w:hAnsi="arial" w:cs="arial"/>
          <w:i/>
          <w:color w:val="000000"/>
          <w:sz w:val="20"/>
          <w:lang w:val="en-US" w:eastAsia="en-US" w:bidi="ar-SA"/>
        </w:rPr>
        <w:t>Shelanu Inc. v. Print Three Franchising Corporation</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(2003), 64 O.R. (3d) 533</w:t>
        </w:r>
      </w:hyperlink>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226 D.L.R. (4th) 577</w:t>
        </w:r>
      </w:hyperlink>
      <w:r>
        <w:rPr>
          <w:rFonts w:ascii="arial" w:eastAsia="arial" w:hAnsi="arial" w:cs="arial"/>
          <w:color w:val="000000"/>
          <w:sz w:val="20"/>
          <w:lang w:val="en-US" w:eastAsia="en-US" w:bidi="ar-SA"/>
        </w:rPr>
        <w:t xml:space="preserve"> at para. 32 (C.A.) [</w:t>
      </w:r>
      <w:r>
        <w:rPr>
          <w:rFonts w:ascii="arial" w:eastAsia="arial" w:hAnsi="arial" w:cs="arial"/>
          <w:i/>
          <w:color w:val="000000"/>
          <w:sz w:val="20"/>
          <w:lang w:val="en-US" w:eastAsia="en-US" w:bidi="ar-SA"/>
        </w:rPr>
        <w:t>Shelanu</w:t>
      </w:r>
      <w:r>
        <w:rPr>
          <w:rFonts w:ascii="arial" w:eastAsia="arial" w:hAnsi="arial" w:cs="arial"/>
          <w:color w:val="000000"/>
          <w:sz w:val="20"/>
          <w:lang w:val="en-US" w:eastAsia="en-US" w:bidi="ar-SA"/>
        </w:rPr>
        <w:t xml:space="preserve">], the court considered a form of exclusion clause and, applying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said that the issue is whether as a matter of construction the clause covers the breach, keeping in mind that the clause must be read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and clear words are necessary for the clause to apply. This must be looked at within the context of the contract as a whole (</w:t>
      </w:r>
      <w:r>
        <w:rPr>
          <w:rFonts w:ascii="arial" w:eastAsia="arial" w:hAnsi="arial" w:cs="arial"/>
          <w:i/>
          <w:color w:val="000000"/>
          <w:sz w:val="20"/>
          <w:lang w:val="en-US" w:eastAsia="en-US" w:bidi="ar-SA"/>
        </w:rPr>
        <w:t>Beaufort Realities (1964) Inc. and Belcourt Construction (Ottawa) Ltd. v. Chomedey Aluminium Co., Ltd.,</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[1980] 2 S.C.R. 718</w:t>
        </w:r>
      </w:hyperlink>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116 D.L.R. (3d) 193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Beaufort</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It would take very clear language to effect a result whereby a party could be assured that irrespective of his non-performance of contractual obligations, he could benefit from an exclusion type clause (Beaufort, supra). The exclusion of liability for fundamental breach of contract must have been within the reasonable contemplation of the parties in formulating the agreement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International Terminal Operators Ltd. v. Miida Electronics Inc. et al.,</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[1986] 1 S.C.R. 752</w:t>
        </w:r>
      </w:hyperlink>
      <w:r>
        <w:rPr>
          <w:rFonts w:ascii="arial" w:eastAsia="arial" w:hAnsi="arial" w:cs="arial"/>
          <w:color w:val="000000"/>
          <w:sz w:val="20"/>
          <w:lang w:val="en-US" w:eastAsia="en-US" w:bidi="ar-SA"/>
        </w:rPr>
        <w:t xml:space="preserve"> at 799, </w:t>
      </w:r>
      <w:hyperlink r:id="rId161" w:history="1">
        <w:r>
          <w:rPr>
            <w:rFonts w:ascii="arial" w:eastAsia="arial" w:hAnsi="arial" w:cs="arial"/>
            <w:i/>
            <w:color w:val="0077CC"/>
            <w:sz w:val="20"/>
            <w:u w:val="single"/>
            <w:shd w:val="clear" w:color="auto" w:fill="FFFFFF"/>
            <w:lang w:val="en-US" w:eastAsia="en-US" w:bidi="ar-SA"/>
          </w:rPr>
          <w:t>28 D.L.R. (4th) 641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MacKay v. Scott Packing and Warehousing Co. (Canada) Ltd.</w:t>
      </w:r>
      <w:r>
        <w:rPr>
          <w:rFonts w:ascii="arial" w:eastAsia="arial" w:hAnsi="arial" w:cs="arial"/>
          <w:color w:val="000000"/>
          <w:sz w:val="20"/>
          <w:lang w:val="en-US" w:eastAsia="en-US" w:bidi="ar-SA"/>
        </w:rPr>
        <w:t xml:space="preserve"> (1995), </w:t>
      </w:r>
      <w:hyperlink r:id="rId162" w:history="1">
        <w:r>
          <w:rPr>
            <w:rFonts w:ascii="arial" w:eastAsia="arial" w:hAnsi="arial" w:cs="arial"/>
            <w:i/>
            <w:color w:val="0077CC"/>
            <w:sz w:val="20"/>
            <w:u w:val="single"/>
            <w:shd w:val="clear" w:color="auto" w:fill="FFFFFF"/>
            <w:lang w:val="en-US" w:eastAsia="en-US" w:bidi="ar-SA"/>
          </w:rPr>
          <w:t>[1996] 2 F.C. 36</w:t>
        </w:r>
      </w:hyperlink>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192 N.R. 118</w:t>
        </w:r>
      </w:hyperlink>
      <w:r>
        <w:rPr>
          <w:rFonts w:ascii="arial" w:eastAsia="arial" w:hAnsi="arial" w:cs="arial"/>
          <w:color w:val="000000"/>
          <w:sz w:val="20"/>
          <w:lang w:val="en-US" w:eastAsia="en-US" w:bidi="ar-SA"/>
        </w:rPr>
        <w:t xml:space="preserve"> at para. 9 (C.A.) [</w:t>
      </w:r>
      <w:r>
        <w:rPr>
          <w:rFonts w:ascii="arial" w:eastAsia="arial" w:hAnsi="arial" w:cs="arial"/>
          <w:i/>
          <w:color w:val="000000"/>
          <w:sz w:val="20"/>
          <w:lang w:val="en-US" w:eastAsia="en-US" w:bidi="ar-SA"/>
        </w:rPr>
        <w:t>MacKay</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Guarantee</w:t>
      </w:r>
      <w:r>
        <w:rPr>
          <w:rFonts w:ascii="arial" w:eastAsia="arial" w:hAnsi="arial" w:cs="arial"/>
          <w:color w:val="000000"/>
          <w:sz w:val="20"/>
          <w:lang w:val="en-US" w:eastAsia="en-US" w:bidi="ar-SA"/>
        </w:rPr>
        <w:t xml:space="preserve"> at para. 61, Iacobucci and Bastarache JJ., said that commercial reality is often the best indicator of contractual intention and that </w:t>
      </w:r>
      <w:r>
        <w:rPr>
          <w:rFonts w:ascii="arial" w:eastAsia="arial" w:hAnsi="arial" w:cs="arial"/>
          <w:i/>
          <w:color w:val="000000"/>
          <w:sz w:val="20"/>
          <w:lang w:val="en-US" w:eastAsia="en-US" w:bidi="ar-SA"/>
        </w:rPr>
        <w:t>if a given construction would lead to an absurd result, the assumption is that the parties could not have intended the clause to apply in this way.</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Westcoast Transmission Co. v. Cullen Detroit Diesel Allison Ltd.</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(1990), 45 B.C.L.R. (2d) 296</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70 D.L.R. (4th) 503</w:t>
        </w:r>
      </w:hyperlink>
      <w:r>
        <w:rPr>
          <w:rFonts w:ascii="arial" w:eastAsia="arial" w:hAnsi="arial" w:cs="arial"/>
          <w:color w:val="000000"/>
          <w:sz w:val="20"/>
          <w:lang w:val="en-US" w:eastAsia="en-US" w:bidi="ar-SA"/>
        </w:rPr>
        <w:t xml:space="preserve"> (C.A.), Taylor J.A. explained that </w:t>
      </w:r>
      <w:r>
        <w:rPr>
          <w:rFonts w:ascii="arial" w:eastAsia="arial" w:hAnsi="arial" w:cs="arial"/>
          <w:i/>
          <w:color w:val="000000"/>
          <w:sz w:val="20"/>
          <w:lang w:val="en-US" w:eastAsia="en-US" w:bidi="ar-SA"/>
        </w:rPr>
        <w:t>exclusion clauses are regarded with hostility and judged with exacting standards because of the high degree of improbability that the contracting party would have agreed to such a limitation of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Tercon</w:t>
      </w:r>
      <w:r>
        <w:rPr>
          <w:rFonts w:ascii="arial" w:eastAsia="arial" w:hAnsi="arial" w:cs="arial"/>
          <w:color w:val="000000"/>
          <w:sz w:val="20"/>
          <w:lang w:val="en-US" w:eastAsia="en-US" w:bidi="ar-SA"/>
        </w:rPr>
        <w:t xml:space="preserve"> followed the decision of the Supreme Court of Canada in </w:t>
      </w:r>
      <w:r>
        <w:rPr>
          <w:rFonts w:ascii="arial" w:eastAsia="arial" w:hAnsi="arial" w:cs="arial"/>
          <w:b/>
          <w:i/>
          <w:color w:val="000000"/>
          <w:sz w:val="20"/>
          <w:lang w:val="en-US" w:eastAsia="en-US" w:bidi="ar-SA"/>
        </w:rPr>
        <w:t>Guarantee Company of North American v. Gordon Capital Corporation</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xml:space="preserve"> at para. 64 </w:t>
      </w:r>
      <w:hyperlink r:id="rId164" w:history="1">
        <w:r>
          <w:rPr>
            <w:rFonts w:ascii="arial" w:eastAsia="arial" w:hAnsi="arial" w:cs="arial"/>
            <w:i/>
            <w:color w:val="0077CC"/>
            <w:sz w:val="20"/>
            <w:u w:val="single"/>
            <w:shd w:val="clear" w:color="auto" w:fill="FFFFFF"/>
            <w:lang w:val="en-US" w:eastAsia="en-US" w:bidi="ar-SA"/>
          </w:rPr>
          <w:t>178 D.L.R. (4th) 1</w:t>
        </w:r>
      </w:hyperlink>
      <w:r>
        <w:rPr>
          <w:rFonts w:ascii="arial" w:eastAsia="arial" w:hAnsi="arial" w:cs="arial"/>
          <w:color w:val="000000"/>
          <w:sz w:val="20"/>
          <w:lang w:val="en-US" w:eastAsia="en-US" w:bidi="ar-SA"/>
        </w:rPr>
        <w:t xml:space="preserve">, which in turn reconsidered its own reasons in </w:t>
      </w:r>
      <w:r>
        <w:rPr>
          <w:rFonts w:ascii="arial" w:eastAsia="arial" w:hAnsi="arial" w:cs="arial"/>
          <w:b/>
          <w:i/>
          <w:color w:val="000000"/>
          <w:sz w:val="20"/>
          <w:lang w:val="en-US" w:eastAsia="en-US" w:bidi="ar-SA"/>
        </w:rPr>
        <w:t>Hunter Engineering Co. v. Syncrude Canada Ltd.,</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57 D.L.R. (4th) 321</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Guarantee Company</w:t>
      </w:r>
      <w:r>
        <w:rPr>
          <w:rFonts w:ascii="arial" w:eastAsia="arial" w:hAnsi="arial" w:cs="arial"/>
          <w:color w:val="000000"/>
          <w:sz w:val="20"/>
          <w:lang w:val="en-US" w:eastAsia="en-US" w:bidi="ar-SA"/>
        </w:rPr>
        <w:t>, the court concluded that even where the reasoning was clear, a court could refuse to enforce a limitation clause if it would be unconscionable, unfair, unreasonable or otherwise contrary to public policy. At para. 64,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this point, we now turn to consider the additional qualifications set out </w:t>
      </w:r>
      <w:r>
        <w:rPr>
          <w:rFonts w:ascii="arial" w:eastAsia="arial" w:hAnsi="arial" w:cs="arial"/>
          <w:i/>
          <w:color w:val="000000"/>
          <w:sz w:val="20"/>
          <w:lang w:val="en-US" w:eastAsia="en-US" w:bidi="ar-SA"/>
        </w:rPr>
        <w:t>Hunter Engineering, supra</w:t>
      </w:r>
      <w:r>
        <w:rPr>
          <w:rFonts w:ascii="arial" w:eastAsia="arial" w:hAnsi="arial" w:cs="arial"/>
          <w:color w:val="000000"/>
          <w:sz w:val="20"/>
          <w:lang w:val="en-US" w:eastAsia="en-US" w:bidi="ar-SA"/>
        </w:rPr>
        <w:t xml:space="preserve"> whereby the parties are held to the terms of their agreement provided that the result is not unconscionable, as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Dickson C.J., or unfair, unreasonable or otherwise contrary to public policy, as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Wilson J. As we have already noted, the parties to this appeal, an insurance company and an investment dealer and brokerage firm, are sophisticated commercial actors. In addition, both parties were represented by counsel. In </w:t>
      </w:r>
      <w:r>
        <w:rPr>
          <w:rFonts w:ascii="arial" w:eastAsia="arial" w:hAnsi="arial" w:cs="arial"/>
          <w:i/>
          <w:color w:val="000000"/>
          <w:sz w:val="20"/>
          <w:lang w:val="en-US" w:eastAsia="en-US" w:bidi="ar-SA"/>
        </w:rPr>
        <w:t>Hunter Engineering, supra,</w:t>
      </w:r>
      <w:r>
        <w:rPr>
          <w:rFonts w:ascii="arial" w:eastAsia="arial" w:hAnsi="arial" w:cs="arial"/>
          <w:color w:val="000000"/>
          <w:sz w:val="20"/>
          <w:lang w:val="en-US" w:eastAsia="en-US" w:bidi="ar-SA"/>
        </w:rPr>
        <w:t xml:space="preserve"> these factors were sufficient for both Dickson C.J. and Wilson J. to conclude that had the doctrine of fundamental breach applied, no reason existed for the Court to refuse to enforce the bargain made between the parties in terms of the clause governing exclusion of liability. </w:t>
      </w:r>
      <w:r>
        <w:rPr>
          <w:rFonts w:ascii="arial" w:eastAsia="arial" w:hAnsi="arial" w:cs="arial"/>
          <w:i/>
          <w:color w:val="000000"/>
          <w:sz w:val="20"/>
          <w:lang w:val="en-US" w:eastAsia="en-US" w:bidi="ar-SA"/>
        </w:rPr>
        <w:t>Similarly, we conclude that it would not be unconscionable, unfair, unreasonable or otherwise contrary to public policy to uphold the intentions of the parties concerning the operation of the contractual limitation period in these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it is for me to consider firstly, whether Clause 3.9.6 is clear and unambiguous. If I cannot find with reasonable certainty that the parties meant to exclude discoverability, I must find for the plaintiff. If the language is clear enough to persuade me that it is excluded, where there is a fundamental breach, I must still examine whether excluding it would be unconscionable, unfair, unreasonable or otherwise contrary to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for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the IBI Group submitted that it does not apply in this case. In Fridman, </w:t>
      </w:r>
      <w:r>
        <w:rPr>
          <w:rFonts w:ascii="arial" w:eastAsia="arial" w:hAnsi="arial" w:cs="arial"/>
          <w:color w:val="000000"/>
          <w:sz w:val="20"/>
          <w:u w:val="single"/>
          <w:lang w:val="en-US" w:eastAsia="en-US" w:bidi="ar-SA"/>
        </w:rPr>
        <w:t>The Law of Contract in Canada,</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458,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is explained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rule meant to relieve the non-authorial party to a contract from an interpretation that party could not clearly discern from a plain reading of the document. This prevents the party who did draft and understand the contract from springing a hidden contractual burden on an unsuspecting signator.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maxim only applies where the other party had no meaningful opportunity to participate in negotiation of the contract, where, in effect, there is inequality of bargaining power. However, it is necessary to find the ambiguity in the contract first, before applying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Like Madam Justice Gray in </w:t>
      </w:r>
      <w:r>
        <w:rPr>
          <w:rFonts w:ascii="arial" w:eastAsia="arial" w:hAnsi="arial" w:cs="arial"/>
          <w:b/>
          <w:i/>
          <w:color w:val="000000"/>
          <w:sz w:val="20"/>
          <w:lang w:val="en-US" w:eastAsia="en-US" w:bidi="ar-SA"/>
        </w:rPr>
        <w:t>Board of School Trustees et al v. Killick Metz Bowen Rose Architects and Planners et</w:t>
      </w:r>
      <w:r>
        <w:rPr>
          <w:rFonts w:ascii="arial" w:eastAsia="arial" w:hAnsi="arial" w:cs="arial"/>
          <w:color w:val="000000"/>
          <w:sz w:val="20"/>
          <w:lang w:val="en-US" w:eastAsia="en-US" w:bidi="ar-SA"/>
        </w:rPr>
        <w:t xml:space="preserve"> al, </w:t>
      </w:r>
      <w:hyperlink r:id="rId166" w:history="1">
        <w:r>
          <w:rPr>
            <w:rFonts w:ascii="arial" w:eastAsia="arial" w:hAnsi="arial" w:cs="arial"/>
            <w:i/>
            <w:color w:val="0077CC"/>
            <w:sz w:val="20"/>
            <w:u w:val="single"/>
            <w:shd w:val="clear" w:color="auto" w:fill="FFFFFF"/>
            <w:lang w:val="en-US" w:eastAsia="en-US" w:bidi="ar-SA"/>
          </w:rPr>
          <w:t>2007 BCSC 28</w:t>
        </w:r>
      </w:hyperlink>
      <w:r>
        <w:rPr>
          <w:rFonts w:ascii="arial" w:eastAsia="arial" w:hAnsi="arial" w:cs="arial"/>
          <w:color w:val="000000"/>
          <w:sz w:val="20"/>
          <w:lang w:val="en-US" w:eastAsia="en-US" w:bidi="ar-SA"/>
        </w:rPr>
        <w:t xml:space="preserve"> at paras. 74-77 ("Rose Architects"), I do not find that there is anything ambiguous or vague in Clause 3.9.6 of the Client-Architect Agreement. The language is effective to exclude discoverability.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School Board argues that to enforce the clause in the case at bar would offend three policy considerations; first, the right of an innocent party to seek redress in the courts; second, the principal of discoverability as it relates to latent defects; and third, the principle that the law should strive to avoid the creation of defects that endanger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School Board argues that legislatures recognize the importance of protecting plaintiffs against limitation periods in a variety of circumstances. For example,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R.S.B.C. 1996, c. 266, s. 6, recognizes lack of knowledge on the part of the plaintiff as justifying a postponement of the running of a limitation period in certain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Kamloops v. Neilson,</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at p. 40, </w:t>
      </w:r>
      <w:hyperlink r:id="rId167" w:history="1">
        <w:r>
          <w:rPr>
            <w:rFonts w:ascii="arial" w:eastAsia="arial" w:hAnsi="arial" w:cs="arial"/>
            <w:i/>
            <w:color w:val="0077CC"/>
            <w:sz w:val="20"/>
            <w:u w:val="single"/>
            <w:shd w:val="clear" w:color="auto" w:fill="FFFFFF"/>
            <w:lang w:val="en-US" w:eastAsia="en-US" w:bidi="ar-SA"/>
          </w:rPr>
          <w:t>10 D.L.R. (4th) 641</w:t>
        </w:r>
      </w:hyperlink>
      <w:r>
        <w:rPr>
          <w:rFonts w:ascii="arial" w:eastAsia="arial" w:hAnsi="arial" w:cs="arial"/>
          <w:color w:val="000000"/>
          <w:sz w:val="20"/>
          <w:lang w:val="en-US" w:eastAsia="en-US" w:bidi="ar-SA"/>
        </w:rPr>
        <w:t>, the court described the public policy relating to latent defects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obvious problems in applying Pirelli, [1983] 1 All E.R. 65. To what extent does physical damage have to have manifested itself? Is a hair-line crack enough or does there have to be a more substantial manifestation? And what of an owner who discovers that his building is constructed of materials which will cause it to collapse in five years time? According to Pirelli he has no cause of action until it starts to crumble. </w:t>
      </w:r>
      <w:r>
        <w:rPr>
          <w:rFonts w:ascii="arial" w:eastAsia="arial" w:hAnsi="arial" w:cs="arial"/>
          <w:i/>
          <w:color w:val="000000"/>
          <w:sz w:val="20"/>
          <w:lang w:val="en-US" w:eastAsia="en-US" w:bidi="ar-SA"/>
        </w:rPr>
        <w:t>But perhaps the most serious concern is the injustice of a law which statute-bars a claim before the plaintiff is even aware of its existence.</w:t>
      </w:r>
      <w:r>
        <w:rPr>
          <w:rFonts w:ascii="arial" w:eastAsia="arial" w:hAnsi="arial" w:cs="arial"/>
          <w:color w:val="000000"/>
          <w:sz w:val="20"/>
          <w:lang w:val="en-US" w:eastAsia="en-US" w:bidi="ar-SA"/>
        </w:rPr>
        <w:t xml:space="preserve"> Lord Fraser and Lord Scarman were clearly concerned over this but considered themselves bound by </w:t>
      </w:r>
      <w:r>
        <w:rPr>
          <w:rFonts w:ascii="arial" w:eastAsia="arial" w:hAnsi="arial" w:cs="arial"/>
          <w:i/>
          <w:color w:val="000000"/>
          <w:sz w:val="20"/>
          <w:lang w:val="en-US" w:eastAsia="en-US" w:bidi="ar-SA"/>
        </w:rPr>
        <w:t>Cartledge</w:t>
      </w:r>
      <w:r>
        <w:rPr>
          <w:rFonts w:ascii="arial" w:eastAsia="arial" w:hAnsi="arial" w:cs="arial"/>
          <w:color w:val="000000"/>
          <w:sz w:val="20"/>
          <w:lang w:val="en-US" w:eastAsia="en-US" w:bidi="ar-SA"/>
        </w:rPr>
        <w:t xml:space="preserve"> [1963] A.C. 758. The only solution in their eyes was the intervention of the legislature.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is in the happy position of being free to adopt or reject Pirelli. I would reject it. This is not to say that </w:t>
      </w:r>
      <w:r>
        <w:rPr>
          <w:rFonts w:ascii="arial" w:eastAsia="arial" w:hAnsi="arial" w:cs="arial"/>
          <w:i/>
          <w:color w:val="000000"/>
          <w:sz w:val="20"/>
          <w:lang w:val="en-US" w:eastAsia="en-US" w:bidi="ar-SA"/>
        </w:rPr>
        <w:t>Sparham-Souter</w:t>
      </w:r>
      <w:r>
        <w:rPr>
          <w:rFonts w:ascii="arial" w:eastAsia="arial" w:hAnsi="arial" w:cs="arial"/>
          <w:color w:val="000000"/>
          <w:sz w:val="20"/>
          <w:lang w:val="en-US" w:eastAsia="en-US" w:bidi="ar-SA"/>
        </w:rPr>
        <w:t xml:space="preserve"> presents no problem. As Lord Fraser pointed out in Pirelli the </w:t>
      </w:r>
      <w:r>
        <w:rPr>
          <w:rFonts w:ascii="arial" w:eastAsia="arial" w:hAnsi="arial" w:cs="arial"/>
          <w:i/>
          <w:color w:val="000000"/>
          <w:sz w:val="20"/>
          <w:lang w:val="en-US" w:eastAsia="en-US" w:bidi="ar-SA"/>
        </w:rPr>
        <w:t>postponement of the accrual of the cause of action until the date of discoverability may involve the courts in the investigation of facts many years after their occurrence. Dennis v. Charnwood Borough Council,</w:t>
      </w:r>
      <w:r>
        <w:rPr>
          <w:rFonts w:ascii="arial" w:eastAsia="arial" w:hAnsi="arial" w:cs="arial"/>
          <w:color w:val="000000"/>
          <w:sz w:val="20"/>
          <w:lang w:val="en-US" w:eastAsia="en-US" w:bidi="ar-SA"/>
        </w:rPr>
        <w:t xml:space="preserve"> [1982] 2 All E.R. 486, is a classic illustration of this. </w:t>
      </w:r>
      <w:r>
        <w:rPr>
          <w:rFonts w:ascii="arial" w:eastAsia="arial" w:hAnsi="arial" w:cs="arial"/>
          <w:i/>
          <w:color w:val="000000"/>
          <w:sz w:val="20"/>
          <w:lang w:val="en-US" w:eastAsia="en-US" w:bidi="ar-SA"/>
        </w:rPr>
        <w:t>It seems to me, however, to be much the lesser of two evils.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School Board also cites Ontario legislation and similar statues in other jurisdictions which limit the application of limitation clauses in favour of doctors, dentists, etc. See </w:t>
      </w:r>
      <w:r>
        <w:rPr>
          <w:rFonts w:ascii="arial" w:eastAsia="arial" w:hAnsi="arial" w:cs="arial"/>
          <w:b/>
          <w:i/>
          <w:color w:val="000000"/>
          <w:sz w:val="20"/>
          <w:lang w:val="en-US" w:eastAsia="en-US" w:bidi="ar-SA"/>
        </w:rPr>
        <w:t>Tardif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Mr. Samuels, for the plaintiff, ably argued several cases citing the unfairness and injustice of time barring claims before a plaintiff knows of its existence. He referred to </w:t>
      </w:r>
      <w:r>
        <w:rPr>
          <w:rFonts w:ascii="arial" w:eastAsia="arial" w:hAnsi="arial" w:cs="arial"/>
          <w:b/>
          <w:i/>
          <w:color w:val="000000"/>
          <w:sz w:val="20"/>
          <w:lang w:val="en-US" w:eastAsia="en-US" w:bidi="ar-SA"/>
        </w:rPr>
        <w:t>Consumers Glass Co. Ltd. v. Foundation Co. of Canada Ltd.</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51 O.R. (2d) 385</w:t>
        </w:r>
      </w:hyperlink>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 D.L.R. (4th) 126</w:t>
        </w:r>
      </w:hyperlink>
      <w:r>
        <w:rPr>
          <w:rFonts w:ascii="arial" w:eastAsia="arial" w:hAnsi="arial" w:cs="arial"/>
          <w:color w:val="000000"/>
          <w:sz w:val="20"/>
          <w:lang w:val="en-US" w:eastAsia="en-US" w:bidi="ar-SA"/>
        </w:rPr>
        <w:t xml:space="preserve"> (Ont. C.A.), where the discoverability principle was protected by the court. He also referred to </w:t>
      </w:r>
      <w:r>
        <w:rPr>
          <w:rFonts w:ascii="arial" w:eastAsia="arial" w:hAnsi="arial" w:cs="arial"/>
          <w:b/>
          <w:i/>
          <w:color w:val="000000"/>
          <w:sz w:val="20"/>
          <w:lang w:val="en-US" w:eastAsia="en-US" w:bidi="ar-SA"/>
        </w:rPr>
        <w:t>Peixeiro,</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where Major J. speaking for the Supreme Court of Canada, stated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the Court of Appeal that to hold that the discoverability principle does not apply to s. 206 HTA </w:t>
      </w:r>
      <w:r>
        <w:rPr>
          <w:rFonts w:ascii="arial" w:eastAsia="arial" w:hAnsi="arial" w:cs="arial"/>
          <w:i/>
          <w:color w:val="000000"/>
          <w:sz w:val="20"/>
          <w:lang w:val="en-US" w:eastAsia="en-US" w:bidi="ar-SA"/>
        </w:rPr>
        <w:t>would unfairly preclude actions by plaintiffs unaware of the existence of their cause of action.</w:t>
      </w:r>
      <w:r>
        <w:rPr>
          <w:rFonts w:ascii="arial" w:eastAsia="arial" w:hAnsi="arial" w:cs="arial"/>
          <w:color w:val="000000"/>
          <w:sz w:val="20"/>
          <w:lang w:val="en-US" w:eastAsia="en-US" w:bidi="ar-SA"/>
        </w:rPr>
        <w:t xml:space="preserve"> In balancing the defendant's legitimate interest in respecting limitations periods and the interest of the plaintiffs, </w:t>
      </w:r>
      <w:r>
        <w:rPr>
          <w:rFonts w:ascii="arial" w:eastAsia="arial" w:hAnsi="arial" w:cs="arial"/>
          <w:i/>
          <w:color w:val="000000"/>
          <w:sz w:val="20"/>
          <w:lang w:val="en-US" w:eastAsia="en-US" w:bidi="ar-SA"/>
        </w:rPr>
        <w:t>the fundamental unfairness of requiring a plaintiff to bring a cause of action is a compelling consideration.</w:t>
      </w:r>
      <w:r>
        <w:rPr>
          <w:rFonts w:ascii="arial" w:eastAsia="arial" w:hAnsi="arial" w:cs="arial"/>
          <w:color w:val="000000"/>
          <w:sz w:val="20"/>
          <w:lang w:val="en-US" w:eastAsia="en-US" w:bidi="ar-SA"/>
        </w:rPr>
        <w:t xml:space="preserve"> The diligence rationale would not be undermined by the application of the discoverability principle as it still requires reasonable diligence by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Mr. Samuels also quoted from </w:t>
      </w:r>
      <w:r>
        <w:rPr>
          <w:rFonts w:ascii="arial" w:eastAsia="arial" w:hAnsi="arial" w:cs="arial"/>
          <w:b/>
          <w:i/>
          <w:color w:val="000000"/>
          <w:sz w:val="20"/>
          <w:lang w:val="en-US" w:eastAsia="en-US" w:bidi="ar-SA"/>
        </w:rPr>
        <w:t>Tercon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149</w:t>
      </w:r>
      <w:r>
        <w:rPr>
          <w:rFonts w:ascii="arial" w:eastAsia="arial" w:hAnsi="arial" w:cs="arial"/>
          <w:b/>
          <w:i/>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this conclusion, it may not be necessary to address the enforceability of the exclusion clause. However, reason not to enforce the clause exists in the circumstances here. According to the approach in </w:t>
      </w:r>
      <w:r>
        <w:rPr>
          <w:rFonts w:ascii="arial" w:eastAsia="arial" w:hAnsi="arial" w:cs="arial"/>
          <w:i/>
          <w:color w:val="000000"/>
          <w:sz w:val="20"/>
          <w:lang w:val="en-US" w:eastAsia="en-US" w:bidi="ar-SA"/>
        </w:rPr>
        <w:t>Guarantee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whether the exclusion clause survives fundamental breaches depends on whether the result is unconscionable or unfair, unreasonable, or contrary to public policy (see also </w:t>
      </w:r>
      <w:r>
        <w:rPr>
          <w:rFonts w:ascii="arial" w:eastAsia="arial" w:hAnsi="arial" w:cs="arial"/>
          <w:i/>
          <w:color w:val="000000"/>
          <w:sz w:val="20"/>
          <w:lang w:val="en-US" w:eastAsia="en-US" w:bidi="ar-SA"/>
        </w:rPr>
        <w:t>Shelanu).</w:t>
      </w:r>
      <w:r>
        <w:rPr>
          <w:rFonts w:ascii="arial" w:eastAsia="arial" w:hAnsi="arial" w:cs="arial"/>
          <w:color w:val="000000"/>
          <w:sz w:val="20"/>
          <w:lang w:val="en-US" w:eastAsia="en-US" w:bidi="ar-SA"/>
        </w:rPr>
        <w:t xml:space="preserve"> While it has been suggested that there may be no real difference between these approaches and both are to be used sparingly, it appears that </w:t>
      </w:r>
      <w:r>
        <w:rPr>
          <w:rFonts w:ascii="arial" w:eastAsia="arial" w:hAnsi="arial" w:cs="arial"/>
          <w:i/>
          <w:color w:val="000000"/>
          <w:sz w:val="20"/>
          <w:lang w:val="en-US" w:eastAsia="en-US" w:bidi="ar-SA"/>
        </w:rPr>
        <w:t>fairness and reasonableness can be assessed at the time of the breach and not just at the time the contract is concluded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at 510-511; </w:t>
      </w:r>
      <w:r>
        <w:rPr>
          <w:rFonts w:ascii="arial" w:eastAsia="arial" w:hAnsi="arial" w:cs="arial"/>
          <w:i/>
          <w:color w:val="000000"/>
          <w:sz w:val="20"/>
          <w:lang w:val="en-US" w:eastAsia="en-US" w:bidi="ar-SA"/>
        </w:rPr>
        <w:t>MacKay</w:t>
      </w:r>
      <w:r>
        <w:rPr>
          <w:rFonts w:ascii="arial" w:eastAsia="arial" w:hAnsi="arial" w:cs="arial"/>
          <w:color w:val="000000"/>
          <w:sz w:val="20"/>
          <w:lang w:val="en-US" w:eastAsia="en-US" w:bidi="ar-SA"/>
        </w:rPr>
        <w:t xml:space="preserve"> at paras. 12 - 14; </w:t>
      </w:r>
      <w:r>
        <w:rPr>
          <w:rFonts w:ascii="arial" w:eastAsia="arial" w:hAnsi="arial" w:cs="arial"/>
          <w:i/>
          <w:color w:val="000000"/>
          <w:sz w:val="20"/>
          <w:lang w:val="en-US" w:eastAsia="en-US" w:bidi="ar-SA"/>
        </w:rPr>
        <w:t>Plas-Tex Canada Ltd. v. Down Chemical of Canada Ltd.</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(2004), 245 D.L.R. (4th) 650</w:t>
        </w:r>
      </w:hyperlink>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[2005] 7 W.W.R. 419</w:t>
        </w:r>
      </w:hyperlink>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2004 ABCA 309</w:t>
        </w:r>
      </w:hyperlink>
      <w:r>
        <w:rPr>
          <w:rFonts w:ascii="arial" w:eastAsia="arial" w:hAnsi="arial" w:cs="arial"/>
          <w:color w:val="000000"/>
          <w:sz w:val="20"/>
          <w:lang w:val="en-US" w:eastAsia="en-US" w:bidi="ar-SA"/>
        </w:rPr>
        <w:t xml:space="preserve"> at para. 51). A party should not be allowed to commit a fundamental breach sure in the knowledge that no liability can attend to it and the court should not be used to enforce a bargain that a party has repudiated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at 509-510)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Samuels also cited </w:t>
      </w:r>
      <w:r>
        <w:rPr>
          <w:rFonts w:ascii="arial" w:eastAsia="arial" w:hAnsi="arial" w:cs="arial"/>
          <w:b/>
          <w:i/>
          <w:color w:val="000000"/>
          <w:sz w:val="20"/>
          <w:lang w:val="en-US" w:eastAsia="en-US" w:bidi="ar-SA"/>
        </w:rPr>
        <w:t>Winnipeg Condominium Corp. No. 36 v. Bird Construction Co. Ltd.,</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121 D.L.R. (4th) 193</w:t>
        </w:r>
      </w:hyperlink>
      <w:r>
        <w:rPr>
          <w:rFonts w:ascii="arial" w:eastAsia="arial" w:hAnsi="arial" w:cs="arial"/>
          <w:color w:val="000000"/>
          <w:sz w:val="20"/>
          <w:lang w:val="en-US" w:eastAsia="en-US" w:bidi="ar-SA"/>
        </w:rPr>
        <w:t xml:space="preserve">, to illustrate the public policy concern for public safety. In </w:t>
      </w:r>
      <w:r>
        <w:rPr>
          <w:rFonts w:ascii="arial" w:eastAsia="arial" w:hAnsi="arial" w:cs="arial"/>
          <w:b/>
          <w:i/>
          <w:color w:val="000000"/>
          <w:sz w:val="20"/>
          <w:lang w:val="en-US" w:eastAsia="en-US" w:bidi="ar-SA"/>
        </w:rPr>
        <w:t>Winnipeg Condominium,</w:t>
      </w:r>
      <w:r>
        <w:rPr>
          <w:rFonts w:ascii="arial" w:eastAsia="arial" w:hAnsi="arial" w:cs="arial"/>
          <w:color w:val="000000"/>
          <w:sz w:val="20"/>
          <w:lang w:val="en-US" w:eastAsia="en-US" w:bidi="ar-SA"/>
        </w:rPr>
        <w:t xml:space="preserve"> the court recognized dangers to public safety caused by latent defects and the need to encourage safe practices by architects and builders.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IBI Group submits on the other hand that where private contracts are concerned there is a "greater importance in preserving a sphere of individual liberty and commercial flexibility" and "the right of individuals to arrange their affairs and assume risks in a different way than would be done by the law of tort". See </w:t>
      </w:r>
      <w:r>
        <w:rPr>
          <w:rFonts w:ascii="arial" w:eastAsia="arial" w:hAnsi="arial" w:cs="arial"/>
          <w:b/>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Gray v. Canada Life Assurance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Rose Architects,</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heard October 20, 2006, the facts also concerned faulty design and construction of a school pursuant to a contract almost identical to the one used in the case at bar. The claim in that case was also for damage caused by water ingress over a period of years, and the quantum claimed was $900,000, as compared to $1,600,000 claimed in the case at bar. The main difference was that in </w:t>
      </w:r>
      <w:r>
        <w:rPr>
          <w:rFonts w:ascii="arial" w:eastAsia="arial" w:hAnsi="arial" w:cs="arial"/>
          <w:b/>
          <w:i/>
          <w:color w:val="000000"/>
          <w:sz w:val="20"/>
          <w:lang w:val="en-US" w:eastAsia="en-US" w:bidi="ar-SA"/>
        </w:rPr>
        <w:t>Rose Architects,</w:t>
      </w:r>
      <w:r>
        <w:rPr>
          <w:rFonts w:ascii="arial" w:eastAsia="arial" w:hAnsi="arial" w:cs="arial"/>
          <w:color w:val="000000"/>
          <w:sz w:val="20"/>
          <w:lang w:val="en-US" w:eastAsia="en-US" w:bidi="ar-SA"/>
        </w:rPr>
        <w:t xml:space="preserve"> the claim for fundamental breach originally pled was subsequently abandoned by the plaintiffs at trial, whereas in the present case and for the purpose of this application, fundamental breach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Accordingly, it was not necessary for the court in </w:t>
      </w:r>
      <w:r>
        <w:rPr>
          <w:rFonts w:ascii="arial" w:eastAsia="arial" w:hAnsi="arial" w:cs="arial"/>
          <w:b/>
          <w:i/>
          <w:color w:val="000000"/>
          <w:sz w:val="20"/>
          <w:lang w:val="en-US" w:eastAsia="en-US" w:bidi="ar-SA"/>
        </w:rPr>
        <w:t>Rose Architects</w:t>
      </w:r>
      <w:r>
        <w:rPr>
          <w:rFonts w:ascii="arial" w:eastAsia="arial" w:hAnsi="arial" w:cs="arial"/>
          <w:color w:val="000000"/>
          <w:sz w:val="20"/>
          <w:lang w:val="en-US" w:eastAsia="en-US" w:bidi="ar-SA"/>
        </w:rPr>
        <w:t xml:space="preserve"> to consider the policy considerations applicable in a fundamental breach scenario. However, in her Reasons, Madam Justice Gray commented, at paras. 74-77,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principle of discoverability ought to be considered in construing a contract. However, as distinct from construing statutes, the court must take into account the principle of primacy of private ordering and the fact that parties to a contract allocate certain risks between them. In this case, clause 3.9.3 provides that the Architect's liability to the School Board arising out of the contract "shall absolutely cease to exist" six years after the earlier of several dates. One of those dates requires application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which includes a principle of discoverability in the postponement terms of s. 6. However, the parties agreed that the Architect's liability would end earlier if the date which was six years following other events, including Substantial Performance of the Work, occurred first.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entered into a contract which required time to run from a fixed event, being Substantial Performance, which clearly occurs without regard to the School Board's knowledge. In cases where the wording of a time limitation permits time to run for example from when the "damages were sustained", as in </w:t>
      </w:r>
      <w:r>
        <w:rPr>
          <w:rFonts w:ascii="arial" w:eastAsia="arial" w:hAnsi="arial" w:cs="arial"/>
          <w:i/>
          <w:color w:val="000000"/>
          <w:sz w:val="20"/>
          <w:lang w:val="en-US" w:eastAsia="en-US" w:bidi="ar-SA"/>
        </w:rPr>
        <w:t>Peixeiro v. Haberman</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[1997] 3 S.C.R. 549</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151 D.L.R. (4th) 429</w:t>
        </w:r>
      </w:hyperlink>
      <w:r>
        <w:rPr>
          <w:rFonts w:ascii="arial" w:eastAsia="arial" w:hAnsi="arial" w:cs="arial"/>
          <w:color w:val="000000"/>
          <w:sz w:val="20"/>
          <w:lang w:val="en-US" w:eastAsia="en-US" w:bidi="ar-SA"/>
        </w:rPr>
        <w:t xml:space="preserve">, or after "the date on which the right to do so arose", as in </w:t>
      </w:r>
      <w:r>
        <w:rPr>
          <w:rFonts w:ascii="arial" w:eastAsia="arial" w:hAnsi="arial" w:cs="arial"/>
          <w:i/>
          <w:color w:val="000000"/>
          <w:sz w:val="20"/>
          <w:lang w:val="en-US" w:eastAsia="en-US" w:bidi="ar-SA"/>
        </w:rPr>
        <w:t>Nielsen v. Kamloops (City),</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10 D.L.R. (4th) 641</w:t>
        </w:r>
      </w:hyperlink>
      <w:r>
        <w:rPr>
          <w:rFonts w:ascii="arial" w:eastAsia="arial" w:hAnsi="arial" w:cs="arial"/>
          <w:color w:val="000000"/>
          <w:sz w:val="20"/>
          <w:lang w:val="en-US" w:eastAsia="en-US" w:bidi="ar-SA"/>
        </w:rPr>
        <w:t>, the court must consider if enough has occurred to cause "damage" or give rise to a cause of action. In contrast, the pivotal event in the Consulting Contract is the date of Substantial Performance of the Work as set out in clauses 3.9.6 and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reasons the parties would choose to enter into such a term are easy to understand. The parties allocated risks between them under the terms of the Consulting Contract, with each party agreeing to accept a particular risk. They could order their affairs accordingly, such as by securing appropriate insurance.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In this case, the facts necessary to determine the question of interpretation of the Consulting Contract requires only an examination of the contract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STARE DECISIS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IBI Group argued that the facts in the </w:t>
      </w:r>
      <w:r>
        <w:rPr>
          <w:rFonts w:ascii="arial" w:eastAsia="arial" w:hAnsi="arial" w:cs="arial"/>
          <w:b/>
          <w:i/>
          <w:color w:val="000000"/>
          <w:sz w:val="20"/>
          <w:lang w:val="en-US" w:eastAsia="en-US" w:bidi="ar-SA"/>
        </w:rPr>
        <w:t>Rose Architects</w:t>
      </w:r>
      <w:r>
        <w:rPr>
          <w:rFonts w:ascii="arial" w:eastAsia="arial" w:hAnsi="arial" w:cs="arial"/>
          <w:color w:val="000000"/>
          <w:sz w:val="20"/>
          <w:lang w:val="en-US" w:eastAsia="en-US" w:bidi="ar-SA"/>
        </w:rPr>
        <w:t xml:space="preserve"> case are so similar to those at the case at bar, that I am bound by </w:t>
      </w:r>
      <w:r>
        <w:rPr>
          <w:rFonts w:ascii="arial" w:eastAsia="arial" w:hAnsi="arial" w:cs="arial"/>
          <w:i/>
          <w:color w:val="000000"/>
          <w:sz w:val="20"/>
          <w:lang w:val="en-US" w:eastAsia="en-US" w:bidi="ar-SA"/>
        </w:rPr>
        <w:t>stare decisis</w:t>
      </w:r>
      <w:r>
        <w:rPr>
          <w:rFonts w:ascii="arial" w:eastAsia="arial" w:hAnsi="arial" w:cs="arial"/>
          <w:color w:val="000000"/>
          <w:sz w:val="20"/>
          <w:lang w:val="en-US" w:eastAsia="en-US" w:bidi="ar-SA"/>
        </w:rPr>
        <w:t xml:space="preserve"> to follow the reasoning and the result in </w:t>
      </w:r>
      <w:r>
        <w:rPr>
          <w:rFonts w:ascii="arial" w:eastAsia="arial" w:hAnsi="arial" w:cs="arial"/>
          <w:b/>
          <w:i/>
          <w:color w:val="000000"/>
          <w:sz w:val="20"/>
          <w:lang w:val="en-US" w:eastAsia="en-US" w:bidi="ar-SA"/>
        </w:rPr>
        <w:t>Rose Architects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principle of </w:t>
      </w:r>
      <w:r>
        <w:rPr>
          <w:rFonts w:ascii="arial" w:eastAsia="arial" w:hAnsi="arial" w:cs="arial"/>
          <w:i/>
          <w:color w:val="000000"/>
          <w:sz w:val="20"/>
          <w:lang w:val="en-US" w:eastAsia="en-US" w:bidi="ar-SA"/>
        </w:rPr>
        <w:t>stare decisis</w:t>
      </w:r>
      <w:r>
        <w:rPr>
          <w:rFonts w:ascii="arial" w:eastAsia="arial" w:hAnsi="arial" w:cs="arial"/>
          <w:color w:val="000000"/>
          <w:sz w:val="20"/>
          <w:lang w:val="en-US" w:eastAsia="en-US" w:bidi="ar-SA"/>
        </w:rPr>
        <w:t xml:space="preserve"> calls for judges to defer to previous decisions of the same or higher level of court. Lord Haldane expressed the reasoning for this principle in </w:t>
      </w:r>
      <w:r>
        <w:rPr>
          <w:rFonts w:ascii="arial" w:eastAsia="arial" w:hAnsi="arial" w:cs="arial"/>
          <w:b/>
          <w:i/>
          <w:color w:val="000000"/>
          <w:sz w:val="20"/>
          <w:lang w:val="en-US" w:eastAsia="en-US" w:bidi="ar-SA"/>
        </w:rPr>
        <w:t>Krelinger v. New Patagonia Meat and Cold Storage Company Limited,</w:t>
      </w:r>
      <w:r>
        <w:rPr>
          <w:rFonts w:ascii="arial" w:eastAsia="arial" w:hAnsi="arial" w:cs="arial"/>
          <w:color w:val="000000"/>
          <w:sz w:val="20"/>
          <w:lang w:val="en-US" w:eastAsia="en-US" w:bidi="ar-SA"/>
        </w:rPr>
        <w:t xml:space="preserve"> [1914] A.C. 25, 83 L.J. Ch. 79 (H.C.):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follow previous authorities, so far as to lay down principles, is essential if the law is to be preserved from becoming unsettled and vague.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 Hansard Spruce Mills Ltd</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at 592, </w:t>
      </w:r>
      <w:hyperlink r:id="rId171" w:history="1">
        <w:r>
          <w:rPr>
            <w:rFonts w:ascii="arial" w:eastAsia="arial" w:hAnsi="arial" w:cs="arial"/>
            <w:i/>
            <w:color w:val="0077CC"/>
            <w:sz w:val="20"/>
            <w:u w:val="single"/>
            <w:shd w:val="clear" w:color="auto" w:fill="FFFFFF"/>
            <w:lang w:val="en-US" w:eastAsia="en-US" w:bidi="ar-SA"/>
          </w:rPr>
          <w:t>13 W.W.R. (N.S.) 285</w:t>
        </w:r>
      </w:hyperlink>
      <w:r>
        <w:rPr>
          <w:rFonts w:ascii="arial" w:eastAsia="arial" w:hAnsi="arial" w:cs="arial"/>
          <w:color w:val="000000"/>
          <w:sz w:val="20"/>
          <w:lang w:val="en-US" w:eastAsia="en-US" w:bidi="ar-SA"/>
        </w:rPr>
        <w:t xml:space="preserve"> (B.C.S.C.), Wilson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to epitomize what I have already written in the Cairney case, I say this: I will only go against a judgment of another Judge of this Court if:</w:t>
      </w:r>
    </w:p>
    <w:p>
      <w:pPr>
        <w:numPr>
          <w:numId w:val="1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decisions have affected the validity of the impugned judgment;</w:t>
      </w:r>
    </w:p>
    <w:p>
      <w:pPr>
        <w:numPr>
          <w:numId w:val="1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demonstrated that some binding authority in case law, or some relevant statute was not considered;</w:t>
      </w:r>
    </w:p>
    <w:p>
      <w:pPr>
        <w:numPr>
          <w:numId w:val="1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was unconsidered, a nisi prius judgment given in circumstances familiar to all trial Judges, where the exigencies of the trial require an immediate decision without opportunity to fully consult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none of these situations exist I think a trial Judge should follow the decisions of his brother Judges.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School Board argues that </w:t>
      </w:r>
      <w:r>
        <w:rPr>
          <w:rFonts w:ascii="arial" w:eastAsia="arial" w:hAnsi="arial" w:cs="arial"/>
          <w:b/>
          <w:i/>
          <w:color w:val="000000"/>
          <w:sz w:val="20"/>
          <w:lang w:val="en-US" w:eastAsia="en-US" w:bidi="ar-SA"/>
        </w:rPr>
        <w:t>Rose Architects</w:t>
      </w:r>
      <w:r>
        <w:rPr>
          <w:rFonts w:ascii="arial" w:eastAsia="arial" w:hAnsi="arial" w:cs="arial"/>
          <w:color w:val="000000"/>
          <w:sz w:val="20"/>
          <w:lang w:val="en-US" w:eastAsia="en-US" w:bidi="ar-SA"/>
        </w:rPr>
        <w:t xml:space="preserve"> is distinguishable and need not be followed because, among other things:</w:t>
      </w:r>
      <w:r>
        <w:rPr>
          <w:rFonts w:ascii="arial" w:eastAsia="arial" w:hAnsi="arial" w:cs="arial"/>
          <w:sz w:val="20"/>
          <w:lang w:val="en-US" w:eastAsia="en-US" w:bidi="ar-SA"/>
        </w:rPr>
        <w:cr/>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fundamental breach was not an issue in </w:t>
      </w:r>
      <w:r>
        <w:rPr>
          <w:rFonts w:ascii="arial" w:eastAsia="arial" w:hAnsi="arial" w:cs="arial"/>
          <w:b/>
          <w:i/>
          <w:color w:val="000000"/>
          <w:sz w:val="20"/>
          <w:lang w:val="en-US" w:eastAsia="en-US" w:bidi="ar-SA"/>
        </w:rPr>
        <w:t>Rose Arichtects;</w:t>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in </w:t>
      </w:r>
      <w:r>
        <w:rPr>
          <w:rFonts w:ascii="arial" w:eastAsia="arial" w:hAnsi="arial" w:cs="arial"/>
          <w:b/>
          <w:i/>
          <w:color w:val="000000"/>
          <w:sz w:val="20"/>
          <w:lang w:val="en-US" w:eastAsia="en-US" w:bidi="ar-SA"/>
        </w:rPr>
        <w:t>Rose Architects</w:t>
      </w:r>
      <w:r>
        <w:rPr>
          <w:rFonts w:ascii="arial" w:eastAsia="arial" w:hAnsi="arial" w:cs="arial"/>
          <w:color w:val="000000"/>
          <w:sz w:val="20"/>
          <w:lang w:val="en-US" w:eastAsia="en-US" w:bidi="ar-SA"/>
        </w:rPr>
        <w:t xml:space="preserve"> had no factual basis upon which to make a finding that substantial performance had not occurred;</w:t>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in </w:t>
      </w:r>
      <w:r>
        <w:rPr>
          <w:rFonts w:ascii="arial" w:eastAsia="arial" w:hAnsi="arial" w:cs="arial"/>
          <w:b/>
          <w:i/>
          <w:color w:val="000000"/>
          <w:sz w:val="20"/>
          <w:lang w:val="en-US" w:eastAsia="en-US" w:bidi="ar-SA"/>
        </w:rPr>
        <w:t>Rose Architects</w:t>
      </w:r>
      <w:r>
        <w:rPr>
          <w:rFonts w:ascii="arial" w:eastAsia="arial" w:hAnsi="arial" w:cs="arial"/>
          <w:color w:val="000000"/>
          <w:sz w:val="20"/>
          <w:lang w:val="en-US" w:eastAsia="en-US" w:bidi="ar-SA"/>
        </w:rPr>
        <w:t xml:space="preserve"> did not consider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 force when the work concluded in 1996 or to the fact it was significantly different with regard to the issue of substantial completion than the one in force in 1997;</w:t>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of "reasonable expectations" was not argued in </w:t>
      </w:r>
      <w:r>
        <w:rPr>
          <w:rFonts w:ascii="arial" w:eastAsia="arial" w:hAnsi="arial" w:cs="arial"/>
          <w:b/>
          <w:i/>
          <w:color w:val="000000"/>
          <w:sz w:val="20"/>
          <w:lang w:val="en-US" w:eastAsia="en-US" w:bidi="ar-SA"/>
        </w:rPr>
        <w:t>Rose Architects;</w:t>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no discussion in </w:t>
      </w:r>
      <w:r>
        <w:rPr>
          <w:rFonts w:ascii="arial" w:eastAsia="arial" w:hAnsi="arial" w:cs="arial"/>
          <w:b/>
          <w:i/>
          <w:color w:val="000000"/>
          <w:sz w:val="20"/>
          <w:lang w:val="en-US" w:eastAsia="en-US" w:bidi="ar-SA"/>
        </w:rPr>
        <w:t>Rose Architects</w:t>
      </w:r>
      <w:r>
        <w:rPr>
          <w:rFonts w:ascii="arial" w:eastAsia="arial" w:hAnsi="arial" w:cs="arial"/>
          <w:color w:val="000000"/>
          <w:sz w:val="20"/>
          <w:lang w:val="en-US" w:eastAsia="en-US" w:bidi="ar-SA"/>
        </w:rPr>
        <w:t xml:space="preserve"> regarding the perverse results that, according to the plaintiff, could flow from possible interpretations of the limitation clause;</w:t>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large number of authorities discussed in the case at bar were not referred to in </w:t>
      </w:r>
      <w:r>
        <w:rPr>
          <w:rFonts w:ascii="arial" w:eastAsia="arial" w:hAnsi="arial" w:cs="arial"/>
          <w:b/>
          <w:i/>
          <w:color w:val="000000"/>
          <w:sz w:val="20"/>
          <w:lang w:val="en-US" w:eastAsia="en-US" w:bidi="ar-SA"/>
        </w:rPr>
        <w:t>Rose Architects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All of the foregoing objections are persuasive. However, they do not alter the fact that essentially the same contract and terms were involved between similar parties on a similar project, and even though fundamental breach has been admitted in this case, and was abandoned in </w:t>
      </w:r>
      <w:r>
        <w:rPr>
          <w:rFonts w:ascii="arial" w:eastAsia="arial" w:hAnsi="arial" w:cs="arial"/>
          <w:b/>
          <w:i/>
          <w:color w:val="000000"/>
          <w:sz w:val="20"/>
          <w:lang w:val="en-US" w:eastAsia="en-US" w:bidi="ar-SA"/>
        </w:rPr>
        <w:t>Rose Architects</w:t>
      </w:r>
      <w:r>
        <w:rPr>
          <w:rFonts w:ascii="arial" w:eastAsia="arial" w:hAnsi="arial" w:cs="arial"/>
          <w:color w:val="000000"/>
          <w:sz w:val="20"/>
          <w:lang w:val="en-US" w:eastAsia="en-US" w:bidi="ar-SA"/>
        </w:rPr>
        <w:t>, I must contend with the finding by Madam Justice Gray that the clear intention of the parties expressed in the agreement was not to incorporate the discoverability principle. As the agreements in both cases are similar on this question, I would feel compelled to defer to Madam Justice Gray on the point. As a matter of fact, however, I do not disagree with her. I believe that her finding was correct, and it is also an appropriate finding in this case for the same reasons. In my opinion, this agreement clearly specified a limitation period of six years with no provision, express or implied, for discoverability. I find that the parties chose to exclude discoverability.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Further, I find that there was nothing unconscionable or unfair to exclude discoverability in the case at bar. This was a sizeable commercial transaction between sophisticated parties and there is nothing about it that would constitute an affront to public policy or outweigh the intent of the parties as I have found it to be. The School Board was apparently not represented by a lawyer, but the agreement was reviewed by knowledgeable persons of authority with the Ministry of Education with experience in this kind of contract. The School Board was not disadvantaged for lack of a lawyer directly advising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Accordingly, the claims of the School Board are contractually barred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IBI Group. And further, the facts do not provide any basis for relief pursuant to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or otherwise as requested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arriving at my conclusion, I am also satisfied that the matter was suitable for determination pursuant to Rule 18A by way of summary trial. The action is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RICE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12,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the following discrepancies shall be corrected as follows:</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35, page 15, last sentence - the words "discoverability clause" should be changed to read "</w:t>
      </w:r>
      <w:r>
        <w:rPr>
          <w:rFonts w:ascii="arial" w:eastAsia="arial" w:hAnsi="arial" w:cs="arial"/>
          <w:color w:val="000000"/>
          <w:sz w:val="20"/>
          <w:u w:val="single"/>
          <w:lang w:val="en-US" w:eastAsia="en-US" w:bidi="ar-SA"/>
        </w:rPr>
        <w:t>exclusion clause</w:t>
      </w:r>
      <w:r>
        <w:rPr>
          <w:rFonts w:ascii="arial" w:eastAsia="arial" w:hAnsi="arial" w:cs="arial"/>
          <w:color w:val="000000"/>
          <w:sz w:val="20"/>
          <w:lang w:val="en-US" w:eastAsia="en-US" w:bidi="ar-SA"/>
        </w:rPr>
        <w:t>".</w:t>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56, page 24, first line - the words "statute barred" should be changed to read "</w:t>
      </w:r>
      <w:r>
        <w:rPr>
          <w:rFonts w:ascii="arial" w:eastAsia="arial" w:hAnsi="arial" w:cs="arial"/>
          <w:color w:val="000000"/>
          <w:sz w:val="20"/>
          <w:u w:val="single"/>
          <w:lang w:val="en-US" w:eastAsia="en-US" w:bidi="ar-SA"/>
        </w:rPr>
        <w:t>contractually barred</w:t>
      </w:r>
      <w:r>
        <w:rPr>
          <w:rFonts w:ascii="arial" w:eastAsia="arial" w:hAnsi="arial" w:cs="arial"/>
          <w:color w:val="000000"/>
          <w:sz w:val="20"/>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Caravel Management Corp. v. Roberts, [2014] B.C.J. No. 1972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14-17, 22-25, May 26-30,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S123348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1972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1419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Caravel Management Corp., Plaintiff, and Jolene Roberts,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3"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1" w:name="Keywords_7"/>
      <w:bookmarkEnd w:id="51"/>
      <w:r>
        <w:rPr>
          <w:rFonts w:ascii="arial" w:eastAsia="arial" w:hAnsi="arial" w:cs="arial"/>
          <w:b/>
          <w:color w:val="000000"/>
          <w:sz w:val="20"/>
          <w:lang w:val="en-US" w:eastAsia="en-US" w:bidi="ar-SA"/>
        </w:rPr>
        <w:t>Damages — For torts — Affecting property — Personal property — Trespass or conversion — Action by plaintiff for damages for conversion and punitive damages allowed — Plaintiff company employed defendant as accountant — Plaintiff learned that defendant wired money to herself from plaintiff's bank account — Wire transfers were not authorized — Defendant's conduct in stealing from employer while in position of trust, lack of remorse and failure to take responsibility was outrageous and contrary to community standards of decency — Plaintiff was awarded $98,443 in damages for conversion and $5000 in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Exemplary or punitive damages — Action by plaintiff for damages for conversion and punitive damages allowed — Plaintiff company employed defendant as accountant — Plaintiff learned that defendant wired money to herself from plaintiff's bank account — Wire transfers were not authorized — Defendant's conduct in stealing from employer while in position of trust, lack of remorse and failure to take responsibility was outrageous and contrary to community standards of decency — Plaintiff was awarded $98,443 in damages for conversion and $5000 in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goods — Conversion — What constituting — Against particular party — Miscellaneous parties — By particular party — Owner or possessor — Action by plaintiff for damages for conversion and punitive damages allowed — Plaintiff company employed defendant as accountant — Plaintiff learned that defendant wired money to herself from plaintiff's bank account — Wire transfers were not authorized — Defendant's conduct in stealing from employer while in position of trust, lack of remorse and failure to take responsibility was outrageous and contrary to community standards of decency — Plaintiff was awarded $98,443 in damages for conversion and $5000 in punitive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2" w:name="Case Summary_6"/>
            <w:bookmarkEnd w:id="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conversion and punitive damages. The plaintiff company employed the defendant as an accountant for 15 years. The plaintiff later learned that the defendant wired money to herself from the plaintiff's bank account six times in 2011. The defendant explained that the monies were to repay her for expenses that she incurred from 2005 to 2007 but had not yet submitted. The plaintiff concluded after an investigation that the defendant took more than could be explained by submitted expense reports or receipts.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3" w:name="Holdings of Court_5"/>
            <w:bookmarkEnd w:id="5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falsified entries in the ledgers for 2005 to 2007. Consistently wrong entries in the ledgers showing payments in the amount of her paycheques as payments to another person had to be deliberate. The wire transfers were not authorized. The defendant's claim that she had receipts for business expenses from 2005 to 2007 that had not been submitted by 2012 defied common sense. Her failure to provide documentation of all past and unsubmitted expenses was a deliberate attempt to confuse. She left no trace of the payments in the plaintiff's records. She did not tell anyone that it owed her money. There was no record of an account payable to her. She was contradicted by herself, other witnesses and logic. She received $180,056 that could not be accounted for as salary and incurred expenses of $81,613. Her conduct in stealing from her employer while in a position of trust, lack of remorse and failure to take responsibility was outrageous and contrary to community standards of decency. The plaintiff was awarded $98,443 in damages for conversion and $5000 in punitive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4" w:name="Counsel_7"/>
      <w:bookmarkEnd w:id="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Hewitt, Emily Gray,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Jolene Roberts: Appearing on her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5" w:name="Judgment_7"/>
      <w:bookmarkEnd w:id="55"/>
      <w:r>
        <w:pict>
          <v:line id="_x0000_s1065" style="position:absolute;z-index:2517688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u w:val="single"/>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432.06pt;height:584.33pt">
            <v:imagedata r:id="rId179"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6" w:name="S.A. GRIFFIN J."/>
            <w:bookmarkEnd w:id="56"/>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December 2011, after almost 15 years of employment as the accountant for Caravel Management Corp., Jolene Roberts was let go. Caravel did not allege cause, only that its business had declined, and so paid her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Soon after another employee in the accounting department discovered there were wire transfers shown in the December bank statements that were not accounted for in any records of Caravel. After obtaining the underlying wire transfer documents from the bank, the other employees learned that Ms. Roberts had wired money to herself from the company's bank account a total of $18,334 net in 2011. There were six wires: one in August and the remaining five in November and December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Asked for an explanation, Ms. Roberts claimed in February 2012 that the monies were to repay her for expenses she had incurred on behalf of the company but had not yet submitted, for the years 2005-2007.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To support her explanation for the 2011 wire transfers, on February 29, 2012, Ms. Roberts submitted a bundle of receipts purportedly evidencing expenses she incurred on behalf of the company in 2005-2007, with her accompanying explanatory spreadsheets.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led to Caravel investigating advances made by the company to Ms. Roberts in 2005-2007 and any corresponding expense claims she submitted for those years. Caravel says it has not investigated other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Caravel concluded that Ms. Roberts had taken out far more by way of advances from the company in 2005-2007 than could be explained by any expense reports submitted in the past, or by any of the dated expense receipts she submitted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consequence Caravel brought this claim seeking repayment of money it alleges that Ms. Roberts wrongly took from it in the years 2005-2007, and in respect of the 2011 wire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course of this lawsuit, Caravel discovered that Ms. Roberts had received even more money from Caravel in the years 2005-2007 than thought in its earlier investigations. She did so by way of transactions she recorded in the books as payments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company also says that by agreement with the company owner, before her termination Ms. Roberts borrowed $40,000 from the company, of which $20,000 was treated as repaid as part of her severance upon her termination from employment. The company claims return of the balance of the debt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Caravel also initially claimed return of the severance it paid to Ms. Roberts, it abandoned this claim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Roberts counterclaims for what she describes as the malicious issuance of the lawsuit against her, which she says has caused her loss of income and general damages of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will address the issues that arise in this lawsuit in the following order:</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history of the company and the defendant leading to this lawsuit;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falsified entries in the 2005-2007 ledgers;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wire transfers to the defendant in 2011 were authorized;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took more money from the company in 2005-2007 than was due to her for reimbursement of company expenses;</w:t>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is liable to the company to repay an amount in relation to unauthorized advances she took;</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is liable to the company to repay a $20,000 debt;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company is liable to the plaintiff on her counterclaim.</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History of the Company and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From the evidence I find the following facts in respect of the history of the company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John Hislop formed Caravel in 1993 or 1994, and has remained its sole shareholder and officer and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Hislop is a Chartered Accountant, obtaining his certification in 1982. His practice as a C.A. included work with oil and gas clients and in bankruptcy in the 1980's. After working for large accountancy firms he took employment as a listing officer for the Vancouver Stock Exchange. He then worked in corporate finance for a securities broker firm, and eventually started his own brokerage firm. In the early 1990's he became what he described as an independent consultant "organizing the deals" himself. He said that he also would take over moribund companies and make them "clean and profitable".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Hislop had interests in several public companies in the oil and gas sector, and created Caravel as a private company to provide administrative services to the many public companies, such as preparing financial records and filing necessary disclosure statements. Caravel was the entity which would provide office space for the various public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approximately June 1996, Mark Jarvis, a broker acquaintance of Mr. Hislop, introduced the defendant Jolene Roberts to him as an employee he recommended. Ms. Roberts was working in the "back office" of the securities firm where Mr. Jarvis worked. Mr. Hislop knew that she was a single parent with a young child. He offered her that if she came to work for him she would have some flexibility and could work from home at times. She agreed to work for Caravel.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Roberts has no formal certification as an accountant or bookkeeper. However, she had experience in bookkeeping prior to joining Caravel. At Caravel, she gained even more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Up to the point that Ms. Roberts was hired, Mr. Hislop had been doing all of the bookkeeping in Caravel. He had no formal system however. The bookkeeping appeared to be based on the company's chequebook.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Ms. Roberts was hired, Mr. Hislop gave her responsibility for the Caravel chequebook. She also became responsible for making sure that Caravel paid all of its bills, such as rent and telephone and payroll.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financial records for the public companies needed to be prepared quarterly and audited annually. Ms. Roberts was given the task of preparing the public companies' books and preparing the financial statements prior to audit. She also had a role in making sure the public companies met their required disclosure filings and issued news releases.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one point Ms. Roberts was managing the finances and bookkeeping of approximately 22 public companies in her role working for Caravel. For the public companies she worked with accounting software that had internal controls.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Roberts invoiced the public companies for the services provided by Caravel.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Roberts also performed what was described as a forensic audit of drilling companies providing services to the public companies within Caravel's stable of clients. She would visit the drilling companies to check their records and accounting practices with respect s to expenses they were charging Caravel's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approximately 2002, Mr. Hislop decided to increase Ms. Roberts' salary from approximately $48,000 to $100,000 and it remained at that level until her employment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no complaint with the integrity and high quality of Ms. Roberts' work in relation to the public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Mr. Hislop started Caravel's business, Caravel simply passed through expenses to its public company clients, and so had no income and no losses. Eventually Mr. Hislop made the decision to charge additional amounts to the public companies for Caravel's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Over the years Caravel's revenues from its billings to the public companies it managed began to grow. Mr. Hislop became concerned about the fact that Caravel had never filed tax returns. He asked Ms. Roberts to get the books in order for Caravel but this appeared to take a low priority in comparison to the many tasks she performed for the public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were other employees working for Caravel but Ms. Roberts was in charge of the accounting. Ms. Roberts was the only employee allowed to see the bank statements. Her explanation for this level of confidentiality was that the bank records contained information regarding what other employees were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Carolyn Laurin was hired in late 1997 to assist Ms. Roberts. She assisted with accounts payable but followed Ms. Roberts'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approximately 2000-2001, Mark Jarvis began working in Caravel's office in relation to the public companies. He left near the end of 2003, but continued to get paid for some period of time after this. More on this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2004, Paul Fisher was hired by Caravel to be responsible for its computer systems. He was directed to do what he could to assist Ms. Roberts in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2005, both Mr. Hislop and Ms. Roberts spent some of their time travelling (not necessarily together) on business for Caravel. Ms. Roberts' business trips included to Texas, Chicago, and Denver.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delay in organizing Caravel's accounting records became more of a concern for Mr. Hislop. Eventually Mr. Hislop decided to engage the services of a Chartered Accountant to assist in this regard. Caravel hired his friend and former colleague, Brian Wilson, a Chartered Accountant, in April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Wilson's task was to work with Ms. Roberts in organizing the accounting records for Caravel, so that financial statements and tax returns could be prepared. The plan was that Caravel would make a voluntary disclosure to the Canada Revenue Agency (CRA) to avoid penalties for not filing tax returns over the last ten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were no existing bookkeeping records for Caravel at that point, other than the chequebook and bank records and any supporting documents such as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Roberts and Mr. Wilson worked together to create Caravel's general ledger records. For any payment made out of Caravel, this meant identifying the payee and categorizing the payment. For example, a cheque issued by Caravel would be entered in the newly created general ledger by noting the cheque number, the amount, the payee, and the type of expense category, whether travel, rent, salary,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Wilson's evidence was that Ms. Roberts did the actual data entry although he did review this work for consistency and reasonableness. They worked closely together from April 2006 through approximately November or December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period for which Mr. Wilson was supervising the creation of Caravel's general ledger, financial statements and tax returns was the ten years of 1995 through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Wilson found that Ms. Roberts was very familiar with accounting practices, which is consistent with all other witnesses' evidence including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Wilson's evidence was that he was not performing an audit function. His role was to help design a process to enable Ms. Roberts to get her work done in producing financial statements for Caravel for each of the years, and the resultant tax returns. In the course of his work, he designed a process for work flow in Caravel's office to help manage the many tasks facing Ms. Roberts as the chief accountant for all of the public companies as well as for Caravel.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the ten years of financial statements and tax returns for Caravel were completed for the year ending December 31, 2005, Mr. Wilson's role in Caravel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continued to do some work in relation to the public companies administered by Caravel, but was less involved in the completion of Caravel's general ledger for 2006 and was not involved in the preparation of Caravel's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Wilson was not involved in the completion of any other financial records for Caravel.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some point Caravel's bookkeeping practices were switched over from Excel spreadsheets to also involve accounting software programs known as Simply Accounting or QuickBooks.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evidence of the various Caravel employees was not consistent as to when the transition to proper accounting software in relation to Caravel's books occurred. The force of the evidence leads me to conclude that it was a gradual process, beginning in approximately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2007, Lisa Simpkin was hired at Caravel. Ms. Simpkin had studied four out of five levels to become a Certified General Accountant but had not pursued this to certification. Her duties related to accounting functions for the public companies, and not accounting functions in relation to Caravel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Roberts trained and supervised both Ms. Simpkin and Ms. Laurin and remained in charge of the accounting at Caravel until approximately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2008, Dean Willows, a Chartered Accountant, was hired by Caravel as controller. Ms. Roberts continued all her accounting functions. When Mr. Hislop was in the office, Ms. Roberts reported to Mr. Hislop; if he was not there, Mr. Willows would review what needed reviewing.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people at Caravel who had signing authority on cheques were Ms. Roberts, Ms. Laurin, Mr. Willows, and Mr. Hislop. Most routine cheques were signed by Ms. Roberts and Ms. Laurin. At times when he knew he would be travelling, Mr. Hislop would leave blank cheques signed by him, locked in a cabinet for use if needed when he was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Willows was not aware that there was any capability to do electronic signatures on cheques or wire transfers. However, Ms. Roberts and Ms. Laurin had this capability. Ms. Roberts had the capability of "dropping" Ms. Laurin's electronic signature on a wire transfer without Ms. Laurin's knowledge 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Sometimes employees incurred expenses on behalf of Caravel's business, such as to buy computer software, for training courses, or for business travel. The practice was that employees seeking reimbursement of business expenses would be required to first submit an expense report setting out in spreadsheet format the expenses with original receipts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Some expenses were related to specific public companies in the Caravel stable of clients, and would be billed by Caravel to those companies, which made it important to get the expense reports submitted on a timely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was generally understood that if a cheque was going to one of the persons who had signing authority, for reimbursement of business expenses for example, it was the better practice to have two others sign the cheque. There were rare exceptions, for example if someone else who had signing authority was away on an extended holiday.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Over the years of her employment at Caravel, Ms. Roberts struggled with her personal financial situation. She was often at the maximum debt limit on her credit cards. In 2007, she borrowed $25,000 from the company. This was paid back by Ms. Roberts in August of 2007, plus $300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2009, Ms. Roberts borrowed $40,000 from Caravel. Apparently this was documented by a promissory note, but the note was not found or produced in the course of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2010, Caravel's business was slowing down. The decision was made to decrease the size of its rental premises, and so the office was moved from one floor to half of the space on another floor. Around the same time some unnecessary documents were shredded. Caravel employees testified that they had many duplicate documents in relation to the public companies' filings which were shredded, but there was no intention or effort to shred Caravel's internal accounting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By 2011, Mr. Hislop was thinking of closing down Caravel's business or at least reducing it. He talked to Ms. Roberts about downsizing the company but did not suggest to her that he was thinking of terminating her employment. However, by December 2011, he made the decision that Ms. Roberts' employment should be terminated. He asked Dean Willows to inform her, which he did by telephone on the last working day of December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Willows then asked Lisa Simpkin to help him get the Caravel books up to date for the year end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 to Ms. Simpkin, whose evidence I accept, as of January 2012 there had been no reconciliation of Caravel's bank statements for November and December 2011. This may not have been unusual, as the bank statements for November usually arrived in early December, and the December statements not until early January. In December the priority could have been to complete the public companies' accounting first. However, the practice for cheques and wire transfers was to post an entry in Caravel's ledger when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January 2012, Ms. Simpkin began to reconcile the Caravel bank statements against cheques. She saw five wire transfers out of Caravel's bank account in November and December 2011 but could not find any back-up documents in the documents that had been on Ms. Roberts'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This lack of supporting documentation was unusual. Ms. Roberts had trained Ms. Simpkin and it was Ms. Roberts' and Caravel's practice to require supporting documents such as invoices or expense reports for any cheques or wire transfers. There were such documents in support of other cheques which Ms. Simpkin had been able to locate on Ms. Roberts'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Simpkin asked the bank for copies of the wire transfer documents and then received copies of the November-December wire transfers by facsimile on January 20, 2012. When she saw that these were wire transfers to Ms. Roberts, she took them to Dean Willows.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Willows checked and could not see any entries in Caravel's ledgers to deal with the November-December wire transfers to Ms. Roberts. Again this was unusual not to have some entry immediately posting the transfer when it occurred. It was also very unusual to have a wire transfer from Caravel to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Willows then told Ms. Simpkin to check the rest of 2011 records for wire transfers. She did, and found that the bank statements indicated a wire transfer on August 2,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Simpkin obtained a facsimile copy of the August 2, 2011 wire transfer from the bank on February 14, 2012. It showed that the transfer was to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Simpkin checked further and saw that the August 2, 2011 wire transfer was booked in Caravel's records as "MIS", or management information software. It was her experience that Paul Fisher usually purchased software. It turns out that he was the person who actually purchased the software in question. He had also submitted a proper expense report and been reimbursed by Caravel for that purchase. Ms. Roberts now admits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Willows then requested an explanation from Ms. Roberts of the 2011 wire transfers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Roberts had lunch with Carolyn Laurin, where she admitted that she may have "dropped" Ms. Laurin's electronic signature on some of the wire transfers. Each of the wire transfers showed the electronic signatures of both Ms. Roberts and Ms. Laurin.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Laurin was not away on holidays on any of the dates of the wire transfers, and could have been asked to sign a cheque or wire transfer. Likewise, Mr. Willows was not away on holidays and could have signed any of the November or December wire transfers, had Ms. Roberts wanted to get a legitimate second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Willows was not getting an answer from Ms. Roberts explaining the wire transfers so he sent her a letter dated February 23, 2011, setting out the details of each wire transfer. He asked to receive the receipts for the disbursements represented by these transfers, or reimbursement for the amounts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Following this letter, Mr. Willows and Ms. Roberts met at a restaurant for lunch. Ms. Roberts presented him with a package which she indicated would support the payments. She said that after reconciling expenses against advances, she owed the company $717.20 and was willing to repay Caravel for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documents Ms. Roberts presented in February 2012 were three separate spreadsheets, one for each of 2005, 2006 and 2007, showing some "expenses/advances" on the left side of the page, and a listing of itemized expenses on the right side of the page (the "2012 Schedules"). Together with the 2012 Schedules, Ms. Roberts presented some documents meant to indicate proof of expenses she had incurred on behalf of Caravel in those earlier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totals of the wire transfers did not match the totals of the additional back-up documents that Ms. Roberts presented with the 2012 Schedules.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Ms. Roberts' position that the 2012 Schedules represent a reconciliation of expenses she had incurred on behalf of the company in 2005-2007, for which she had not previously filed expense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Roberts asserts that she took the first 2011 wire transfer, the one in August, as an advance to purchase company software. When she found out that Paul Fisher had already purchased the software, she just kept the advance because she "knew" the company owed her money for business expenses. She then took the other 2011 advances in November and December on the same basis, that the company owed her money for past business expenses. She asserts that she was "running a tape" for these past expenses, and so took out the amounts in increments in accord with where she was on the "tape", and expected to soon be filing expense reports for these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Once she completed her reconciliation, she calculated that she in fact owed the company a few hundred dollars, and she offered to pay this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an effort to understand Ms. Roberts' purported reconciliation of advances and expenses, staff at Caravel looked in her file of expense reports and produced all of the expense reports she had previously filed, of which there are a total of 11. The expenses claimed in her previously filed reports total $15,442.61. These expense claims were checked by another Caravel employee at the time they were filed. Caravel accepts that these past expense claims were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part of Caravel's attempt to understand Ms. Roberts' explanation, it also looked at the advances made to Ms. Roberts over the same time period, 2005-2007. The advances far exceed any expense claims, including the 2012 Schedules, even taking into account Ms. Roberts'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Roberts has claimed that she previously filed numerous other expense claims which justified the advances she took in 2005-2007.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Caravel employees have looked through the company records but have been unable to find any other expense reports filed by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Ultimately Caravel commenced this proceeding. In the course of the proceeding, it hired a Chartered Accountant as an expert witness, Mr. Jim Blatchford. Mr. Blatchford's review of the records, comparing the company cheques to the company ledgers, and cross-referencing with Ms. Roberts' personal bank and credit card statements, discovered that some cheques were missing and some of the ledger entries in the 2005-2007 period showed payments to others that were in fact payments to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first issue is therefore whether or not Ms. Roberts falsified entries in the 2005-2007 ledgers.</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Did Ms. Roberts Falsify Entries in the 2005-2007 Ledgers?</w:t>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2005 Inaccurate Ledger Entries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During the concentrated period of work in 2006 when Ms. Roberts was working with Mr. Wilson to create ten years' worth of financial statements for Caravel, there were some incorrect entries made in Caravel's general ledger for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relevant errors were that payments shown as to others were in fact payments made to Ms. Roberts. There were three categories of incorrect entries:</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four entries showing payment of wages to Mark Jarvis that were in fact payments made to Ms. Roberts in amounts equivalent to what she was receiving as wages. These total $11,140.84;</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entry under wages showing a cheque payable as "CIBC Visa-PF", indicating a payment to Paul Fisher's visa credit card, in the amount of $1,000.00, that was in fact a payment made to Ms. Roberts for her CIBC Visa credit card; and,</w:t>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six entries under travel which show as payments to others' credit cards which were in fact payments to Ms. Roberts or to her credit cards. These total $22,900.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payments identified in the ledger as payments to others in 2005 that were in fact made to Ms. Roberts totalled $35,040.84.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Reviewing these payments in more detail, there were three payments recorded in the ledger as payments to Mark Jarvis in January and May 2005, but the cheques were actually written as payable to Ms. Roberts, and she received the money. Each of those payments was in the exact amount of Ms. Roberts' paycheque.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 fourth payment was recorded as payment to Mark Jarvis for wages, which was actually received by Ms. Roberts in her bank account in October 2005, namely $2,995.45. This also duplicated payments to her for wages later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Entering these cheques into the records of Caravel required not only identifying the payee but categorizing the expense. These expenses were entered into the ledger as wages to Mark Jarvis.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Roberts now claims that some of the cheques were wages and some of the cheques were repayment to her of business expenses she incurred on the company's behalf. She claims that showing these as payments to Mark Jarvis were just mistakes in data entry when the ledgers were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Roberts' explanation is not the least bit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am mindful that at the time the cheques were written, having a cheque payable to Ms. Roberts in the same amount as her salary would not necessarily catch anyone else's eye if the cheque was signed off by someone else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consistently wrong entry in the ledgers, showing these payments in the amount of Ms. Roberts' paycheque as payments to Mark Jarvis, had to be deliberate and could not be a mere coincidence.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also can be no coincidence that the source physical cheques underlying the payments shown in Caravel's ledger as payable to Mr. Jarvis, but which have now been shown to have been received by Ms. Roberts, were missing from Caravel's records. It is only because these amounts purportedly paid to Mr. Jarvis match deposits in Ms. Roberts' bank accounts (which records were produced by court order in this lawsuit) and match her actual salary, that these payments were traced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Roberts claimed in her evidence that she recalled taking her paycheque "a little early" a couple of times because she was going on a trip, and that there were times she would tell Carolyn Laurin that she spent her paycheque on business expenses, and so would take another one. Notably Ms. Laurin was not asked to confirm this in her evidence, when under cross-examination by Ms. Roberts. Even if true that Ms. Roberts told Ms. Laurin this, it does not make the underlying facts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find that these incorrect entries in the ledger were made by Ms. Roberts deliberately. The fact that the incorrect entries which matched her paycheque were always shown as payable to Mark Jarvis, a person no longer present working in Caravel's office at the time, shows a consistency which belies the entries being a mere mistake. Also, the fact that the cheque amounts matched her salary, and the fact that the cheques were missing from Caravel's records, all point to this being a deliberate attempt by Ms. Roberts to hide payments made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Always around the same time as when the cheques paid to her in the exact amount of her salary were written in the ledger as paid to Mark Jarvis, Ms. Roberts also received "advances" from Caravel or duplicate paycheques or other amounts she categorized as wages. As examples only:</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January 2005, she received other payments totalling a total of $7,682.08 on top of the $2,715.13 that was entered in the ledger as Mark Jarvis wages;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May 2005, she received three additional payments of $2,715.13 plus payments of $5,300 and $1,500, for a total of $14,945.39 on top of the two payments of $2,715.13 each entered into the ledger as Mark Jarvis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find that Ms. Roberts attempted to hide some of the payments that she received by entering them in the ledger as payments to Mark Jarvis because Ms. Roberts knew they she was improperly taking a total amount of funds out of Caravel that was unauthorized and was well in excess of legitimate business expenses or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other two categories of inaccurate entries in the 2005 general ledger consist of entries showing payments to other employees, or Mr. Hislop, or to their credit cards, which were in fact payments to Ms. Roberts or her credit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Roberts argued that all of these inaccurate entries were just mistakes, made in the course of the heavy burden of trying to enter data in short order for ten years of company financial records. She also argued that some of the entries could have occurred as a result of the computer's "autofill" capability, i.e. that by typing one part of an entry, the computer could have then automatically filled in the rest of the last entry that was similar, inferring that this went unnoticed by her when entering data. Most people will have had the experience of "autofill" when typing an email address or when typing on a smart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also do not accept these excuses. The pressures of entering large amounts of data might explain some transposition of letters or figures. But what occurred here were not typographical errors, it was the deliberate typing of someone else's name as the payee instead of Ms. Roberts' own name. Likewise, the autofill excuse does not hold water when the ledger is examined closely: there are different spacings or descriptions being used for the other entries and the similar entries are not identical as one would expect if the entries had been "autofilled".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is difficult to summarize the distorted accounting of the Caravel payments to Ms. Roberts. The picture was not consistent month to month. However, the month of January 2005 is a useful example to examine closely.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noted above, in January 2005 a payment was made to Ms. Roberts in the amount of her salary of $2,715.13 and this was later, in 2006, entered in the general ledger as wages to Mark Jarvis. Also in January 2005, Caravel made two payments to Ms. Roberts' visa credit card in the amounts of $1,500 and $1,000, and these were later entered in the general ledger as paid to the visa credit card of Paul Fisher.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Roberts in fact received payments from Caravel in January 2005 that totalled $10,397.81 of which $5,215.13 were entered as payments to others in the ledgers created in 2006. At best her salary entitled her to only $5,430.26 that month ($2,715.13 x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Roberts would have paid herself these excess amounts in January 2005 well before Mr. Wilson was hired to help her put the books together, which was in 2006. When she paid herself these amounts, she was in charge of the accounting for Caravel without any internal controls on her. As noted already, she was also in charge of the accounting for several public companies and was highly skilled at accounting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Focusing again on January 2005, Ms. Roberts had no expense reports to justify the excess payments to her. In the course of this lawsuit she later attempted to reconstruct some business expenses for that month but this reconstruction was not at all credible. For example, she estimated she incurred expenses to fly to Denver, as her credit card revealed that she must have been in Denver at one point in the month. However, the evidence at trial revealed that another employee, Carolyn Laurin, paid for the flights to Denver. Also for example, she estimated that a number of smaller credit card charges she incurred were for company expenses, but these were just as likely for her personal shopping. She also estimated that she paid back some advances to her in January 2005 but there is no evidence of this in a record she created of company deposits (I will come back to this point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While the above focuses on the snapshot of one month only, the fact is that Ms. Roberts has no credible explanation for the excess payments she received in January 2005 or for the fact that so many payments to her were entered in the ledgers as payments to others. The same applies to the other concealed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conclude that Ms. Roberts deliberate concealed payments to her in Caravel's 2005 ledger knowing that she had taken far more money out of Caravel than was due to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2006-2007 Inaccurate Ledger Entries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2006 and 2007 general ledgers for Caravel also contain some incorrect entries.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These errors were comprised of entries shown as payments to Mark Jarvis as wages, when those payments were in fact received by Ms. Roberts. Again, these payments were in the same amount as her salary at the time. The details are: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2006, there were two such payments, in the amount of $2,741.87 each for a total of $5,483.74.</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2007, there were three such payments, in the amount of $2,752.16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Roberts makes similar excuses with respect to the 2006 and 2007 payments to her: that these entries in the ledgers must have been simple errors and that if she received any extra payments in the same amounts as her salary this was because she must have used her actual paycheque to pay for business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Again in 2006 and 2007, the records reveal that Ms. Roberts took out far more money from Caravel than was due to her for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do not believe Ms. Roberts' excuses as to the incorrect ledger entries for all the reasons I do not accept her explanations regarding the 2005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What these records show is a continuing course of conduct by Ms. Roberts in 2005, 2006 and 2007 as he attempted to disguise in Caravel's ledger the number of payments from Caravel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note that the suspect 2006 cheques are missing from Caravel's records. Also of interest is the fact that these and the 2005 cheques had cleared Caravel's bank account before Mr. Wilson was 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Similarly the payments in 2007 were in February and May of that year, when Mr. Wilson was no longer involved in Caravel's accounting to any significant degree. These cheques were found in Caravel's records. It is notable that Ms. Roberts together with Ms. Laurin, who she supervised, were the Caravel employees who signed these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2007 ledger, and possibly even the 2006 ledger, were not created under the same pressures as the 2005 ledger, as the latter was created at a time when Mr. Wilson was supervising the creation of ten years of financial records for purposes of preparing financial statements and tax returns. The consistency in errors between these three years, in identifying payments to others when they were really payments to Ms. Roberts, cannot be a mere coincidence.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circumstantial evidence is overwhelming and all consistent with only one likely explanation: that Ms. Roberts made payments to herself without authority, and disguised the payments in Caravel's records, and I so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total of the above payments to Ms. Roberts, disguised in Caravel's records for 2005-2007, is $48,781.06.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addition, there are some entries in 2006 shown as payments to Mark Jarvis which on the evidence he did not receive, for which the corresponding cheque is missing in the bank records. The evidence was that the true Caravel payments to him were always in multiples of $5,000. The three payments shown in the ledger which he did not receive were for the amounts of $1,500; $4,000; and $3,750.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is a deposit in Ms. Roberts' bank account of $3,750 close in time to the date the latter cheque cleared the Caravel bank account but she does not admit receiving that cheque or the other two. Given the proximity in time, the exact amount involved, and Ms. Roberts' clear practice of disguising payments to herself as payments to Mark Jarvis, I find that it is more likely than not that Ms. Roberts also received the $3,750 from Caravel.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There is a reasonable suspicion that Ms. Roberts also benefitted from the two other payments recorded as going to Mark Jarvis ($1,500 plus $4,000). However, given that her known bank records and credit card statements were produced and no clear link can be shown, this suspicion falls short of proof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conclude that Ms. Roberts disguised payments from Caravel to herself, by making false entries in the ledgers for the time period 2005-2007, in the total amount of $52,621.06.</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Were the Wire Transfers to the Defendant in 2011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next issue has to do with the 2011 wire transfers from Caravel to Ms. Roberts, totalling $18,424 gross (as there was a $15 bank change for each of the wire transfers making the net amount received into Ms. Roberts' bank account $18,334). These wire transfers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09"/>
        <w:gridCol w:w="1046"/>
        <w:gridCol w:w="69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2, 2011:</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$4,960</w:t>
            </w:r>
          </w:p>
        </w:tc>
        <w:tc>
          <w:tcPr>
            <w:tcW w:w="67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November 2, 2011:</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$2,633</w:t>
            </w:r>
          </w:p>
        </w:tc>
        <w:tc>
          <w:tcPr>
            <w:tcW w:w="67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November 2, 2011:</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$1,850</w:t>
            </w:r>
          </w:p>
        </w:tc>
        <w:tc>
          <w:tcPr>
            <w:tcW w:w="67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November 8, 2011:</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$2,754</w:t>
            </w:r>
          </w:p>
        </w:tc>
        <w:tc>
          <w:tcPr>
            <w:tcW w:w="67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November 30, 2011:</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$2,385</w:t>
            </w:r>
          </w:p>
        </w:tc>
        <w:tc>
          <w:tcPr>
            <w:tcW w:w="67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 13, 2011:</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$3,842</w:t>
            </w:r>
          </w:p>
        </w:tc>
        <w:tc>
          <w:tcPr>
            <w:tcW w:w="67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Roberts claims that the August 2011 wire transfer to her was because she had planned to purchase some software for the company. This was "booked" at the time in the company's ledgers as a purchase of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evidence established that Paul Fisher actually purchased the software, and Ms. Roberts did not. Ms. Roberts conceded this, but said she did not learn of this until soon after she made the wire transfer to herself. She said that she then decided to keep the wire transfer because she knew the company owed her money for past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accept, with some reservations, that it is as equally likely as not that the first wire transfer was intended to be used to purchase software. I would therefore not hold Mr. Roberts liable for the $15 bank charge for that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But I do not accept the rest of Ms. Roberts' evidence regarding this wire transfer. Even if the original wire transfer occurred with the intention to purchase software, there is no plausible explanation as to why Ms. Roberts left this on the Caravel books as a payment for the purchase of software. There were any number of things she could have done instead:</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could have made an entry that had the effect of reversing in the books the treatment of this payment as a software purchase when she learned of the fact the software had already been purchased;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could have returned the money to Caravel;</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as she claims, she decided to keep the money on the basis the company owed her money, she could have immediately put forward an expense claim which established this. And, at the same time, she could have immediately noted this fact in the Caravel books, and shown the money as an advance to her, which she did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for the other wire payments in 2011, the thrust of Ms. Roberts' evidence at trial, as already mentioned, was that she knew she had a folder of original expenses at home relating to 2005-2007 which she had not yet submitted, that she was "running a tape" of those expenses, and when she had time she would simply cause a payment from Caravel to her in incremental amounts, i.e. in accord with her "tape". She said this was because Dean Willows was pressuring her to get the accounting done so that Caravel could "close the books" for 2011, and she was going to submit her expenses later once she had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On its face the story defies common sense and is not believable. It has to be remembered that Ms. Roberts was experienced in accounting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According to Ms. Roberts, she had all the original receipts for those 2005-2007 business expenses still in her possession in 2012 that she had not yet submitted for reimbursement. She said they were "in a folder". Ms. Roberts has never explained why she did not "run a tape" for them earlier: what was so difficult about taking the receipts and tallying them before 2012? She had submitted expense claims for 2005-2007 before (as produced by Caravel in this litigation), so why had she not submitted these ones at the same time? Where is the tape? Which groupings of expenses add up to the amounts of the wire transfers? Why did she make so many incremental wire transfers in close temporal proximity instead of one lump sum? Why do all of the wire transfers end in dollar amounts, with no cents, if these represented a tally of expenses? None of these obvious questions have been credibly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find that Ms. Roberts' continual description of these payments as "advances" was clever evasion on her part. As someone with her level of sophistication in bookkeeping, she would know that it is clearly not correct to call something an advance when according to her story the expense has already been paid by her and indeed it was paid years ago. Either an employee would get an advance for an expected future expense, or would get a reimbursement of actually incurred expenses after putting in a properly supported expense claim. What Ms. Roberts claimed to have done in respect of the wire transfers was neither.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Likewise, Ms. Roberts liked to use the word "reconciliation", as though it was always her intention and practice to "reconcile" advances against expenses. Ms. Roberts has enough experience to know that what she did in this case, in her 2012 Schedules and in Exhibit 25 ("Ex. 25"), was not a reconciliation, it was a fresh creation based on many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If Ms. Roberts truly was working at home on a "reconciliation" of her past expenses against advances, at the time she took the 2011 wire transfers, one has to wonder why she has never produced documentation showing all past advances to her, and all past expense claims, as well as any unsubmitted expense claims. Given her poor tracking of these matters in the company's records, surely she must have had some "reconciliation" already existing at home if, as she claims, she knew the company still owed her money when she took the wire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Instead, what Ms. Roberts produced in the 2012 Schedules, as her attempted explanation of the 2011 wire transfers, was only partial information as it did not list all past expense claims or past advances. She listed only some advances and some past expense claims. I find that this was a deliberate attempt to confuse.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Roberts, an experienced accountant, did not follow a single accounting rule when it came to the November-December 2011 wire transfers to her and she left no trace of these payments in the company's ledgers or other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But in addition to its sheer implausibility, there are many circumstances which are inconsistent with Ms. Roberts' story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Roberts did not tell any number of people at Caravel that the company owed her money for expenses she had incurred for the company and for which she had not yet been reimbursed, when the circumstances would have made it logical for her to do so had this story been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For example, despite the fact that Brian Wilson was hired to help Ms. Roberts get Caravel's financial statements in order for the time period 1995 to 2005, she did not tell him either that she owed Caravel money for advances she had taken for which she had not paid for business expenses, or that Caravel owed her money in 2005 for business expenses she had incurred, had not yet submitted, and not yet been reimbursed. If her story was true, it would have been an opportune time to discuss this fact with Mr. Wilson so as to ensure it was properly recorded in the company financial statements. Instead, there was no record in the Caravel financial statements of Ms. Roberts owing the company money or of the company owing Ms. Roberts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When Ms. Roberts was facing the challenging fact that there was no record within Caravel indicating that the company owed her money, she suggested that perhaps the accounts payable shown in Caravel's financial statements for 2007 indicated a payable owed to her. This suggestion was proven wrong and in fact there were no record of accounts payable owed by Caravel to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This is significant for a few reasons. According to her evidence at trial and her after-the-fact "reconciliation" for 2005-2007, Ex. 25, Ms. Roberts had taken at least $66,803 by way of advances on expenses in 2005 (not including an additional $3,000 which she said she took as a wage advance but which she guesses she repaid, although there is no supporting documentation). Her best effort at post-litigation reconstruction of past expenses for that year (much of which evidence I do not accept, which I will come to) would have her incurring only $61,058 worth of expenses, and owing the company $5,745 as of the end of the year in 2005. These are significant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Roberts admitted that she had to carry debt on her credit cards during the same time that she said the company owed her for expenses. It makes no sense that she would rather pay the high interest on the credit cards then seek reimbursement of the money the company owed her so that she could pay that debt down, if indeed the company did owe her for expenses incurred in 2005-2007.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fact she did not discuss any of this with Mr. Wilson when they were working hard to get the company financial records in order, and at the same time made many incorrect entries in the 2005 ledger which disguised payments to her, leads to the natural inference that the company did not owe her money and in fact the reverse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This conclusion is supported by the fact that Ms. Roberts borrowed money from the company twice in the relevant time period. At the very least it would make sense to "run a tape" of these expenses, if the company really did owe Ms. Roberts money, before or at the time of asking for the $25,000 loan and certainly before repaying that loan in 2007; or at the time of the $40,000 loan in 2009. But at no time did she raise with Mr. Hislop any suggestion that the company owed her money for expenses she had incurred but had not yet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When Ms. Roberts took the wire transfers in 2011 she already owed the company $40,000 in relation to the loan she had taken in 2009. She admitted that she knew that any amount the company purportedly owed to her in relation to past expenses was more than offset by the debt she owed the company in relation to this loan. There was therefore no basis for her to think the company owed her money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Also despite the fact that some expenses were passed on to Caravel's clients, Ms. Roberts never told Mr. Hislop that she was behind in getting her expense reports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Roberts suggested she was behind in her expense reports because she was so busy in all of her other job responsibilities. This is not credible. If she wanted proper accounting to take place she would have made the time for it and certainly before taking money from Caravel. However, she was constantly at her personal credit limit on her credit cards and was not motivated to have to account for advances she took from the company which she put towards her credit card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Another hole in Ms. Roberts' story has to do with the form of the 2011 payments from Caravel to her. She has not provided a plausible explanation for the need to do these particular payments by wire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On examination for discovery in November 2013, Ms. Roberts could not recall why the payments to her in 2011 were by wire transfer. She admitted that it was not common for Caravel to do wire transfers of money to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Willows' evidence is that there was no other time that any employee had been reimbursed expenses by wire transfer. I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Having these payments go by way of wire transfer, where she was one of the co-signers of the payment, and where she may have "dropped" Carolyn Laurin's electronic signature as the other co-signer, was a very unusual thing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Roberts' evidence was that she "believes" that Ms. Laurin may have signed the August 2011 wire transfer which was said to be in relation to the purchase of software; she was unsure about the rest. I find it unlikely that Ms. Laurin signed the rest. However, even if she did so, Ms. Laurin was a close friend of Ms. Roberts and took direction from Ms. Roberts who was her superior at work. She was not in a position where she questioned what Ms. Roberts told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What is the most likely explanation is that Ms. Roberts found it convenient to use wire transfers because of her facility with using Ms. Laurin's electronic signature, thereby avoiding the need to explain the payment to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It is important to note that both Ms. Laurin and Mr. Willows were available to co-sign any cheques or wire transfers to Ms. Roberts. There was no need for Ms. Roberts to sign these transfers herself. She knew that this was not an acceptable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Another excuse for taking these wire transfer advances that Ms. Roberts asserted in her evidence was that Mr. Dean Willows told her he wanted to "close the books" for 2011. There was no logic to this excuse which was repeated many times in Ms. Roberts' evidence. If, as Ms. Roberts insisted, these transfers were in relation to expenses paid in 2005-2007, the books for those years had long since closed. There was no account payable on the books of the company owed to Ms. Roberts that needed to be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any event, Mr. Willows' evidence did not corroborate Ms. Roberts' evidence in this regard. He was not asked by Ms. Roberts in cross-examination whether he had told her in 2011 that he wanted to "close the books". He did admit that it would be normal for there to be a conversation about completing the books for 2011 before the new year in 2012. However his evidence was that Ms. Roberts never told him that she was owed outstanding expenses for 2005-2007 (prior to her termination and the discovery of the wire transfers).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find that the most likely reason Ms. Roberts used wire transfers to send herself money in 2011 was that she planned on keeping the fact that these transfers were to her a secret. This is consistent with the fact that there was no record of these transfers within Caravel, other than the August transfer which was made to look like it was in relation to purchase of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most likely reason for the secrecy is the obvious one: because Ms. Roberts knew that these payments were not authorized and not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find that Ms. Roberts' explanations regarding the 2011 wire transfers are not credible. It is not difficult to reach the conclusion that Ms. Roberts knew that the 2011 wire transfers were unauthorized and unjustified, and I so find.</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Did the Defendant Take More Money from the Company in 2005-2007 than was Due to Her for Reimbursement of Company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Unfortunately for Ms. Roberts, her attempts to justify her 2011 wire transfers, by producing the 2012 Schedules with their reference to some expenses and advances in 2005-2007, opened a can of worms for her as it caused Caravel to look into its financial records for those years. This investigation led to the allegation in this lawsuit that Ms. Roberts took far more advances from Caravel in 2005-2007 than can be explained by salary, bonus, loans, or reimbursement of company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To analyze this aspect of the plaintiff's claim, one has to first determine how much money Ms. Roberts received. Then it is necessary to determine how much of it can be attributed to legitimate reasons, such as salary or actual expense claims that were approved, or to expenses that Ms. Roberts actually incurred and has reconstructed.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How Much Money did Ms. Roberts Receive in 2005-2007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It is difficult knowing exactly how much money Ms. Roberts received from Caravel in the years 2005-2007. The problem is that Caravel's records show some payments to others that in fact were made to her, as already found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plaintiff's submissions suggest that the evidence establishes that the total that Ms. Roberts received in 2005-2007, plus the 2011 wire transfers, is $386,955.75 plus $500 cash she was given by Ms. Laurin as an advance for travel that Ms. Laurin did not use, for a total of $387,455.75.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This does not include the $3,750 which I have found that Ms. Roberts received which was disguised as a payment to Mr. Jarvis. Adding this in brings the total received by Ms. Roberts in relation to 2005-2007 and the 2011 wire transfers, as $391,205.75. This figure does not include the loans to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Roberts admitted at trial, using the spreadsheet she put together marked as Ex. 25, that Caravel paid her $397,403.30 in the years 2005-2007, including the $25,000 loan and including the wire transfers in 2011 amounting to $18,334 net. She admits that the evidence established that she received an additional $13,909.45 in 2005-2007 (once some incorrect entries in the books are properly attributed to her). Her position therefore is that the total amount she received from Caravel in relation to 2005-2007 was $411,312.75. If the included $25,000 loan that she received and paid back is subtracted from this amount, on Ms. Roberts' evidence she received a total of $386,312.75. She does not include the $3,750 which I have found that she received and which was disguised as a payment to Mr. Jarvis; nor the $500 cash given to her by Ms. Laurin as a return of a travel advance. If this is added in, her number becomes $390,562.75.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find that a fair and reasonable estimate of the total amount received by Ms. Roberts, exclusive of the loans, for the 2005-2007 period, plus the 2011 wire transfers, is $391,000 (rounded down from the plaintiff's figure to the nearest thousand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Roberts was paid $100,000 salary each year. The company books show her receiving net $68,995; $69,961 and $69,988 (rounded to the nearest dollar) in 2005-2007. The expert evidence supports these figures as consistent with net salary once withholdings for income tax, CPP and EI were deducted. I will accept that Ms. Roberts received as net salary during the years 2005-2007 the amount of $208,944.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find also that Ms. Roberts received a bonus for an RRSP contribution of $2,000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Thus what Ms. Roberts needed to explain in this case was the payment to her by Caravel of approximately $180,000 in the years 2005-2007. I have calculated this figure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555"/>
        <w:gridCol w:w="1464"/>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Payments to Roberts: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$391,000</w:t>
            </w:r>
          </w:p>
        </w:tc>
        <w:tc>
          <w:tcPr>
            <w:tcW w:w="532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Less Salary:</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-$208,944</w:t>
            </w:r>
          </w:p>
        </w:tc>
        <w:tc>
          <w:tcPr>
            <w:tcW w:w="532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Less RRSP Bonus: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532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Difference</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$180,056</w:t>
            </w:r>
          </w:p>
        </w:tc>
        <w:tc>
          <w:tcPr>
            <w:tcW w:w="532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Roberts insists that most of the monies advanced to her were for business expenses, for which she had given the company expense reports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Caravel could locate in its records 11 expense reports submitted by Ms. Roberts. These were for the time period 2005-2007. Many of these were submitted by her in December 2007; some were submitted in March 2008. These expenses totalled $15,442.61. Caravel does not challenge the validity of these expense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Caravel has not been able to find additional expense reports other than the 11 it produced totalling $15,442.61.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Roberts has reconstructed the expenses through her 2012 Schedules and through review of her credit card statements and bank statements for 2005-2007. Ms. Roberts presented her reconstruction in a binder at trial marked as Ex. 25 (initially Ex. A for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her reconstruction, Ms. Roberts also speculates that at times she may have repaid some of the advances to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Roberts' Reconstructed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Considering the findings I have made that Ms. Roberts deliberately disguised in the company ledgers the fact of payments from Caravel to her made in the years 2005-2007, and that Ms. Roberts knew the 2011 wire transfers to her were unauthorized, it is more difficult to accept much of Ms. Roberts' evidence as to past expenses she believes she incurred, as set out in her reconstruction, Ex.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However, I have reached the conclusion that it is likely that Ms. Roberts did incur some business expenses on her credit cards in the material time period, for which there is no corresponding expense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For example, there are some expenses related to travel noted on Ms. Roberts' credit card statements which it is conceded by the plaintiff's witnesses was travel on behalf of Caravel's business. This does not mean all travel expenses were paid by her, however. She has estimated other travel expenses not supported by any documentation, and some of these are refuted by documents which show other employees paid for the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will first address the question of whether I accept the plaintiff's evidence that she filed many expense reports for the expenses in the 2005-2007 period, which would explain her many advances, but that these reports have gone missing.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Are There Missing Expense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Roberts claims that she filed numerous expense claims in the past that justified many of the advances to her in 2005-2007, and that she cannot explain why Caravel cannot locate those reports. She speculates that perhaps Caravel shredded some of them, or has been deliberately withholding relevant documents in the course of the lawsuit. I do not find her evidence in this regard credible and do not conclude that Caravel destroyed any of her past expense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It appears true that some records that once existed in Caravel were not found in the course of this lawsuit: for example, cheques which on the ledger show as payments to Mark Jarvis but were in fact payments to Ms. Roberts. However, there is one person who might benefit from these documents going missing, and that is Ms. Roberts as these records implicate her in making false entries in the ledgers.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Roberts had full access to the company accounting and banking records prior to her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Ms. Roberts suggested to some witnesses that there was a document of some kind dealing with Ms. Roberts' loan from the company of $40,000 in 2009 and that this too has gone missing; likewise a memo in 2005 regarding an RRSP bonus. There was not sufficient evidence about these documents for me to make any findings that they existed or that they went missing. Nevertheless, even if these matters were documented and the documents are missing, this would not support an inference that there are also many missing expense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Ms. Roberts also complains that the company's deposit book was not produced in the litigation. However, even if this document was found and produced it would not exonerate her in respect of the payments from Caravel to her. To the extent she claims it would show that she repaid some advances to Caravel, this is highly unlikely. Ms. Simpkin reviewed records of deposits created by Ms. Roberts when she was still working at Caravel, and as I will address below, these do not reveal that Ms. Roberts repaid the advances other than the $25,000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other Caravel employees had a very friendly relationship with Ms. Roberts. The Caravel employees were diligently trying to find evidence to support Ms. Robert's explanations, once the questions were raised in 2012 about the 2011 wire transfers and Ms. Roberts claimed they were in relation to 2005-2007 expenses. I find that they did in good faith conduct a diligent search of Caravel's records in an attempt to find any such missing expense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When they gave evidence at trial, I found that the Caravel employees were almost gentle in their demeanour towards Ms. Roberts. They were straightforward, respectful, and did not in any way appear as though they wanted to implicate or cast aspersions on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2005-2007 employee expense reports were Caravel's internal financial records, still relevant to a potential audit by CRA. It would have been against Caravel's interests to destroy these internal financial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According to Lisa Simpkin, Caravel kept two categories of files for each employee who incurred business expenses: an expense records file, and an accounts payable file. The expense records were for each employee who filed expense claims, and contained that employee's historical expense claims. There was also a duplicate copy of the expense report in an accounts payable file for each employee, which would include a copy of the cheque to the employee and the supporting documents proving the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While some documents within Caravel were shredded in the past, the evidence was that these were unnecessary records and not internal financial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fact that Caravel was able to locate a file with 11 expense reports of Ms. Roberts, which date back to 2005, suggests that this file existed, not that it was shredded. It would make no sense that someone would take some expense reports from the same era out of the file and destroy them, and there would be no motive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Also, other employees had electronic records of their expense reports. It is likely that if Ms. Roberts had prepared additional expense reports, she would have done so using Excel spreadsheets, and there would be an electronic record somewhere. No such electronic records were found within Caravel, nor did Ms. Roberts produce any such electronic records that she might have had in her personal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expense reports that were produced by Caravel suggest that it was Ms. Roberts' practice to take money before she incurred an expense, on the premise that she would file an expense report later, after incurring the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Roberts testified that she was very particular about her accounting but she left herself to the end and looked after everyone else first. The image she projected was of a perfectionist bookkeeper with strict practices, except when it came to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There may be an element of truth in some of the picture Ms. Roberts tried to paint: much like the proverbial cobbler's children who have no shoes, she may have found herself very busy in 2005 and 2006 as well as under personal financial pressure, and so became the accountant who did not account for her advances, rationalizing in her own mind that she would do so later. But of course if she did so rationalize, this immediately became self-serving. It was in her interest not to account since she had given herself such generous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find that the evidence supports the conclusion that Ms. Roberts incurred some expenses on her credit card in the years 2005-2007 that were legitimate business expenses, and she did not submit corresponding expense claims for them. The likely reason for this is that if she actually filed all of her expense claims, and these were deducted from the advances she had taken, then she would have to face the music and pay back the difference. It was easier for her to rationalize what she was doing by not submitting all of the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find that what likely happened in the years 2005-2007 is that Ms. Roberts found it too tempting and convenient to take more advances than what she needed for expenses; she then found ways to minimize the appearance of doing so including by disguising some payments as though they were salary and disguising payments to her as payments to others in the company ledgers; and she put off filing full expense reports to account for all of her expenses because that would then reveal how much she really owed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also find it is likely that Ms. Roberts kept her own file of some unclaimed business expenses as a safety net just in case she was ever asked about her advances, in the hopes she could use the receipts to talk her way out of it. This is why she was able to produce some records in 2012, although they could not of course be correlated with the wire transfers she had taken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will now address her reconstruction of expenses for those years set out in the schedules she created for this litigation marked as Ex. 25. Ms. Roberts created these schedules by looking at her bank statements and credit card statements for 2005-2007. She then created month-by-month "reconciliations", listing all expenses she believes she incurred, and then identifying columns of which ones she says are "exact", meaning supported by documentation; and which ones are "probable", meaning they are based on assumptions. She included in her reconstruction the 11 prior expense claims as well as expenses she submitted with her 2012 Schedules.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Assumed Reconstructed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Roberts admitted that her "probable" column of expenses in her reconstruction schedules, Ex. 25, were just a "guess". The self-serving nature of her evidence, and the lack of any corroborating documentation, means that her many assumptions in support of her evidence of "probable" past expenses must be looked at closely, including her assumptions that:</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paid for some business expenses through the use of other family members' credit cards, or cash;</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repaid some advances;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her credit card statements reveal that she shopped at certain retail stores that at least half of these purchases were purchases on behalf of Caravel; and,</w:t>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was entitled to a per diem of $50 per day when she travelled on behalf of company business;</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incurred a number of travel expenses but was hindered in her reconstruction of them by the fact that she could not obtain copies of her American Express statements for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do not accept any of the above assumptions made by Ms. Roberts in her attempted reconstruction of business expenses.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Business Expenses Other Family Members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Ms. Roberts asserted that she sometimes used the credit cards of other family members, or borrowed cash from them, to pay the business expenses of Caravel. She said this was because her own credit cards were at the limit of available credit. She said that she would then use advances from Caravel to repay her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She also said she did this with her own cash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There was no corroborating evidence from any such family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Ms. Roberts was a skilled accountant well-versed in tracking expenses for audit purposes. It is incredible that Ms. Roberts would engage in such a practice as she described but not document it. How would she ever know who owed who for how much? The same can be said about her using her own cash for company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find that these assertions are a self-serving invention.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Repayment of Some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Ms. Roberts also claims that she repaid some advances from Caravel. However, Lisa Simpkin's evidence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Ms. Simpkins reviewed records created by Ms. Roberts at the time, detailing the source of deposits to the company's bank account in 2005, 2006 and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Ms. Simpkin's evidence was that there were only two times where Ms. Roberts was shown as the payor in Caravel's records of deposits. One was a deposit of $20,000 from Ms. Roberts in June 2007, which was combined with deposits from what were presumably two of Caravel's public company clients, in the amounts of $40,000 and $20,000. The note in the records was that this was offset by a purchase of a bank draft. Ms. Roberts did not contend in her evidence that this was money that came out of her own personal funds or that it represented a repayment she made to Caravel.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other record of a payment by Ms. Roberts to Caravel was a deposit of $25,300 in August 2007 as repayment of the $25,000 loan she had borrowed from the company plus interest. This is not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However, Ms. Roberts asserted in her evidence and reconstruction of past expenses and advances, in Ex. 25, that she repaid some advances from time to time. She appears to have made this assumption based on the fact that some money went out of her own bank account. She tried to explain the fact that there was no matching deposit in Caravel's bank account by suggesting that her repayment could have been bundled with other payments to Caravel when deposited. I do not accept her assumptions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accept Ms. Simpkin's evidence that the Caravel records created by Ms. Roberts, when Ms. Roberts was an employee of the company, do not document deposits by Ms. Roberts to the company, other than the two I have just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It is true that in cross-examination of Ms. Simpkin, Ms. Roberts was able to illustrate that Ms. Simpkin made one error in her tally of the records Ms. Roberts had created of Caravel's bank deposits. That error was to overlook a deposit of $30,000 on October 25, 2005. However, there was no evidence to support an inference that the deposit was made by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Ms. Simpkin gave her evidence objectively and succinctly. She did not embellish. She did not appear to have any animus towards Ms. Roberts. To the contrary, her demeanour when cross-examined appeared as though she might feel sympathetic to the predicament now facing her former colleague,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find that other than repayment of the loan of $25,000 (which has been accounted for and is not claimed by Caravel), Ms. Roberts did not pay back any of the advances made to her by Caravel, contrary to her assertions that she on occasion did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Retail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her schedules forming part of Ex. 25, Ms. Roberts listed as "probable" expenses a number of purchases from retail stores, revealed from her credit card statements. These were stores like The Bay, The Future Shop, Eaton, London Drugs, and Winners. She explained that she would shop for items for gifts for employees or clients, or other items for Caravel's office, with her credit card. She submitted that it would be reasonable to assume that at least half of these expenses were business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She also said that if she went to a retail store when on a business trip, it would be related to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do not accept these assumptions. There is no supporting documentation as to what these purchases were, nor does Ms. Roberts remember most of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Per Diem Plus Meals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Ms. Roberts re-constructed from some evidence that she was on a business trip, and claims that she would have been entitled to claim an expense of $50 per day as a "per diem" expense, for things like meals, tips, or taxis. She has included this in her "probable" expense column.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do not accept her evidence in this regard. It is notable that on many of the occasions that she claims a per diem expense, she also claims that restaurant meals related to the same trip.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Missing Credit Card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Ms. Roberts claims that her attempt to reconstruct past expenses was hindered by the fact that she could not obtain copies of her American Express statements for the months of January to September 2005. She stated this several times in her direct evidence and repeated it in the schedules of reconstructed expenses she produced. The inference she clearly wished the Court to draw was that she had incurred many company expenses on her American Express credit card during those months but couldn't prove it because of the missing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putting together her reconstruction, Ex. 25, Ms. Roberts would rely on evidence in another credit card statement of paying for a meal or hotel in Calgary or Denver or another location related to Caravel business trip, and would then assume that she also paid for flights and taxis using her American Express card, and that the missing American Express statements would have shown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 was able to show all of the relevant American Express statements have in fact been produced, except for the days of May 10-15, 2005. They do not support the plaintiff's many assumptions as to business expenses she asserts that she probably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 was also able to show that many of the travel expenses Ms. Roberts assumed she must have paid for, but for which she had no documentation, were in fact paid for by other employees. As but two examples, another employee, Ms. Laurin, paid for the flights in January and February 2005 for which, in her reconstruction of expenses, Ms. Roberts assumed she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reject any assumptions that underlie Ms. Roberts' evidence that she paid for the travel expenses listed in her "probable" columns in Ex.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Regarding Assumed Reconstructed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Ms. Roberts knew the importance of requiring back-up before the company would pay employees for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At best what Ms. Roberts has put forward as "probable" expenses are no more than self-serving guesses. I find it is unlikely they were actually incurred.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"Exact" Reconstructed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Ms. Roberts set out in Ex. 25, in the column titled "exact", those expenses she felt she had incurred in the past of which she had a corroborating record or a specific memory of the expense or of a practice which gave her confidence that the item was a business expense. These total $92,113.34 for all of the years 2005-2007.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Included in the "exact" column of Ms. Roberts' reconstructed expenses are those for which she did file expense reports (the 11 expense reports produced by Caravel in this proceeding, totalling $15,442.61). The expense reports were checked by another Caravel employee when filed, and the plaintiff accepts these as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Ms. Roberts has also included in the "exact" column of her reconstruction those expenses she submitted with her 2012 Schedules, totalling $36,066. Some of the latter expenses are not supported by any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addition, Ms. Roberts has added in to the "exact" column many more expenses she says she would have incurred on behalf of the company and would have submitted an expense report, justifying her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have rejected Ms. Roberts' evidence that she filed expense reports for 2005-2007 that are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However, I accept her evidence that she did incur some additional past expenses on behalf of the company in those years which are reflected in her "exact" column of Ex. 25, and which were either not in previous expense claims or were with the 2012 Schedules. These expenses include for such things as business lunches; courses she took in relation to her employment; lunches when travelling for business; specific gifts for employees or clients; purchases from an office supply company; and, some computer-related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plaintiff's position is that it is not seeking damages in relation to actual expenses incurred on behalf of Caravel by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Having reviewed Ms. Roberts' reconstruction of "exact" expenses, set out in Ex. 25, I accept that she incurred those expenses on behalf of Caravel except for the following:</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incur an expense of $2,000 in January 2005 or expenses of $2,000 plus $1,000 in August 2005, totalling $5,000. These were listed by her as "exact" expenses but she admitted that she was simply guessing that she made payments in these amounts to Caravel to pay back advances. There is no record of her having made these payments to Caravel and I do not accept her evidence that she did so;</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an incur an expense of $2,000 in October 2006 to pay for school fees. There is no corroborating document and I do not accept her evidence in this regard;</w:t>
      </w:r>
    </w:p>
    <w:p>
      <w:pPr>
        <w:numPr>
          <w:numId w:val="3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incur an expense in March 2007 in the amount of $3,500. I do not accept her evidence that because she received a money order in this amount, it was for the purchase of software as she admitted this was a guess. The money order was made out to Ms. Roberts and appears to have been deposited in a VanCity bank account. Ms. Roberts has no credible explanation as to why she would issue a money draft to herself to purchase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above "exact" expenses alleged by Ms. Roberts in her reconstruction, Ex. 25, which I have found were not likely business expenses, total $10,500. This would reduce Ms. Roberts' claim of having incurred "exact" expenses to $81,613.34 (her claim that she had exact expenses of $92,113.34, less $10,500).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Regarding "Exact" Reconstructed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 find that of all the "exact" expenses reconstructed by Ms. Roberts in Ex. 25, Ms. Roberts incurred business expenses in the total approximate amount of $81,613 in 2005-2007. This includes all expenses on behalf of Caravel for which she submitted expense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This estimate is generous to Ms. Roberts in that it gives Ms. Roberts the benefit of the doubt on many expenses she claims were "exact" which are not corroborated by supporting documentation or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This estimate is also generous because in her reconstruction Ms. Roberts made estimates as to the exchange rate she would have paid when paying expenses in United States dollars. In at least some examples it appears that she used an exchange rate far more favourable to her than what was actually incurred. For example, for June 2005, she referred to an expense for a Holiday Inn hotel room in Texas in the amount of $455.40 USD, which she listed as an "exact" expense of $701.32 CAD. The expense report of the employee who travelled with her, Paul Fisher, indicates that the exchange rate used would more likely have resulted in an expense of $586.72 CAD.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Also, Ms. Roberts assumed many purchases identified as "exact" were for Caravel when her evidence is weak in this regard. As but one example, she seemed to have ordered flowers from numerous places. She also has numerous expenses for meals and airport parking. I have given her the benefit of the doubt that these were for business expenses when it is possible many of these were personal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do not find that Ms. Roberts incurred any other expenses on behalf of Caravel in the years 2005-2007. As set out above, her many assumptions which underlie her attempted reconstruction of "probable" expenses are not credible.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This leads me to a final comment on Ms. Roberts' credibility. It is clear that I have rejected much of her evidence as lacking in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To the extent her evidence was contradicted by the other employees of Caravel who were called to give evidence, I prefer the other witnesses' evidence over that of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Ms. Roberts came across as likable, articulate and polite. She was smart and organized. She appeared to have a suggestion of a possible answer for most incriminating dilemmas facing her on the evidence, but at the same time was careful to avoid being absolute in her evidence in case of contradiction. When an illogical point was pressed, or evidence was provided that contradicted her trial testimony, she was practically acrobatic in her ability to twist and turn and evade. Occasionally when she couldn't think of an answer immediately, she would ramble on almost incoherently and would seek sympathy in some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found Ms. Roberts' evidence to be quite clear on some matters, but then quite opaque when it came to the difficult issues for her: explaining the money she received and her conduct in making payments to herself from Caravel.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Unfortunately for Ms. Roberts her many contradictions could not be overcome. She contradicted herself, she was contradicted by other witnesses, and she was contradicted by logic and common sense. It is not necessary to refer to every contradiction. But as an overview there is an inherent contradiction in the fact that she was a meticulous and skilled accountant yet she had no records within Caravel to support her many explanations as to the discrepancies in Caravel's accounting that in the past had benefitted her: none of the expense reports she claimed to have submitted, not in hard copy or electronic copy; no entries in the financial statements; no record of any ledger showing a reconciliation of the many advances Ms. Roberts had taken as against the expense reports that she had filed. She was a hard worker but claims not to have taken the time to simply add up years-old expense records that she kept in a folder, until 2011, and then she claimed not to be able to produce her own "reconciliation" of the 2011 advances until near the end of February 2012, when she produced the 2012 Schedules. As already noted, the 2012 Schedules did not constitute a reconciliation.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short, to accept Ms. Roberts' denials that she had done anything wrong would require a complete suspension of disbelief. I was unable to accept Ms. Roberts' evidence to the extent necessary to overcome the plaintiff's strong case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In assessing the evidence and Ms. Roberts' credibility, I pause to observe that I did not find it necessary to give any weight to Mr. Blatchford's opinions that some of the practices he observed were consistent with concealment of unauthorized payments; or his opinion that he has not had previously encountered a situation where a company's bookkeeper received advances for corporate expenses in the exact amount of her salary. I did find helpful some of his factual evidence as to what the numbers showed or added up to on his review of some of the documents (cross-referencing and adding up payments or expenses, for example).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Challenges to Caravel's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It is necessary to briefly address Ms. Roberts' challenge to some of Caravel's evidence as being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Ms. Roberts challenged Mr. Wilson's evidence, suggesting: he was more involved in putting together Caravel's books when he joined in 2006, than he admitted on the stand, for example, he clearly went through Caravel's bank statements and put checkmarks against the cheques; that he was wrong in his evidence as to when Caravel began to move its records into an accounting software program; and, that he was wrong in the course of discovery when he claimed not to have any Caravel records but instead did have some 2004 electronic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It is somewhat of a mystery how Ms. Roberts managed to pay herself so much in 2005-2007 without detection or question by Brian Wilson, the C.A. hired by Mr. Hislop in 2006. But Mr. Wilson's role was to help get the company's financial records in order for the last ten years, so that the tax returns could be filed. He was not performing an audit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my view, none of this matters. Mr. Wilson clearly did not know that Ms. Roberts was making unauthorized payments to herself. Many of those payments were before or after he was involved in supervising the pulling-together of Caravel records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Further, Mr. Wilson did not assert that he had no involvement in putting together the accounting records, just that it was Ms. Roberts who did the data entry in the ledgers. Even if he checked some of those entries, or even if he made some of the entries, it was not suggested to Mr. Wilson that he made the incorrect entries which showed payments to others that were in fact payments to Ms. Roberts, nor is this the least bit likely. There are too many circumstances pointing to Ms. Roberts as the person who deliberate disguised payments to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As to when it was that Caravel began to switch over its records to a proper accounting software program, to the extent Mr. Wilson might have been wrong about the timing this is not a material issue other than to note that prior to Mr. Wilson arriving on the scene in 2006, Caravel had virtually no accounting records and they had to create a ledger for the last ten years, using the bank statements and cheques and any supporting invoices or other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Lastly, Mr. Wilson's oversight during the discovery process in this litigation, in not realizing he had some 2004 electronic records for Caravel, was just that, an oversight. I do not find it was a deliberate attempt to withhold relevant material from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To the extent there is an inconsistency, I prefer Mr. Wilson's evidence over that of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Ms. Roberts also submitted that Mr. Hislop's evidence was not credible and should not be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 do concede that I had some reservations about parts of Mr. Hislop's evidence, and have treated it cautiously. But any reservations do not undermine the force of the evidence against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One of the mysteries of this case is the laxity of management of Caravel in overseeing Ms. Robert's payments to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Hislop was an experienced and sophisticated businessman who was a C.A.; he did the bookkeeping for Caravel in its first two years before Ms. Roberts was hired; and he knew that Caravel did not have a proper system of bookkeeping and did not have financial statements or file tax returns for years. He knew that Caravel was billing the many public companies under his wing for Caravel's services, and that in this regard Caravel was generating substantial revenues in the years 2005-2007, namely approximately $2.14 million in 2005; $1.76 million in 2006; and $2.9 million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Mr. Hislop gave some evidence about a topic that was not directly relevant, and that was, Caravel's payments to Mark Jarvis in the years following 2004, when Mr. Jarvis no longer worked out of Caravel's offices. The evidence established that Mr. Jarvis received large sums of money from Caravel in the years 2004 through 2006. Mr. Hislop's evidence suggested he did not authorize these payments after the end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Caravel was not pursuing a claim against Ms. Roberts for recovery of the payments made to Mr. Jarvis that Mr. Hislop denies authorizing, and so it is unnecessary to address this evidence in any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But Mr. Hislop's evidence regarding why he authorized payments to Mark Jarvis for at a minimum one year after Mark Jarvis left Caravel in 2003 was not credible. He suggested he did so even though Mark Jarvis was not providing services to Caravel, simply because he wanted to make sure Mr. Jarvis and his wife had health care benefits, and as insurance to make sure Mr. Jarvis would not work for another energy company (which Mr. Jarvis did in any event). This story was on its face unbelievable. I was left with the impression that the payments to Mr. Jarvis were treated as salary by Caravel at Mr. Hislop's direction, but that the payments represented something other than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Mr. Jarvis testified and the force of his evidence was consistent with the conclusion that payments to him were treated by Caravel as salary, but represented some other deal that he had with Mr. Hislop.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This aspect of the evidence was so odd it caused me to wonder whether Mr. Hislop found it convenient for other business reasons to stand back from supervising Caravel's bookkeeping closely. For this reason I have difficulty accepting his evidence completely insofar as it relates to Caravel's payments to Mr. Jarvis.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Nevertheless, I have no difficulty accepting Mr. Hislop's evidence where it is consistent with that of other witnesses, which it is on all material points. Importantly, Ms. Roberts does not claim that Mr. Hislop personally authorized her to take money from Caravel that was in excess of the expenses she incurred on behalf of the company and without any need to account for the expenses she incurred on behalf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 find that Mr. Hislop did not supervise Ms. Roberts in terms of whether or not she properly accounted for her expenses incurred on behalf of the company, and did not know that she was taking out more money by way of advances than were reflected in her actual expenses incurred on behalf of Caravel. He did not acquiesce in her doing so. I find that he trusted her and she took advantage of that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Ms. Roberts' challenges to Caravel's evidence did not in any way diminish Caravel's case against her.</w:t>
      </w:r>
      <w:r>
        <w:rPr>
          <w:rFonts w:ascii="arial" w:eastAsia="arial" w:hAnsi="arial" w:cs="arial"/>
          <w:sz w:val="20"/>
          <w:lang w:val="en-US" w:eastAsia="en-US" w:bidi="ar-SA"/>
        </w:rPr>
        <w:cr/>
      </w:r>
    </w:p>
    <w:p>
      <w:pPr>
        <w:numPr>
          <w:numId w:val="3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 the Defendant Liable to the Company to Repay Unauthorized Advances,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 have found that Ms. Roberts received $180,056 by way of advances from Caravel in the years 2005-2007 that cannot be accounted for as salary or an RRSP bonus.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 have found after a close review of the evidence, in a way that is still favourable to Ms. Roberts, that Ms. Roberts incurred business expenses on behalf of Caravel during the same period in the approximate amount of $81,613. This includes all expenses for which she submitted expense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 find that the difference between what we now know Ms. Roberts received by way of advances for expenses, and the actual expenses she incurred, is $98,443 (calculated as $180,056 less $81,613).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It is perhaps not surprising that this figure is somewhat higher than the deceptive payments taken by Ms. Roberts not properly accounted for in the company's records initially.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It is to be remembered that the unauthorized payments to Ms. Roberts that she did not accurately put in the Caravel books included the wire transfers she took in 2011, totalling $18,424 gross less the $15 bank charge for the first wire transfer; and the advances to herself in 2005-2007 that she disguised in the company's ledgers as payments to Mark Jarvis or to other employees, totalling $52,621.06. These two figures total $71,030.06.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Ms. Roberts' ongoing assertion to her junior accounting staff, Ms. Laurin, that she had not yet submitted all past expense claims was likely her way to deal with any questions of outstanding advances made by the company to her. Indeed, if the deceptive payments to her of $71,030.06 had not been discovered, Ms. Roberts might have appeared to owe only $27,383 by way of excess advances to her less valid expense claims ($98,443 minus $71,030).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Ms. Roberts was the person in charge of Caravel's accounting in the years 2005-2007. She knew that Caravel placed her in a position of responsibility and trust, and that it relied on her honesty and trustworthiness.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There are no difficult legal issues here. Ms. Roberts took $98,443 from Caravel which she was not entitled to take. She engaged in deliberate deceptive practices to hide some of the monies that she took. This was all at the same time as she was employed in a position of trust by Caravel.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plaintiff seeks damages based on the tort of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The law regarding the tort of conversion was summarized in </w:t>
      </w:r>
      <w:r>
        <w:rPr>
          <w:rFonts w:ascii="arial" w:eastAsia="arial" w:hAnsi="arial" w:cs="arial"/>
          <w:i/>
          <w:color w:val="000000"/>
          <w:sz w:val="20"/>
          <w:lang w:val="en-US" w:eastAsia="en-US" w:bidi="ar-SA"/>
        </w:rPr>
        <w:t>ICBC v. Atwal</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2010 BCSC 338</w:t>
        </w:r>
      </w:hyperlink>
      <w:r>
        <w:rPr>
          <w:rFonts w:ascii="arial" w:eastAsia="arial" w:hAnsi="arial" w:cs="arial"/>
          <w:color w:val="000000"/>
          <w:sz w:val="20"/>
          <w:lang w:val="en-US" w:eastAsia="en-US" w:bidi="ar-SA"/>
        </w:rPr>
        <w:t xml:space="preserve"> at paras. 283-285, and </w:t>
      </w:r>
      <w:r>
        <w:rPr>
          <w:rFonts w:ascii="arial" w:eastAsia="arial" w:hAnsi="arial" w:cs="arial"/>
          <w:i/>
          <w:color w:val="000000"/>
          <w:sz w:val="20"/>
          <w:lang w:val="en-US" w:eastAsia="en-US" w:bidi="ar-SA"/>
        </w:rPr>
        <w:t>ICBC v. Ben-Jaafar,</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2011 BCSC 1106</w:t>
        </w:r>
      </w:hyperlink>
      <w:r>
        <w:rPr>
          <w:rFonts w:ascii="arial" w:eastAsia="arial" w:hAnsi="arial" w:cs="arial"/>
          <w:color w:val="000000"/>
          <w:sz w:val="20"/>
          <w:lang w:val="en-US" w:eastAsia="en-US" w:bidi="ar-SA"/>
        </w:rPr>
        <w:t xml:space="preserve"> at para. 240 by Cullen A.C.J.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G.H.L.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2nd Ed. (Toronto: Carswell[,] 2002) at p. 136, the elements of the tort of conversion are set out as follows:</w:t>
      </w:r>
    </w:p>
    <w:p>
      <w:pPr>
        <w:numPr>
          <w:numId w:val="3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wrongful act by the defendant involving the goods of the plaintiff;</w:t>
      </w:r>
    </w:p>
    <w:p>
      <w:pPr>
        <w:numPr>
          <w:numId w:val="3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must consist of handling, disposing of or destroying the goods;</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action must have either the intention or the effect of interfering with (or denying) the plaintiff's title or right to the goods.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Boma Manufacturing Ltd. v. Canadian Imperial Bank of Commerce</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[1996] 3 S.C.R. 727</w:t>
        </w:r>
      </w:hyperlink>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140 D.L.R. (4th) 463</w:t>
        </w:r>
      </w:hyperlink>
      <w:r>
        <w:rPr>
          <w:rFonts w:ascii="arial" w:eastAsia="arial" w:hAnsi="arial" w:cs="arial"/>
          <w:color w:val="000000"/>
          <w:sz w:val="20"/>
          <w:lang w:val="en-US" w:eastAsia="en-US" w:bidi="ar-SA"/>
        </w:rPr>
        <w:t xml:space="preserve"> at para. 31, the court defined and explained the tort of conversion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tort of conversion involves a wrongful interference with the goods of another, such as taking, using or destroying these goods in a manner inconsistent with the owner's right of possession. The tort is one of strict liability and accordingly it is no defence that the wrongful act was committed in all innocence. Diplock L.J. asserted this principle in </w:t>
      </w:r>
      <w:r>
        <w:rPr>
          <w:rFonts w:ascii="arial" w:eastAsia="arial" w:hAnsi="arial" w:cs="arial"/>
          <w:i/>
          <w:color w:val="000000"/>
          <w:sz w:val="20"/>
          <w:lang w:val="en-US" w:eastAsia="en-US" w:bidi="ar-SA"/>
        </w:rPr>
        <w:t>Marfani &amp; Company v. Midland Bank Ltd.</w:t>
      </w:r>
      <w:r>
        <w:rPr>
          <w:rFonts w:ascii="arial" w:eastAsia="arial" w:hAnsi="arial" w:cs="arial"/>
          <w:color w:val="000000"/>
          <w:sz w:val="20"/>
          <w:lang w:val="en-US" w:eastAsia="en-US" w:bidi="ar-SA"/>
        </w:rPr>
        <w:t>, [1968] 2 All E.R. 573 at pp. 577-578: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moral concept of fault in the sense of either knowledge by the doer of an act that is likely to cause injury, loss or damage to another, or lack of reasonable care to avoid causing injury, loss or damage to another, plays no part.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the customer is not entitled to the cheque which he delivers to his banker for collection, the banker, however innocent and careful he might have been, would at common law be liable to the true owner of the cheque for the amount of which he receives payment, either as damages for conversion or under the cognate cause of action, based historically on assumpsit, for money had and received.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MacKenzie v. Blind Man Valley Cooperative Association Ltd</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[1947] 2 W.W.R. 443</w:t>
        </w:r>
      </w:hyperlink>
      <w:r>
        <w:rPr>
          <w:rFonts w:ascii="arial" w:eastAsia="arial" w:hAnsi="arial" w:cs="arial"/>
          <w:color w:val="000000"/>
          <w:sz w:val="20"/>
          <w:lang w:val="en-US" w:eastAsia="en-US" w:bidi="ar-SA"/>
        </w:rPr>
        <w:t xml:space="preserve"> at 451, </w:t>
      </w:r>
      <w:hyperlink r:id="rId183" w:history="1">
        <w:r>
          <w:rPr>
            <w:rFonts w:ascii="arial" w:eastAsia="arial" w:hAnsi="arial" w:cs="arial"/>
            <w:i/>
            <w:color w:val="0077CC"/>
            <w:sz w:val="20"/>
            <w:u w:val="single"/>
            <w:shd w:val="clear" w:color="auto" w:fill="FFFFFF"/>
            <w:lang w:val="en-US" w:eastAsia="en-US" w:bidi="ar-SA"/>
          </w:rPr>
          <w:t>[1947] 4 D.L.R. 687</w:t>
        </w:r>
      </w:hyperlink>
      <w:r>
        <w:rPr>
          <w:rFonts w:ascii="arial" w:eastAsia="arial" w:hAnsi="arial" w:cs="arial"/>
          <w:color w:val="000000"/>
          <w:sz w:val="20"/>
          <w:lang w:val="en-US" w:eastAsia="en-US" w:bidi="ar-SA"/>
        </w:rPr>
        <w:t xml:space="preserve"> (Alta. S.C.)[,] cited with approval in General Securities Ltd. v. Parsons (1955), 14 W.W.R. (N.S.) 424 (B.C.C.A.), Chief Justice Howson stated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under which the liability for conversion is determined is stated in the head note of the report of the House of Lords decision in the [sic] </w:t>
      </w:r>
      <w:r>
        <w:rPr>
          <w:rFonts w:ascii="arial" w:eastAsia="arial" w:hAnsi="arial" w:cs="arial"/>
          <w:i/>
          <w:color w:val="000000"/>
          <w:sz w:val="20"/>
          <w:lang w:val="en-US" w:eastAsia="en-US" w:bidi="ar-SA"/>
        </w:rPr>
        <w:t>Hollins v. Fowler, supra</w:t>
      </w:r>
      <w:r>
        <w:rPr>
          <w:rFonts w:ascii="arial" w:eastAsia="arial" w:hAnsi="arial" w:cs="arial"/>
          <w:color w:val="000000"/>
          <w:sz w:val="20"/>
          <w:lang w:val="en-US" w:eastAsia="en-US" w:bidi="ar-SA"/>
        </w:rPr>
        <w:t>, at p. 169: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Any person who, however innocently, obtains the possession of the goods of a person who has been fraudulently deprived of them, and disposes of them, whether for his own benefit or that of any other person is guilty of a conversion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The tort of conversion applies to misappropriated funds in a manner inconsistent with the owner's rights: </w:t>
      </w:r>
      <w:r>
        <w:rPr>
          <w:rFonts w:ascii="arial" w:eastAsia="arial" w:hAnsi="arial" w:cs="arial"/>
          <w:i/>
          <w:color w:val="000000"/>
          <w:sz w:val="20"/>
          <w:lang w:val="en-US" w:eastAsia="en-US" w:bidi="ar-SA"/>
        </w:rPr>
        <w:t>Royal Canadian Legion, Branch No. 15 v. Burkitt</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2005 BCSC 1752</w:t>
        </w:r>
      </w:hyperlink>
      <w:r>
        <w:rPr>
          <w:rFonts w:ascii="arial" w:eastAsia="arial" w:hAnsi="arial" w:cs="arial"/>
          <w:color w:val="000000"/>
          <w:sz w:val="20"/>
          <w:lang w:val="en-US" w:eastAsia="en-US" w:bidi="ar-SA"/>
        </w:rPr>
        <w:t xml:space="preserve"> at paras. 99-105.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It is true that Caravel's management was lax in supervising Ms. Roberts regarding her accounting for Caravel. However the concept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no relevance in a claim based on conversion, which is a strict liability tort: </w:t>
      </w:r>
      <w:r>
        <w:rPr>
          <w:rFonts w:ascii="arial" w:eastAsia="arial" w:hAnsi="arial" w:cs="arial"/>
          <w:i/>
          <w:color w:val="000000"/>
          <w:sz w:val="20"/>
          <w:lang w:val="en-US" w:eastAsia="en-US" w:bidi="ar-SA"/>
        </w:rPr>
        <w:t>Boma Manufacturing Ltd. v Canadian Imperial Bank of Commerce,</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[1996] 3 S.C.R. 727</w:t>
        </w:r>
      </w:hyperlink>
      <w:r>
        <w:rPr>
          <w:rFonts w:ascii="arial" w:eastAsia="arial" w:hAnsi="arial" w:cs="arial"/>
          <w:color w:val="000000"/>
          <w:sz w:val="20"/>
          <w:lang w:val="en-US" w:eastAsia="en-US" w:bidi="ar-SA"/>
        </w:rPr>
        <w:t xml:space="preserve"> at paras. 32-35.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pleaded by Ms.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 have found that Ms. Roberts deprived Caravel of its money in the amount of $98,443 in circumstances where she knew she was not entitled to the money. I find that Ms. Roberts is liable for damages in this amount based on the tort of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It is not necessary to consider the other grounds advanced by Caravel as the basis for its claim, namely unjust enrichment and breach of fiduciary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Caravel also seeks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Caravel submits that punitive damages are awarded for the commission of wrongful acts that are outrageous or reprehensible, and which offend the ordinary standards of decent conduct in the community, and to punish the wrongdoer and to deter others from acting in a like fashion: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at paras. 36, 68. Certainly Ms. Roberts' conduct in stealing from her employer while in a position of trust, and her lack of remorse and failure to take responsibility, is outrageous and contrary to community standards of decency.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 note that despite the very helpful submissions of counsel for Caravel in this difficult case, very little time was spent on this aspect of the claim. Counsel did graciously concede that there was some evidence to support the conclusion that Ms. Roberts would have little ability to pay such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As conceded by the plaintiff, a defendant's financial means can be taken into account in determining the size of a punitive damages award, including limits on those means: see for example </w:t>
      </w:r>
      <w:r>
        <w:rPr>
          <w:rFonts w:ascii="arial" w:eastAsia="arial" w:hAnsi="arial" w:cs="arial"/>
          <w:i/>
          <w:color w:val="000000"/>
          <w:sz w:val="20"/>
          <w:lang w:val="en-US" w:eastAsia="en-US" w:bidi="ar-SA"/>
        </w:rPr>
        <w:t>Fung v. Lu</w:t>
      </w:r>
      <w:r>
        <w:rPr>
          <w:rFonts w:ascii="arial" w:eastAsia="arial" w:hAnsi="arial" w:cs="arial"/>
          <w:color w:val="000000"/>
          <w:sz w:val="20"/>
          <w:lang w:val="en-US" w:eastAsia="en-US" w:bidi="ar-SA"/>
        </w:rPr>
        <w:t xml:space="preserve"> (1997), 9 C.P.C. (4th) 81 (B.C.S.C.)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 find that it is already likely that the result of this case will be devastating for Ms. Roberts, both in terms of her reputation and financially. At the same time, it must be noted that the determination of damages was made more difficult by reason of Ms. Roberts' misconduct and deliberate obfuscation. I consider that a punitive damages award in the relatively modest amount of $5,000 is necessary but sufficient to deter others and to mark the Court's conclusion that Ms. Roberts' behaviour was reprehensible. The amount of $5,000 represents just over 5% of what I have determined Ms. Roberts wrongfully took from the company (which was close to $100,000). I consider this to be proportionate in all the circumstances.</w:t>
      </w:r>
      <w:r>
        <w:rPr>
          <w:rFonts w:ascii="arial" w:eastAsia="arial" w:hAnsi="arial" w:cs="arial"/>
          <w:sz w:val="20"/>
          <w:lang w:val="en-US" w:eastAsia="en-US" w:bidi="ar-SA"/>
        </w:rPr>
        <w:cr/>
      </w:r>
    </w:p>
    <w:p>
      <w:pPr>
        <w:numPr>
          <w:numId w:val="3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 the Defendant Liable to the Company to Repay a $20,000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Ms. Roberts admits borrowing $40,000 from Caravel.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When her employment was terminated, her severance was calculated on the basis of forgiving $20,000 of this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While Caravel claims the balance of the debt, it did not vigorously pursue this claim before me. Caravel did not produce any loan agreement nor describe the terms for repayment.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When Mr. Willows met with Ms. Roberts after her termination, she expressed concern about the $20,000 debt remaining on the $40,000 loan she had borrowed from Caravel. Mr. Willows told her he would "lose the amount in the accounts", which meant that he would not try to collect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 find that he had authority to make this concession. I conclude that Ms. Roberts is not liable to Caravel in respect of this debt.</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 the company liable to the plaintiff on her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Ms. Roberts advances a counterclaim against Caravel. The nub of the counterclaim is that by advancing false allegations in this lawsuit, Caravel has caused her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 find no basis in law or fact for the counterclaim and it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Caravel is entitled to judgment against Ms. Roberts in the amount of $98,443 as damages based on the tort of conversion. In addition, Caravel is entitled to punitive damages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Ms. Roberts'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plaintiff is also entitled to its costs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Casses v. Canadian Broadcasting Corp., [2012] B.C.J. No. 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S115272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Fernando Casses and Dr. Fernando Casses Inc., Plaintiffs, and Canadian Broadcasting Corporation, Kathy Tomlinson, Enza Uda, Chris Doe, Kim Roe, Chris Poe, Kim Yoe, Chris Sloe and Kim Loe,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8"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7" w:name="Keywords_8"/>
      <w:bookmarkEnd w:id="57"/>
      <w:r>
        <w:rPr>
          <w:rFonts w:ascii="arial" w:eastAsia="arial" w:hAnsi="arial" w:cs="arial"/>
          <w:b/>
          <w:color w:val="000000"/>
          <w:sz w:val="20"/>
          <w:lang w:val="en-US" w:eastAsia="en-US" w:bidi="ar-SA"/>
        </w:rPr>
        <w:t>Civil litigation — Civil procedure — Pleadings — Striking out pleadings or allegations — Material facts — Particulars — Sufficiency — Motion by plaintiff to strike out portions of defendants' response to civil claim dismissed — Plaintiff, a doctor, commenced action against CBC, journalist and others for defamation in relation to story about his treatment of former patients and College's licensing of him — Could not be said that defence of justification was bound to fail as was open to defendants to plead different meaning of allegedly defamatory statements and to justify those statements — Facts going to mitigation not struck as admission of evidence left to trial judge — Plaintiff could seek further and better particulars.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Practice — Pleadings — Motion by plaintiff to strike out portions of defendants' response to civil claim dismissed — Plaintiff, a doctor, commenced action against CBC, journalist and others for defamation in relation to story about his treatment of former patients and College's licensing of him — Could not be said that defence of justification was bound to fail as was open to defendants to plead different meaning of allegedly defamatory statements and to justify those statements — Facts going to mitigation not struck as admission of evidence left to trial judge — Plaintiff could seek further and better particulars.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Pleadings — Motion by plaintiff to strike out portions of defendants' response to civil claim dismissed — Plaintiff, a doctor, commenced action against CBC, journalist and others for defamation in relation to story about his treatment of former patients and College's licensing of him — Could not be said that defence of justification was bound to fail as was open to defendants to plead different meaning of allegedly defamatory statements and to justify those statements — Facts going to mitigation not struck as admission of evidence left to trial judge — Plaintiff could seek further and better particulars.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8" w:name="Case Summary_7"/>
            <w:bookmarkEnd w:id="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plaintiffs to strike out certain paragraphs of the defendants' response to civil claim. The plaintiffs were a doctor and his medical corporation. The defendants were the CBC, a journalist with the CBC and several unknown individuals. The plaintiff alleged that the defendants made defamatory statements about him concerning the discharge of his professional duties and obligations in the care of certain patients and that those statements were published by the CBC. In addition, the plaintiff commenced three separate actions against individuals who were former patients or family members of former patients who made the allegedly statements concerning that were quoted by the CBC, alleging that the words of each defendant were defamatory and seeking to make each responsible for their own statements. In this action, the plaintiffs alleged that the statements of those individuals were not separate and distinct, but in their totality, were the basis of the plaintiffs' action for defamation against the defendants. The defendants admitted publishing the statements, but pleaded fair comment, justification and responsible communication. The plaintiff sought to strike out the defendants' pleadings as the plea of justification or fair comment was a response to a separate sting not pleaded, that the pleadings were oppressive, certain paragraphs contravened the rules of pleadings and the pleadings lacked particulars.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9" w:name="Holdings of Court_6"/>
            <w:bookmarkEnd w:id="59"/>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could not be said that the defence of justification was bound to fail as it was open to the defendants to plead different or lesser meanings of the allegedly defamatory statements and to seek to justify those meanings. As the admission of evidence should be left to the trial judge, the facts which went to mitigation were not struck. Any lack of clarity and specificity of the pleadings of justification, fair comment, responsible communication and mitigation could be cured by the plaintiff seeking further and better particulars.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0" w:name="Counsel_8"/>
      <w:bookmarkEnd w:id="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9"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R.D. McConchie.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Canadian Broadcasting Corporation, Kathy Tomlinson and Enza Uda: D.W. Burnett.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1" w:name="Judgment_8"/>
      <w:bookmarkEnd w:id="61"/>
      <w:r>
        <w:pict>
          <v:line id="_x0000_s1070" style="position:absolute;z-index:2517698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2" w:name="H. HYSLOP J."/>
            <w:bookmarkEnd w:id="62"/>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Dr. Fernando Casses ("Dr. Casses"), and his professional corporation, Dr. Fernando Casses Inc., have commenced a defamation action naming the Canadian Broadcasting Corporation ("CBC"), Kathy Tomlinson, Enza Uda, and unknown individuals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heard the plaintiff, Dr. Casses striking applications in Vancouver Registry Action Nos. S098449 ("Backer"), S098738 ("Cook") and S099002 ("O'Diorne") (collectively referred to as the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was about to release my reasons in the separate actions when the plaintiffs brought this application seeking to strike paragraphs 1 to 7 inclusive of Division 2 of Part 1, and paragraphs 1 to 5 inclusive of Part 3 of Division 3 of the response to civil claim of the defendants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factual background is that of the separate actions. The cause of action is the same, which is defamation. The relief sought is the same, except the plaintiffs seek in their notice of civil claim:</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requiring the defendants to permanently remove the defamatory expression complained of in this statement of claim from any electronic database where it is accessible, including without limiting the generality of the foregoing, the CBC Internet Websites;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relates to paragraph 41 in the notice of civil claim wherein the plaintiffs allege that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knew, intended, and expected the electronic versions of the September 08 2009 Website Article and the Libelous Broadcasts complained of ... would be republished by other persons on the Internet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publications, as in the separate actions, relate to the CBC's program now identified in this action as "Go Public" broadcast locally on September 8, 9 and 10, 2009. The September 8, 2009 program was also broadcast nationally. The defendants complain that the website article published on September 8, 2009, was to the world and remains on the website at the time of starting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allegations of defamation are the same as those seen on television in each of the separate actions and the words spoken by Ms. Tomlinson.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Added to the plaintiffs' claim is the identification of another patient of Dr. Casses who is also seated around the dining room table with the other individuals described in the separate actions. This person is now named and the words and images that she and her husband spoke are also a basis of the claim by the plaintiff as published by the defendants. That person is identified as Stephanie Aaslie and her husband Steig Aaslie.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Casses alleges in each of the separate actions that the words of each defendant are defamatory, seeking to make each of them responsible for their own statements. Now, the plaintiffs in this action allege that the statements of Becker, O'Diorne, Cook and Aaslie are not separate and distinct, but in their totality, are the basis of the plaintiffs' action for defamation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argue that the defendants' plea of justification or fair comment is a response to a separate sting not pled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alternative, the plaintiffs argue that the defendants' pleadings are oppressive and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Alternatively, the plaintiffs allege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trial of the action is only concerned with the essential issues and their relevant evidence, and public policy and the interest of the parties requires that the trial should be kept strictly to the issues necessary for a fair determination of the dispute between the parties.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16 under the heading "Impugned Elements" 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Notice of Application, filed November 18,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argue that the mitigation paragraphs 6 and 7 of the response to notice of civil claim should be struck as it contravenes the rules of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Lastly, the plaintiffs argue that the defence raised by the defendants should be struck as lacking in particulars.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argue that this striking application is substantially the same as the one in the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argue that the important differences between this striking application and the previous striking application in the separate actions are: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arguments relating to the third party standing issues that the defendants are of no consequence as the CBC is a defendant;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argument about having separate actions versus this approach concedes that the trial should be heard together;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who hears this action and the separate actions is in a better position to determine those allegations sought to be struck, which will apply to the various issues. This, the defendants submit should not be done on a pleadings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also argue that once again, the plaintiffs are attempting to avoid and remove from the litigation the plaintiff's history of college complaints,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unprofessional conduct, which the defendants allege was the purpose of the programs. The plaintiffs are choosing portions of the programs and websites without looking at them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state:</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Particulars are relevant, in each of the (now) four cases, to four different issues, namely; the public interest issue vis a vis the Responsible Communication defence; the Truth defence based on a proper and not cherry-picked meaning of the overall CBC stories; the factual foundation for the Fair Comment defence, and the plaintiff's directly relevant background and reputation relevant to damages. The plaintiff's bid to have a motions judge to parse those pleaded issues now is (it is submitted) misconceived, particularly given the "bound to fail" test that applies to a motion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state that, as a result of starting this action, it makes it clear that the previous striking motion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seeks to strike all of the defendants' response to civil claim, leaving as admitted the description of the plaintiffs and defendants, dates of the broadcast and the admission that the broadcasts as described by the plaintiffs are reasonably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If the court were to strike the pleadings as sought by the plaintiffs, the plaintiffs would take judgement and assess its damages and have ordered its additional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Unlike the separate actions, the plaintiffs allege that the defendants published the combined defamatory statements or remarks of the Backer children, Kyrstal Cook, Robin O'Diorne, and Stephanie Aaslie, as Dr. Casses providing negligent surgery and care, such as to cause the death of Edith Backer and to cause the other patients to suffer needless pain. Also, these statements and remarks mean that Dr. Casses concealed from these patients the complications from their surgery as well as negligently refusing to treat the complications. The patients allege that the meaning attributed to the words of the patients are that Dr. Casses caused them permanent damages or nearly death and in the case of perforations to certain patients, Dr. Casses caused "life threatening"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Casses alleges that the defamatory words of the patients or their relatives warranted Dr. Casses' medical licence be terminated or disciplinary actions by the College of Physicians and Surgeons of British Columbia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These meanings as interpreted by the plaintiffs to which the plaintiffs are holding the defendants accountable, known as "stings" are the issues to which this action should be confined. The plaintiffs' claim that the defendants have changed the scope of the plaintiffs' action to events which occurred to patients in Arizona many years ago, for which there were law suits and disciplinary actions taken by the Board of Medical Examiners in Arizona (Bomex) against Dr. Casses.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Casses argues that the focus of his claim should remain only with the patients he has named and what they said relating to his medical treatment of them and what they suggest should happen as it relates to Dr. Casses' licence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question is whether the defendants have introduced separate and distinct defamations in order to defend that upon which the plaintiffs 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McDonald's Corp. v. Steel</w:t>
      </w:r>
      <w:r>
        <w:rPr>
          <w:rFonts w:ascii="arial" w:eastAsia="arial" w:hAnsi="arial" w:cs="arial"/>
          <w:color w:val="000000"/>
          <w:sz w:val="20"/>
          <w:lang w:val="en-US" w:eastAsia="en-US" w:bidi="ar-SA"/>
        </w:rPr>
        <w:t>, [1999] E.W.J. No. 2173 (C.A.), Lord Justice Pill sets out the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matter of law, the respondents were entitled to select what they chose for complaint and the appellants were not entitled to assert by way of justification the truth of separate and distinct defamatory statements not relied on. Whether a defamatory statement is separate and distinct from other defamatory statements contained in the publication is question of fact and degree in each case.- see Polly Peck v. Trelford [1986] Q.B. 1000 at 1032A-F and Bookbinder v. Tebbitt [1989] 1 W.L.R. 640 at 646H-647A. It does not matter to this point that the words relating to litter might not be textually severable from those relating to recycled paper provided that the statement is in substance distinct - see Cruise v. Express Newspapers [1999] 2 W.L.R. 327 adopting United States Tobacco International v. B.B.C. (unreported, C.A. 11.3.880. We agree with the judge that the litter charge is separate and distinct from any other charge made in the leaflet. The sting of the charge about recycled paper was that McDonald's lied about it and this had no bearing on the charge about litter. The sting about destroying rainforest is similarly distinct from any charge about litter. The respondents did not rely on the litter charge as defamatory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case law demonstrates those events and activities that can or cannot be pled in defence. In my decision in the separate actions, I referred to the facts in </w:t>
      </w:r>
      <w:r>
        <w:rPr>
          <w:rFonts w:ascii="arial" w:eastAsia="arial" w:hAnsi="arial" w:cs="arial"/>
          <w:i/>
          <w:color w:val="000000"/>
          <w:sz w:val="20"/>
          <w:lang w:val="en-US" w:eastAsia="en-US" w:bidi="ar-SA"/>
        </w:rPr>
        <w:t>Pizza Pizza Ltd. v. Toronto Star Newspaper Ltd.,</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[1998] O.J. No. 4702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Prager v. Times Newspaper Ltd.,</w:t>
      </w:r>
      <w:r>
        <w:rPr>
          <w:rFonts w:ascii="arial" w:eastAsia="arial" w:hAnsi="arial" w:cs="arial"/>
          <w:color w:val="000000"/>
          <w:sz w:val="20"/>
          <w:lang w:val="en-US" w:eastAsia="en-US" w:bidi="ar-SA"/>
        </w:rPr>
        <w:t xml:space="preserve"> [1988] 1 All E.R. 300 (CA), and </w:t>
      </w:r>
      <w:r>
        <w:rPr>
          <w:rFonts w:ascii="arial" w:eastAsia="arial" w:hAnsi="arial" w:cs="arial"/>
          <w:i/>
          <w:color w:val="000000"/>
          <w:sz w:val="20"/>
          <w:lang w:val="en-US" w:eastAsia="en-US" w:bidi="ar-SA"/>
        </w:rPr>
        <w:t>Cruise v. Express Newspapers plc</w:t>
      </w:r>
      <w:r>
        <w:rPr>
          <w:rFonts w:ascii="arial" w:eastAsia="arial" w:hAnsi="arial" w:cs="arial"/>
          <w:color w:val="000000"/>
          <w:sz w:val="20"/>
          <w:lang w:val="en-US" w:eastAsia="en-US" w:bidi="ar-SA"/>
        </w:rPr>
        <w:t>, [1999] Q.B. 931. I will not repeat them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To further support their application the plaintiffs rely on </w:t>
      </w:r>
      <w:r>
        <w:rPr>
          <w:rFonts w:ascii="arial" w:eastAsia="arial" w:hAnsi="arial" w:cs="arial"/>
          <w:i/>
          <w:color w:val="000000"/>
          <w:sz w:val="20"/>
          <w:lang w:val="en-US" w:eastAsia="en-US" w:bidi="ar-SA"/>
        </w:rPr>
        <w:t>United States Tobacco International Inc. &amp; Another v. British Broadcasting Corporation</w:t>
      </w:r>
      <w:r>
        <w:rPr>
          <w:rFonts w:ascii="arial" w:eastAsia="arial" w:hAnsi="arial" w:cs="arial"/>
          <w:color w:val="000000"/>
          <w:sz w:val="20"/>
          <w:lang w:val="en-US" w:eastAsia="en-US" w:bidi="ar-SA"/>
        </w:rPr>
        <w:t xml:space="preserve">, [1998] E.M.L.R. 816 (C.A.), </w:t>
      </w:r>
      <w:r>
        <w:rPr>
          <w:rFonts w:ascii="arial" w:eastAsia="arial" w:hAnsi="arial" w:cs="arial"/>
          <w:i/>
          <w:color w:val="000000"/>
          <w:sz w:val="20"/>
          <w:lang w:val="en-US" w:eastAsia="en-US" w:bidi="ar-SA"/>
        </w:rPr>
        <w:t>Tancic v. Times Newspaper Ltd.,</w:t>
      </w:r>
      <w:r>
        <w:rPr>
          <w:rFonts w:ascii="arial" w:eastAsia="arial" w:hAnsi="arial" w:cs="arial"/>
          <w:color w:val="000000"/>
          <w:sz w:val="20"/>
          <w:lang w:val="en-US" w:eastAsia="en-US" w:bidi="ar-SA"/>
        </w:rPr>
        <w:t xml:space="preserve"> [1999] E.W.J. No. 6510 and </w:t>
      </w:r>
      <w:r>
        <w:rPr>
          <w:rFonts w:ascii="arial" w:eastAsia="arial" w:hAnsi="arial" w:cs="arial"/>
          <w:i/>
          <w:color w:val="000000"/>
          <w:sz w:val="20"/>
          <w:lang w:val="en-US" w:eastAsia="en-US" w:bidi="ar-SA"/>
        </w:rPr>
        <w:t>Polly Peck (Holdings) plc v. Thelford</w:t>
      </w:r>
      <w:r>
        <w:rPr>
          <w:rFonts w:ascii="arial" w:eastAsia="arial" w:hAnsi="arial" w:cs="arial"/>
          <w:color w:val="000000"/>
          <w:sz w:val="20"/>
          <w:lang w:val="en-US" w:eastAsia="en-US" w:bidi="ar-SA"/>
        </w:rPr>
        <w:t>, [1982] 2 All E.R. 84, as examples of the defence using separate stings as justification on the sting pled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Tancic</w:t>
      </w:r>
      <w:r>
        <w:rPr>
          <w:rFonts w:ascii="arial" w:eastAsia="arial" w:hAnsi="arial" w:cs="arial"/>
          <w:color w:val="000000"/>
          <w:sz w:val="20"/>
          <w:lang w:val="en-US" w:eastAsia="en-US" w:bidi="ar-SA"/>
        </w:rPr>
        <w:t>, the plaintiff Mr. Tancic's claim of defamation asserted that the articles that appeared in the newspaper in their ordinary and natural meanings were that he was a close associate and supporter of a Bosnian Serb leader who was responsible for war crimes and he gave money to the conservative party from his company's assets that the United Nations had frozen because of his close association with the Bosnian leader.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defence sought to insert into its plea of justification, alleging that the plaintiff had attempted to import oil into Yugoslavia in breach of UN sanctions with the assistance of an exiled prince from Libya living in London. The court concluded that these allegations had nothing to do with the original complaint or sting. The court's decision below was that "it was irrelevant or at best peripheral" [para. 16]. Mr. Justice Brooke stated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judge relied on what he called the well known principle that a defendant should not be permitted to justify a different libel from the one complained of, even if the area of enquiry related to the same sector of the claimant's life or activities. He accepted the claimant's contention that the allegation now sought to be made was irrelevant to the legitimate plea in this case. He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I were wrong about that, it would be peripheral to the allegation and would not make very much difference to the strength or weakness of 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United States Tobacco</w:t>
      </w:r>
      <w:r>
        <w:rPr>
          <w:rFonts w:ascii="arial" w:eastAsia="arial" w:hAnsi="arial" w:cs="arial"/>
          <w:color w:val="000000"/>
          <w:sz w:val="20"/>
          <w:lang w:val="en-US" w:eastAsia="en-US" w:bidi="ar-SA"/>
        </w:rPr>
        <w:t>, the BBC broadcast a program about the plaintiff marketing a chewing tobacco product which the program claimed was aimed at children, claiming that the government permitted such a marketing campaign. In fact, there was a contract between the company and the government that forbade such marketing practices. The program said that product was aggressively marketed to children in breach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the program, the BBC also alleged that the tobacco product caused cancer; in particular, cancer to the mouth. </w:t>
      </w:r>
      <w:r>
        <w:rPr>
          <w:rFonts w:ascii="arial" w:eastAsia="arial" w:hAnsi="arial" w:cs="arial"/>
          <w:i/>
          <w:color w:val="000000"/>
          <w:sz w:val="20"/>
          <w:lang w:val="en-US" w:eastAsia="en-US" w:bidi="ar-SA"/>
        </w:rPr>
        <w:t>United States Tobacco</w:t>
      </w:r>
      <w:r>
        <w:rPr>
          <w:rFonts w:ascii="arial" w:eastAsia="arial" w:hAnsi="arial" w:cs="arial"/>
          <w:color w:val="000000"/>
          <w:sz w:val="20"/>
          <w:lang w:val="en-US" w:eastAsia="en-US" w:bidi="ar-SA"/>
        </w:rPr>
        <w:t xml:space="preserve"> sued on the marketing complaint. The defence sought to rely on the cancer causing part of the broadcast to support justification. The court concluded that both were separate stings and struck out the sting relating to the product causing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Marineland of Canada Inc. v. Niagara Action for Animals,</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[2004] O.J. No. 3866</w:t>
        </w:r>
      </w:hyperlink>
      <w:r>
        <w:rPr>
          <w:rFonts w:ascii="arial" w:eastAsia="arial" w:hAnsi="arial" w:cs="arial"/>
          <w:color w:val="000000"/>
          <w:sz w:val="20"/>
          <w:lang w:val="en-US" w:eastAsia="en-US" w:bidi="ar-SA"/>
        </w:rPr>
        <w:t xml:space="preserve"> (S.C.), in a strike application the court concluded that the criticism of general conditions at Marineland were not a separate sting from the allegation that several animals died at Marineland, which the defence pled in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story broadcast by the CBC is not just about Cook, Aaslie, O'Diorne, and the late Mrs. Backer. The story is about other individuals who had complaints about Dr. Casses' surgical competence, some of which were addressed by the College or Bomex or the courts both in British Columbia or Arizona. The totality of these events is the focus of this broadcast and website which: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raise troubling questions about the regulatory oversight of surgeons in BC given the history of quality concerns over Dr. Casses' surgeries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finding against him in Arizona before he came to practice in BC, 2) the BC College of Physicians did not find Dr. Casses at fault in some instances, but in others found he had fallen below the required standard of care, and 3) there were incidents where Dr. Casses did not adequately admit or treat complications after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23 of Application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and the defendants' meanings are different but this does not make them separate and distinct. The meanings alleged by the defendants relate to Dr. Casses' ability and history as a surgeon and his licensing and do not go beyond that. Whereas the plaintiffs' meanings relate only to the meanings of four individuals referred to above. It is open to the defendants to plead different or lesser meanings and to seek to justify those meanings. So long as "a defendant [is] entitled to plead by way of justification in support of any defamation meaning which the words complained of could reasonably bear" (</w:t>
      </w:r>
      <w:r>
        <w:rPr>
          <w:rFonts w:ascii="arial" w:eastAsia="arial" w:hAnsi="arial" w:cs="arial"/>
          <w:i/>
          <w:color w:val="000000"/>
          <w:sz w:val="20"/>
          <w:lang w:val="en-US" w:eastAsia="en-US" w:bidi="ar-SA"/>
        </w:rPr>
        <w:t>Pizza Pizza</w:t>
      </w:r>
      <w:r>
        <w:rPr>
          <w:rFonts w:ascii="arial" w:eastAsia="arial" w:hAnsi="arial" w:cs="arial"/>
          <w:color w:val="000000"/>
          <w:sz w:val="20"/>
          <w:lang w:val="en-US" w:eastAsia="en-US" w:bidi="ar-SA"/>
        </w:rPr>
        <w:t xml:space="preserve">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cannot be said that the defence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seeks to strike the defendants' pleadings relating to mitigation. I repeat what I concluded in the separate actions. At this point in time this should be left to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allege that they argue that the defences of justification, fair comment and responsible communication in the response to civil claim "lack clarity, specificity and plead evidence" (paragraph 27 of notice of application). I repeat my conclusions in the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application is dismissed with costs to the defendants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1"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C.B. Constantini Ltd. v. Slozka, [2007] B.C.J. No. 914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MacKenzie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22,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S062914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914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615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C.B. Constantini Ltd., plaintiff, and Ryan Slozka and Rycom Trading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2"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3" w:name="Keywords_9"/>
      <w:bookmarkEnd w:id="63"/>
      <w:r>
        <w:rPr>
          <w:rFonts w:ascii="arial" w:eastAsia="arial" w:hAnsi="arial" w:cs="arial"/>
          <w:b/>
          <w:color w:val="000000"/>
          <w:sz w:val="20"/>
          <w:lang w:val="en-US" w:eastAsia="en-US" w:bidi="ar-SA"/>
        </w:rPr>
        <w:t>Civil procedure — Pleadings — Striking out pleadings or allegations — Grounds — Failure to disclose a cause of action or defence — False, frivolous, vexatious or abuse of process — In the context of an employment law case where the plaintiff alleged unfair competition by a former employee, the plaintiff's application to strike out the counterclaim and amended counterclaim was granted — Neither counterclaim, which consisted of allegations of a conspiracy to commit perjury, disclosed a reasonable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Employment law — Implied duties of employee — Loyalty and non-competition — In the context of an employment law case where the plaintiff alleged unfair competition by a former employee, the plaintiff's application to strike out the counterclaim and amended counterclaim was granted — Neither counterclaim, which consisted of allegations of a conspiracy to commit perjury, disclosed a reasonable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4" w:name="Case Summary_8"/>
            <w:bookmarkEnd w:id="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were four motions before the court, including an application by the plaintiff to strike the counterclaim, another to strike the amended counterclaim, an application by the defendants Fraser and MT to have the counterclaim struck as against them, and an application by the defendant Slozka for leave to file the counterclaim and add Al Constantini and Jani Constantini as defendants by counterclaim -- The defendants sought to be heard although they remained in contempt of court for failure to abide by a injunction restraining them from continuing business relationships with the plaintiffs' clients -- In the underlying action, the plaintiff alleged that the defendant Slozka gave improper notice in terminating his employment with an agricultural product trading company (CBC) and further alleged unfair competition after Slozka left his position -- HELD: The plaintiff's application to strike out the December counterclaim was granted, and the January counterclaim was a nullity, or alternatively, it too was to be struck out -- The court further refused leave to file the proposed February counterclaim or a further amended counterclaim -- The defendant Slozka's conduct indicated his apparent desire to conceal his activities, and apart from his continued and wilful breach of the injunction, the court could not accept his current assurances that he was no longer in breach; it could not be determined until after cross-examination -- Neither counterclaim, which consisted of allegations of a conspiracy to commit perjury, disclosed a reasonable claim -- There was no such tort in the context of the evidence given or positions taken in judicial proceedings -- The claims were scandalous and vexatious -- It would not be just to allow a long extension of time to file and effect condone filing without leave of the December and January counterclaims -- Special costs were awarded against the defendant Slozka and his company in favour of Fraser and MT as the defedant's conduct in alleging fabrication and deceit by a lawyer and his firm was reprehensible conduct -- The plaintiff was awarded his costs on Scale B -- The transcript was ordered sealed.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5" w:name="Legislation Cited_5"/>
      <w:bookmarkEnd w:id="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3"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2(1), Rule 3(2), Rule 15(5), Rule 19(24), Rule 21(5)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6" w:name="Counsel_9"/>
      <w:bookmarkEnd w:id="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4"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R.B.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his own behalf and for Rycom Trading Ltd.: R. Slozka.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by Counterclaim, R.B. Fraser and McCarthy Tétrault: D.C. Quinlan.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7" w:name="Judgment_9"/>
      <w:bookmarkEnd w:id="67"/>
      <w:r>
        <w:pict>
          <v:line id="_x0000_s1075"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8" w:name="MacKENZIE J. (orally)"/>
            <w:bookmarkEnd w:id="68"/>
            <w:r>
              <w:rPr>
                <w:rFonts w:ascii="arial" w:eastAsia="arial" w:hAnsi="arial" w:cs="arial"/>
                <w:b/>
                <w:color w:val="000000"/>
                <w:sz w:val="30"/>
                <w:lang w:val="en-US" w:eastAsia="en-US" w:bidi="ar-SA"/>
              </w:rPr>
              <w:t>MacKENZIE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cross-applications were heard over several days. There were four motions before the court:</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by Mr. Fraser, counsel for the plaintiff, C.B. Constantini Ltd. ("C.B.C."), to strike the counterclaim filed on December 5, 2006 ("the December counterclaim") with special costs;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by the plaintiff to strike the amended counterclaim filed on January 4, 2007 ("the January counterclaim") with special costs;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by Mr. Quinlan, counsel for Mr. Fraser and MT, who were added as defendants in the January counterclaim, seeking to have that counterclaim struck as against his clients. He too seeks special costs against the defendants;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by Mr. Slozka for leave to file the counterclaim and add Al Constantini and Jani Constantini as defendants by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Griffin, also for the plaintiff, denies the allegation in the January counterclaim that the defendants by counterclaim, namely Alfred and Jani Constantini, Mr. Fraser and McCarthy Tétrault ("MT"), conspired to put perjured evidence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Mr. Slozka and his company, Rycom Trading Ltd., are no longer represented by counsel. They seek:</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heard on these applications in spite of the allegation that they are still in contempt of court. The defendants have not purged their contempt. They say they are no longer in contempt, so that is not an impediment to the court hearing their applications;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to extend the time to file the December counterclaim;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to further amend the December counterclaim in the terms proposed in the counterclaim of February 21, 2007 ("the proposed February counterclaim");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to remove Mr. Fraser and MT as defendants in the January counterclaim, although they agree the January counterclaim is a nullity;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to join Alfred and Jani Constantini, the principals of the plaintiff company, as defendants in the proposed counterclaim;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 order striking the January counterclaim, but with leave to file again. That is, to file a counterclaim in the terms proposed in the February counterclaim;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opposes the defendants' application for a time extension and leave to amend the December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statement of claim which ultimately gave rise to these proceedings was filed in April 2006. Broadly, the underlying claim alleges that Mr. Slozka gave improper notice in terminating his employment with C.B.C., and alleges unfair competition after Mr. Slozka left his position. C.B.C. is an agricultural product trading company with offices in Vancouver, Lethbridge, and Saskatoon. Until February 23rd, 2006, Mr. Slozka was employed in its Vancouver office as, in Mr. Slozka's words, "the director of trading operations." He also supervised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evidence shows that immediately upon his departure, Mr. Slozka began soliciting business from the plaintiff's key clients, using his knowledge of the clients' names and contact persons, the suppliers who best matched with particular clients, the products with the highest margins, expiry dates and the length of supply contracts, and the most cost-effective transportation companies in the relevant areas. The plaintiff did not operate as a broker, but bought and sold products as a business. It tried to match suppliers with purchasers. Therefore, knowing when the supply contracts expired was an important part of the business. The defendants knew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Interim Injunction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An interim injunction was granted against the defendants on May 26, 2006: see </w:t>
      </w:r>
      <w:r>
        <w:rPr>
          <w:rFonts w:ascii="arial" w:eastAsia="arial" w:hAnsi="arial" w:cs="arial"/>
          <w:b/>
          <w:i/>
          <w:color w:val="000000"/>
          <w:sz w:val="20"/>
          <w:lang w:val="en-US" w:eastAsia="en-US" w:bidi="ar-SA"/>
        </w:rPr>
        <w:t>C.B. Constantini Ltd. v. Slozka</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2006 BCSC 1210</w:t>
        </w:r>
      </w:hyperlink>
      <w:r>
        <w:rPr>
          <w:rFonts w:ascii="arial" w:eastAsia="arial" w:hAnsi="arial" w:cs="arial"/>
          <w:color w:val="000000"/>
          <w:sz w:val="20"/>
          <w:lang w:val="en-US" w:eastAsia="en-US" w:bidi="ar-SA"/>
        </w:rPr>
        <w:t>. Madam Justice Ross prohibited Mr. Slozka and his company from doing business (I emphasize the term "doing business") for six months with clients that provided about 80 percent of the plaintiff's business, and from soliciting those clients for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injunction was issued because the plaintiff had established a serious case that Mr. Slozka was in breach of his fiduciary duties, his common law and contractual obligations of confidence, and his failure to give reasonable notice of his resignation. The injunction provided as follows. Note that the defendants could apply for a certain exemption from the prohibition against doing business with the clients: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Slozka ("Slozka") and Rycom Trading Ltd. ("Rycom"), and their employees, servants and agents and anyone acting on their behalf, be enjoined from: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doing business with the clients set out in Exhibit "O" to the affidavit of Alfred Constantini sworn April 26, 2006 for a period of six months from the date of this Order;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oliciting the clients set out in the list which is marked as Exhibit "O" to the affidavit of Alfred Constantini sworn April 26, 2006 for a period of 12 months from the date of this Order;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or providing to any other entity, the information contained in the documents marked as Exhibits "A", "B", "F", "G", "J", "L", "O", "EE" and "GG" to the affidavit of Alfred Constantini sworn April 26, 2006 in connection with the solicitation of any clients or prospective clients of the Plaintiff;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assisting any other person or entity including Jamie Fraser, Rob Edmonds, Lynn McMillan and Prairie Source Trading Ltd. to solicit the clients set out in Exhibit "O" to the affidavit of Alfred Constantini sworn April 26, 2006;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soliciting, encouraging or enticing any employees of the Plaintiffs to be employed by or provide services to the Defendants or to any other company, organization or entity which provides a service similar to those offered by the Plaintiffs.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may apply for an exemption from the terms of paragraph 1(a) of this Order with respect to any contract that has been entered into, as of the date of the hearing of this application, between the Defendants and a client listed on Exhibit "O" to the affidavit of Alfred Constantini sworn April 26, 2006.</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may apply to extend the length of the prohibitions set out in paragraphs 1(a) and (b), above.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Slozka and Rycom shall deliver to the Plaintiff all copies in their possession of any of the documents referred to in paragraph 1(c) above, any other documents obtained while in the employ of the Plaintiff (other than Slozka's personal employment records), or any other document containing information contained in such documents, and shall deliver up any electronic storage devices on which electronic copies of such documents are contained.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this application shall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Defendants' Contempt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never did seek an exemption. They preferred instead to breach the injunction, remaining in contempt for months. They did so even against the clear and repeated advice of Mr. Slozka's lawyer. Mr. Slozka has admitted the contempt many times according to the material before the court. The defendants had continued to do business with about 17 of the plaintiff's clients. The plaintiff sought information from the defendants about their activities but the defendants steadfastly refused to provide it. When pressed to finally address their obligations of discovery and document production, the defendants decided to apply, on August 8th, 2006, to be purged of their contempt.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Slozka claimed the defendants had, on July 17, 2006, stopped doing business in breach of the injunction. The plaintiff applied for the defendants to be punished for their contempt and sought cross-examination and meaningful document production. However, the defendants' lawyers would not agree to a date for this application, so the plaintiff unilaterally set down a date for hearing of its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full extent of the defendants' contempt cannot be determined until a discovery process has been completed. This discovery was itself the subject of another action heard before Mr. Justice Goepel.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Cross-Examination Order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21, 2006, Mr. Justice Goepel ordered the defendants to attend for cross-examination and produce further documents before the hearing of their application to purge contempt. After the lunch break that day, the defendants' lawyer agreed that there would have to be cross-examination and document production. However, an issue arose regarding privileged documents. Mr. Justice Goepel ordered that those documents also be produced. The privileged documents disclosed that the defendants' lawyer had clearly advised Mr. Slozka to stop operating in breach of the injunction and repeatedly told him to obey it. All this is set out in the reasons of Madam Justice Rowles, which I will refer to shortly. At this point, it is anticipated that cross-examination will be scheduled and completed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parties returned before Mr. Justice Goepel on January 15, 2007. The plaintiff had returned to force compliance with the document disclosure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Appeal of the Injunction Order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October 17, 2006, the defendants sought leave to appeal the injunction. In her reasons of October 18, 2006, (reported at </w:t>
      </w:r>
      <w:hyperlink r:id="rId203" w:history="1">
        <w:r>
          <w:rPr>
            <w:rFonts w:ascii="arial" w:eastAsia="arial" w:hAnsi="arial" w:cs="arial"/>
            <w:i/>
            <w:color w:val="0077CC"/>
            <w:sz w:val="20"/>
            <w:u w:val="single"/>
            <w:shd w:val="clear" w:color="auto" w:fill="FFFFFF"/>
            <w:lang w:val="en-US" w:eastAsia="en-US" w:bidi="ar-SA"/>
          </w:rPr>
          <w:t>2006 BCCA 473</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231 BCAC. 229</w:t>
        </w:r>
      </w:hyperlink>
      <w:r>
        <w:rPr>
          <w:rFonts w:ascii="arial" w:eastAsia="arial" w:hAnsi="arial" w:cs="arial"/>
          <w:color w:val="000000"/>
          <w:sz w:val="20"/>
          <w:lang w:val="en-US" w:eastAsia="en-US" w:bidi="ar-SA"/>
        </w:rPr>
        <w:t>) Madam Justice Rowles was highly critical of the defendants' conduct. She held that the Court of Appeal would not hear the defendants' leave application until they had purged their contempt. The defendants had admitted their contempt of the injunction at the hearing before Mr. Justice Goepel on September 21,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directing that the defendants purge their contempt of the injunction before the court would hear their application to extend time and for leave to appeal, Madam Justice Rowles said, at para.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admitted their contempt in proceedings in the trial court before Mr. Justice Goepel. The defendants have brought an application to purge their contempt, but the extent to which they have been in contempt of the order of Madam Justice Ross has not yet been determined and until the discovery process ordered by Mr. Justice Goepel has been completed, it cannot be determined. Whether the contempt is continuing appears to be very much a live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may be gathered from that letter [that is, from plaintiff's counsel to defendants' counsel dated October 13, 2006] some documents had been listed and produced, but it was not until Monday, October 16, that is, the day before the motions were to come before the Court, that certain documents on the second supplemental list were actually received by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continued, at paras. 14-16: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the material before [court] shows is a pattern of delay in the discovery process and that discovery process was essential to determine the extent of the defendants' </w:t>
      </w:r>
      <w:r>
        <w:rPr>
          <w:rFonts w:ascii="arial" w:eastAsia="arial" w:hAnsi="arial" w:cs="arial"/>
          <w:color w:val="000000"/>
          <w:sz w:val="20"/>
          <w:u w:val="single"/>
          <w:lang w:val="en-US" w:eastAsia="en-US" w:bidi="ar-SA"/>
        </w:rPr>
        <w:t>admitted</w:t>
      </w:r>
      <w:r>
        <w:rPr>
          <w:rFonts w:ascii="arial" w:eastAsia="arial" w:hAnsi="arial" w:cs="arial"/>
          <w:color w:val="000000"/>
          <w:sz w:val="20"/>
          <w:lang w:val="en-US" w:eastAsia="en-US" w:bidi="ar-SA"/>
        </w:rPr>
        <w:t xml:space="preserve"> contempt and how they might purge it. I note that the order restraining the defendants from doing business with the clients listed in Exhibit "O", as set out in paragraph 1(a) of the order, will expire later this month and that the order restraining the defendants from soliciting those clients set out in Exhibit "O" will expire slightly over six months from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plain from the documents which have just been disclosed to plaintiff's counsel and to which I have referred that Mr. Slozka has been less than forthright in his application to purge his contempt. The inference that must be drawn from the material is that Mr. Slozka has continued to make his own decisions about adherence to the court order made by Madam Justice Ross and adherence to the court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purpose in this Court striving to achieve a just result when Mr. Slozka has so amply demonstrated that he will substitute his own view for any result that this Court may arrive at that may seem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respect to the application for leave to appeal, Mr. Slozka contends Madam Justice Rowles was misled because the plaintiff presented documents at the hearing to which he did not have a proper chance to respond. But I accept that what actually occurred, as it is supported on the material before the court, was that the documents in question were communications between Mr. Slozka and his counsel that had been ordered produced by Mr. Justice Goepel on September 21, 2006. These documents were not provided to plaintiff's counsel until October 16, 2006, the day before the hearing. Mr. Slozka's counsel sought an adjournment so that Mr. Slozka could file an affidavit denying that he had received the advice about the order of Madam Justice Ross which was recorded in his own counsel's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her reasons for judgment of October 18th, Madam Justice Rowles refused to hear the defendants' application for leave to appeal until their contempt had been purged. After full argument, she refused to accept the submission that the contempt had ceased in July 2006 and observed the need for cross-examination that had not yet occurred and further production of documents as had been ordered by Mr. Justice Goepel.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Forensic Examination Order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November 24, 2006, on the plaintiff's application to prohibit the defendants from carrying on business, Mr. Justice Williamson ordered the defendants to produce their computer hard drive and electronic storage devices for forensic examination by an independent counsel. This examination is, I understand, now almost complete. Mr. Justice Williamson also extended the prohibition on the defendants doing business with the plaintiff's clients until January 24, 2007, based on the admitted time the defendants had been in contempt. Mr. Slozka complained that he was being delayed in purging his contempt by the plaintiff's requirements for document disclosure. But, as observed by Madam Justice Rowles, it is Mr. Slozka who has been responsible for any serious delay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forensic examination of the defendants' computer hard drive was delayed because the defendants would not agree to the terms of the order made by Mr. Justice Williamson. Plaintiff's counsel had proposed the forensic examination of the defendants' hard drive so that solicitor-client privileged documents could be set aside. The plaintiff hoped this would lead to proper document production by the defendants and to allow the plaintiff to cross-examine Mr. Slozka. However, the defendants thwarted this proposal by failing to agree to the terms of Mr. Justice Williamson's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January 12, 2007, on the plaintiff's application, Mr. Justice Williamson settled the terms of the order made November 24th. He also gave Mr. Slozka a serious warning that he was "digging himself in deeper and deeper", that he was dragging his feet in applying to purge his contempt, getting into trouble, and could attract costs as a result of the allegations he made in the January counterclaim. Mr. Justice Williamson was unimpressed with Mr. Slozka's excuse that he was "just a lay litigant" and urged him to obtain legal advice. I too have urged Mr. Slozka to obtain legal advice and told him he is out of his depth in making the serious allegations he has put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Slozka complained that he was being kicked around and said he was just trying to defend himself. Warnings from counsel have had no effect on Mr. Slozka.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Counterclaims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December 5, 2006, the defendants filed a counterclaim which asserted against C.B. Constantini Ltd. as follows: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the sum of $3,000,000.00 for having obtained an injunction against Rycom Trading Ltd.;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the sum of $75,000.00 for having obtained an injunction against Ryan Slozka;</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the sum of $2,000.00 for a valid insurance claim incurred in January 2006;</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the sum of $21,000.00 for outstanding vacation pay;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the sum of $70,000.00 for accrued bonus payment;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in the sum of $100,000.00;</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b/>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is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December 29, 2006, the plaintiff filed a motion to strike the counterclaim. On January 4, 2006, again without seeking leave of the court, the defendants filed the amended counterclaim purporting to add plaintiff's counsel, Mr. Fraser, and his law firm, MT, as defendants along with the principals of the plaintiff, Alfred and Jani Constantini. It also alleged a conspiracy to commit perjury. The defendants filed this January counterclaim with a motion to have plaintiff's counsel removed from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amended statement of claim added the following allegations against C.B. Constantini:</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Malicious prosecution; and</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principals swore false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amended statement of claim also made the following allegations against Mr. Fraser:</w:t>
      </w:r>
      <w:r>
        <w:rPr>
          <w:rFonts w:ascii="arial" w:eastAsia="arial" w:hAnsi="arial" w:cs="arial"/>
          <w:sz w:val="20"/>
          <w:lang w:val="en-US" w:eastAsia="en-US" w:bidi="ar-SA"/>
        </w:rPr>
        <w:cr/>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knowingly admitted false evidence before court and allowed one of the plaintiff's principals to swear false affidavits;</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continued to misrepresent the facts to advance the 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Against MT, the amended statement of claim alleged that MT was vicariously liable for the alleged wrongdoings of Mr.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And against the Constantinis, Mr. Fraser and MT, the amended statement of claim alleged that their actions constituted the tort of conspiracy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On February 26, 2007, the first day of the hearing of these applications, Mr. Slozka conceded that the January counterclaim was a nullity, since he added parties without obtaining leave of the court as required by Rule 15(5): see </w:t>
      </w:r>
      <w:r>
        <w:rPr>
          <w:rFonts w:ascii="arial" w:eastAsia="arial" w:hAnsi="arial" w:cs="arial"/>
          <w:b/>
          <w:i/>
          <w:color w:val="000000"/>
          <w:sz w:val="20"/>
          <w:lang w:val="en-US" w:eastAsia="en-US" w:bidi="ar-SA"/>
        </w:rPr>
        <w:t>Skrastins v. Kelowna (City)</w:t>
      </w:r>
      <w:r>
        <w:rPr>
          <w:rFonts w:ascii="arial" w:eastAsia="arial" w:hAnsi="arial" w:cs="arial"/>
          <w:color w:val="000000"/>
          <w:sz w:val="20"/>
          <w:lang w:val="en-US" w:eastAsia="en-US" w:bidi="ar-SA"/>
        </w:rPr>
        <w:t xml:space="preserve"> (1992), 5 C.P.C (3d) 225 (B.C.S.C.). He does not make the same concession about the December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March 1, 2007, Mr. Slozka produced the proposed counterclaim dated February 21, 2007. The further proposed amendments allege illegal activity by the plaintiff and the Constantinis, including a number of new facts upon which these claims are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addition, the proposed February counterclaim removes both Mr. Fraser and MT from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the reasons that follow, I grant the plaintiff's application to strike out the December counterclaim and I find the January counterclaim is a nullity. If I am wrong in the latter conclusion then it, too, must be struck out. Finally, in all the circumstances, for the reasons below, I exercise my discretion to refuse leave to file the proposed February counterclaim or a further amended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Can the Defendants Make Arguments Despite their Contempt?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Mr. Slozka's principal goal in these applications is to obtain an extension of time to file a counterclaim in the terms of the proposed February counterclaim or a yet further amended counterclaim, and to answer the plaintiff's, Mr. Fraser's and MT's applications. It does not really matter how that goal is accomplished. Mr. Slozka first addressed whether he should even be heard on these applications given the defendants' outstanding contempt of court: see </w:t>
      </w:r>
      <w:r>
        <w:rPr>
          <w:rFonts w:ascii="arial" w:eastAsia="arial" w:hAnsi="arial" w:cs="arial"/>
          <w:b/>
          <w:i/>
          <w:color w:val="000000"/>
          <w:sz w:val="20"/>
          <w:lang w:val="en-US" w:eastAsia="en-US" w:bidi="ar-SA"/>
        </w:rPr>
        <w:t>Dickie v. Dickie</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2007 SCC 8</w:t>
        </w:r>
      </w:hyperlink>
      <w:r>
        <w:rPr>
          <w:rFonts w:ascii="arial" w:eastAsia="arial" w:hAnsi="arial" w:cs="arial"/>
          <w:color w:val="000000"/>
          <w:sz w:val="20"/>
          <w:lang w:val="en-US" w:eastAsia="en-US" w:bidi="ar-SA"/>
        </w:rPr>
        <w:t>. Mr. Slozka says that in the past he admitted his contempt of court, attempted to purge it on September 21, 2006, and is no longer in breach of the injunction of May 26, 2006. He submits that his company, the defendant Rycom, is effectively shut down and has not traded in over six months. He says the injunction was so severe that it put him out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Slozka submits he has removed the impediment on his being heard, has complied with all the court orders to date, and been forthright in presenting accurate facts to the court. Thus, he asks to be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do not accept at all that the full extent of Mr. Slozka's contempt is no longer an impediment to the court. I cannot accept his version of the facts. I do agree with the observations of Madam Justice Rowles that his contempt cannot be known until he cooperates with the cross-examination and document production ordered by Mr. Justice Goepel. It awaits the report, which is now almost complete, of the independent forensic examination of his hard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decided to hear Mr. Slozka's applications because he appeared as a lay litigant. I agree, however, with plaintiff's counsel that Mr. Slozka is not a conventional lay litigant as he has access to legal advice outside the court. I have tried also to achieve a fair result, and so have indulged Mr. Slozka by hearing his submissions in full. But I am not at all satisfied that he has complied with court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that the relevant facts are these: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attempt to apply to be purged of their contempt before cross-examination of Mr. Slozka and production of documents appears to have been a transparent attempt to avoid all the facts being put before the courts. On this point, Madam Justice Rowles said in her reasons, at para. 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Slozka refused to agree to cross-examination and refused to produce the documents necessary to determine the extent of the contempt. The plaintiff's solicitors, as a result, brought an application for cross-examination and production of documents. The defendants refused to agree to a date for the hearing of the plaintiff's application and took the remarkable position that their application to purge their contempt ought to precede any application for cross-examination.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clear that his application to be purged was improper and was meant to avoid production of all the documents and the product of cross-examination from being before the court. With respect to a forensic examination of the hard drive, Mr. Slozka had provided his hard drive to counsel and a further list of documents provided. There were unusual gaps in the document production which led the plaintiffs to infer that relevant documents had been deleted from the hard drive. This issue was canvassed in the letter from plaintiff's counsel to Mr. Slozka dated November 9, 2006. It ultimately led to the order by Mr. Justice Williamson for forensic examination of the hard drive.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Slozka has ceased his contempt remains, as Justice Rowles found, a live issue that cannot be resolved until the cross-examination has been completed and requires the report on the forensic examination of the hard drive.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Obtaining document production from Mr. Slozka has been protracted and difficult. He took issue with the plaintiff's comments about the difficulties in obtaining telephone records for the period following August 8, 2006, that required an order from Mr. Justice Goepel, and a follow-up order on January 15, 2007. Mr. Slozka had produced telephone records before the plaintiff returned before Justice Goepel, but they were all redacted.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Constantini's affidavit number 9, sworn March 1st, is enlightening. In it, he deposes to the records disclosed so far, after August 8, 2006 when Mr. Slozka swore his affidavit in support of his application to purge his contempt (never heard), that he made 53 calls to the plaintiff. Exhibit "O" clients as set out in the spreadsheet that Mr. Constantini had prepared and which is Exhibit A to his affidavit. This includes 24 calls in August, 16 in September, six in October, three in November, and two in December all 2006, and one call in January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Exhibit "O" clients contacted by Mr. Slozka included the top 12 clients for which Mr. Slozka was responsible during his employment with the plaintiff. It does not include calls that came into his office landline, or made through some other technique. There were also 11 calls to transporters between August 8 and September 14,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were more than 300 calls made to Exhibit "O" clients from the date of the injunction to January 4, 2007. In fact, Mr. Constantini deposes that it appears from all the phone records produced to date that Mr. Slozka made few business calls that were not to Exhibit "O" clients from the very inception of his business. Mr. Slozka attempts to defend these numerous telephone calls by saying that he is entitled to defend himself from these allegations. Mr. Constantini's affidavit speaks for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Slozka's conduct indicates his apparent desire to conceal his activities. So, apart from his continued and wilful breach of the injunction I cannot accept his current assurances that he is no longer in breach. It cannot be determined until after cross-examination. In any event, I will continue with my reasons to deny the extension of time sought, or leave to file the proposed counterclaim, or an amendment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Counterclaims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will first address the defendants' arguments, then those of the plaintiff and the Constantinis whom the defendants wish to join as parties. Finally, I will address the arguments of Mr. Quinlan, counsel for Mr. Fraser and MT, who were added as defendants in the January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read all the material filed in support of these applications. There has been a significant adjournment between today and the last hearing of this matter. Although I have considered all the written and oral submissions, and the case authorities, I will not refer to it all. Specifically, I have studied the defendants' written argument received yesterday in the late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agree with the plaintiff that I am not required to analyse in detail the pleadings of February 21st and their defects. There are many. I will refer to some of them shortly. The defendants, remaining in contempt, require leave to file any pleading. They recognize this. The record is clear about the lack of respect with which Mr. Slozka treated the May 26, 2006 order of Madam Justice Ross. The contempt of court was intentional, protracted and against Mr. Slozka's own lawyer's repeated advice. In view of that advice, it is remarkable that Mr. Slozka continued to disobey the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Slozka's decision to file the January counterclaim and to have plaintiff's counsel removed from the record has increased delay and expense. In particular, on January 5th, 2007, Mr. Slozka applied for short leave on his motion to have them removed from the record after he failed to persuade the court on January 4, 2007 to hear the motion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Despite the judicial warning from Mr. Justice Williamson on January 12th, 2007, and two warning letters in January 2007 from plaintiff's counsel, the plaintiff has had to apply to strike the December counterclaim and the January counterclaim on grounds that both were filed without leave of the court as required by Rule 21(5). The defendants added parties without leave of the court as required by Rule 15(5). Neither pleading discloses a reasonable claim and are otherwise frivolous and vexatious and should be struck pursuant to Rule 19(24)(a) and (b). Thus, the plaintiff submits the court should not entertain the defendants' current application.</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Slozka relies on </w:t>
      </w:r>
      <w:r>
        <w:rPr>
          <w:rFonts w:ascii="arial" w:eastAsia="arial" w:hAnsi="arial" w:cs="arial"/>
          <w:b/>
          <w:i/>
          <w:color w:val="000000"/>
          <w:sz w:val="20"/>
          <w:lang w:val="en-US" w:eastAsia="en-US" w:bidi="ar-SA"/>
        </w:rPr>
        <w:t>Cohen v. Kronfuss</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(1980), 21 B.C.L.R. 390</w:t>
        </w:r>
      </w:hyperlink>
      <w:r>
        <w:rPr>
          <w:rFonts w:ascii="arial" w:eastAsia="arial" w:hAnsi="arial" w:cs="arial"/>
          <w:color w:val="000000"/>
          <w:sz w:val="20"/>
          <w:lang w:val="en-US" w:eastAsia="en-US" w:bidi="ar-SA"/>
        </w:rPr>
        <w:t xml:space="preserve"> (S.C.) to argue that the defendants are not barred by any limitation period and the plaintiff has not argued any prejudice due to a limitation period. Therefore, he says, leave should be granted to file the proposed February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argues the December 5th counterclaim does show a cause of action, that of constructive dismissal. In answer to the argument that there are no material facts alleged to support that claim and, in particular, that the plaintiff was engaging in illegal activity, Mr. Slozka argues that the particulars are in his statement of defence filed June 20th, 2006. Therefore, he says, the plaintiff is not prejudiced by the lack of material facts that form the basis for the counterclaim of constructive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Slozka submits that it is implicit in an employment agreement that the employee will be conducting legal business. He denies that the real reason he left his employment was to start his own competing business by using the knowledge obtained through his employment with the plaintiff and by taking its clients. Mr. Slozka denies seeking to file the proposed February counterclaim for a collateral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Mr. Slozka relies on </w:t>
      </w:r>
      <w:r>
        <w:rPr>
          <w:rFonts w:ascii="arial" w:eastAsia="arial" w:hAnsi="arial" w:cs="arial"/>
          <w:b/>
          <w:i/>
          <w:color w:val="000000"/>
          <w:sz w:val="20"/>
          <w:lang w:val="en-US" w:eastAsia="en-US" w:bidi="ar-SA"/>
        </w:rPr>
        <w:t>Rangi v. Russell &amp; DuMoulin</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[1988] B.C.J. No. 2574</w:t>
        </w:r>
      </w:hyperlink>
      <w:r>
        <w:rPr>
          <w:rFonts w:ascii="arial" w:eastAsia="arial" w:hAnsi="arial" w:cs="arial"/>
          <w:color w:val="000000"/>
          <w:sz w:val="20"/>
          <w:lang w:val="en-US" w:eastAsia="en-US" w:bidi="ar-SA"/>
        </w:rPr>
        <w:t xml:space="preserve"> (C.A.), where the court overturned an order to strike a statement of claim under Rule 19(24) stating that the pleadings could be amended and that better particulars were required. Mr. Slozka also relies on </w:t>
      </w:r>
      <w:r>
        <w:rPr>
          <w:rFonts w:ascii="arial" w:eastAsia="arial" w:hAnsi="arial" w:cs="arial"/>
          <w:b/>
          <w:i/>
          <w:color w:val="000000"/>
          <w:sz w:val="20"/>
          <w:lang w:val="en-US" w:eastAsia="en-US" w:bidi="ar-SA"/>
        </w:rPr>
        <w:t>Operation Dismantle Inc. v. Canada</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where, on an application to strike a statement of claim for failure to disclose a reasonable cause of action, the court said it is obliged to read the statement of claim as generously as possible and to accommodate any inadequacies in the form of the allegations which are merely the result of drafting deficiencies. This decision was followed in </w:t>
      </w:r>
      <w:r>
        <w:rPr>
          <w:rFonts w:ascii="arial" w:eastAsia="arial" w:hAnsi="arial" w:cs="arial"/>
          <w:b/>
          <w:i/>
          <w:color w:val="000000"/>
          <w:sz w:val="20"/>
          <w:lang w:val="en-US" w:eastAsia="en-US" w:bidi="ar-SA"/>
        </w:rPr>
        <w:t>Canadian Mortgage and Housing Corp. v. Barclay Construction Corp.</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2001 BCSC 903</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91 B.C.L.R. (3d) 278</w:t>
        </w:r>
      </w:hyperlink>
      <w:r>
        <w:rPr>
          <w:rFonts w:ascii="arial" w:eastAsia="arial" w:hAnsi="arial" w:cs="arial"/>
          <w:color w:val="000000"/>
          <w:sz w:val="20"/>
          <w:lang w:val="en-US" w:eastAsia="en-US" w:bidi="ar-SA"/>
        </w:rPr>
        <w:t>, where the court held that the defect in the pleadings could be cured by an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Operation Dismantle</w:t>
      </w:r>
      <w:r>
        <w:rPr>
          <w:rFonts w:ascii="arial" w:eastAsia="arial" w:hAnsi="arial" w:cs="arial"/>
          <w:color w:val="000000"/>
          <w:sz w:val="20"/>
          <w:lang w:val="en-US" w:eastAsia="en-US" w:bidi="ar-SA"/>
        </w:rPr>
        <w:t xml:space="preserve"> was also mentioned in </w:t>
      </w:r>
      <w:r>
        <w:rPr>
          <w:rFonts w:ascii="arial" w:eastAsia="arial" w:hAnsi="arial" w:cs="arial"/>
          <w:b/>
          <w:i/>
          <w:color w:val="000000"/>
          <w:sz w:val="20"/>
          <w:lang w:val="en-US" w:eastAsia="en-US" w:bidi="ar-SA"/>
        </w:rPr>
        <w:t>McGauley v. British Columbia</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(1990), 44 B.C.L.R. (2d) 217</w:t>
        </w:r>
      </w:hyperlink>
      <w:r>
        <w:rPr>
          <w:rFonts w:ascii="arial" w:eastAsia="arial" w:hAnsi="arial" w:cs="arial"/>
          <w:color w:val="000000"/>
          <w:sz w:val="20"/>
          <w:lang w:val="en-US" w:eastAsia="en-US" w:bidi="ar-SA"/>
        </w:rPr>
        <w:t xml:space="preserve"> (S.C.), rev'd, but not on this point, </w:t>
      </w:r>
      <w:hyperlink r:id="rId209" w:history="1">
        <w:r>
          <w:rPr>
            <w:rFonts w:ascii="arial" w:eastAsia="arial" w:hAnsi="arial" w:cs="arial"/>
            <w:i/>
            <w:color w:val="0077CC"/>
            <w:sz w:val="20"/>
            <w:u w:val="single"/>
            <w:shd w:val="clear" w:color="auto" w:fill="FFFFFF"/>
            <w:lang w:val="en-US" w:eastAsia="en-US" w:bidi="ar-SA"/>
          </w:rPr>
          <w:t>(1991), 56 B.C.L.R. (2d) 1</w:t>
        </w:r>
      </w:hyperlink>
      <w:r>
        <w:rPr>
          <w:rFonts w:ascii="arial" w:eastAsia="arial" w:hAnsi="arial" w:cs="arial"/>
          <w:color w:val="000000"/>
          <w:sz w:val="20"/>
          <w:lang w:val="en-US" w:eastAsia="en-US" w:bidi="ar-SA"/>
        </w:rPr>
        <w:t xml:space="preserve"> (C.A.), where Madam Justice Huddart said that the object is to determine whether the plaintiff has any hope of success on the statement of claim. If there is any hope, and I note there is not here in this case, the court may exercise its power to direct the plaintiff to cure the inadequacies of form so as to remedy any prejudice to the defendants. Mr. Slozka says that is the case here, and the plaintiff would not be prejudiced by the proposed February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Slozka says his affidavit no. 4 of August 31, 2006, outlines in detail the plaintiff's illegal acts and should therefore be considered as particulars. He also submits that his amended statement of defence of February 26th, 2007 includes particulars in answer to a demand by the plaintiff for particulars. I observe the statement of defence is not before me as an issue and the plaintiff intends to address it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Mr. Slozka relies on </w:t>
      </w:r>
      <w:r>
        <w:rPr>
          <w:rFonts w:ascii="arial" w:eastAsia="arial" w:hAnsi="arial" w:cs="arial"/>
          <w:b/>
          <w:i/>
          <w:color w:val="000000"/>
          <w:sz w:val="20"/>
          <w:lang w:val="en-US" w:eastAsia="en-US" w:bidi="ar-SA"/>
        </w:rPr>
        <w:t>Kemp v. Dickson</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2006 BCSC 288</w:t>
        </w:r>
      </w:hyperlink>
      <w:r>
        <w:rPr>
          <w:rFonts w:ascii="arial" w:eastAsia="arial" w:hAnsi="arial" w:cs="arial"/>
          <w:color w:val="000000"/>
          <w:sz w:val="20"/>
          <w:lang w:val="en-US" w:eastAsia="en-US" w:bidi="ar-SA"/>
        </w:rPr>
        <w:t>, where the court said,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lay litigants cannot be held to the same standards as a professional lawyer in terms of compliance with court procedures and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as he points out himself, the case also says that a litigant who chooses to represent him or herself cannot ignore his or her responsibilities with impunity.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Thus, Mr. Slozka submits he is entitled to generosity and flexibility from the court. He submits he has made a genuine or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attempt to amend his original counterclaim to provide better particulars and has given a draft to court. Mr. Slozka says he has gone to law libraries and obtained precedents for various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Mr. Slozka further argues that Rule 2(1) is designed to ensure litigants are not defeated merely by technical mistakes and errors in compliance. He says, relying on </w:t>
      </w:r>
      <w:r>
        <w:rPr>
          <w:rFonts w:ascii="arial" w:eastAsia="arial" w:hAnsi="arial" w:cs="arial"/>
          <w:b/>
          <w:i/>
          <w:color w:val="000000"/>
          <w:sz w:val="20"/>
          <w:lang w:val="en-US" w:eastAsia="en-US" w:bidi="ar-SA"/>
        </w:rPr>
        <w:t>Mussell v. Cronhelm</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(1994), 87 B.C.L.R. (2d) 197</w:t>
        </w:r>
      </w:hyperlink>
      <w:r>
        <w:rPr>
          <w:rFonts w:ascii="arial" w:eastAsia="arial" w:hAnsi="arial" w:cs="arial"/>
          <w:color w:val="000000"/>
          <w:sz w:val="20"/>
          <w:lang w:val="en-US" w:eastAsia="en-US" w:bidi="ar-SA"/>
        </w:rPr>
        <w:t xml:space="preserve"> (C.A.), that omissions and mistakes in practise or procedure are to be regarded as an irregularity which the court can and should rectify so long as he can without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Mr. Slozka submits any proceedings or applications that can fairly be said to be an honest attempt to properly claim relief cannot be held to be a nullity, and any error in practise or procedure should be corrected as long as it can be done without prejudice. His proposed counterclaim does not constitute an abuse of process or mislead or prejudice the other party, he says. He relies on </w:t>
      </w:r>
      <w:r>
        <w:rPr>
          <w:rFonts w:ascii="arial" w:eastAsia="arial" w:hAnsi="arial" w:cs="arial"/>
          <w:b/>
          <w:i/>
          <w:color w:val="000000"/>
          <w:sz w:val="20"/>
          <w:lang w:val="en-US" w:eastAsia="en-US" w:bidi="ar-SA"/>
        </w:rPr>
        <w:t>International Forest Products Ltd. v. Moody</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(1997), 36 B.C.L.R. (3d) 257</w:t>
        </w:r>
      </w:hyperlink>
      <w:r>
        <w:rPr>
          <w:rFonts w:ascii="arial" w:eastAsia="arial" w:hAnsi="arial" w:cs="arial"/>
          <w:color w:val="000000"/>
          <w:sz w:val="20"/>
          <w:lang w:val="en-US" w:eastAsia="en-US" w:bidi="ar-SA"/>
        </w:rPr>
        <w:t xml:space="preserve"> (C.A.), where a later statement of claim furnished any necessary particulars omitted from the endorsement on the writ. So, Mr. Slozka submits, the amended statement of defence furnishes all the necessary particulars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Slozka points out there is no argument that a counterclaim is barred by a limitation period, so there is no real purpose in striking it. Such an order would simply lead to additional costs and expenses to both parties, he contends, relying on </w:t>
      </w:r>
      <w:r>
        <w:rPr>
          <w:rFonts w:ascii="arial" w:eastAsia="arial" w:hAnsi="arial" w:cs="arial"/>
          <w:b/>
          <w:i/>
          <w:color w:val="000000"/>
          <w:sz w:val="20"/>
          <w:lang w:val="en-US" w:eastAsia="en-US" w:bidi="ar-SA"/>
        </w:rPr>
        <w:t>Allen v. Bergen</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[1993] B.C.J. No. 2193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On his application to add the plaintiff's principals, the Constantinis, as defendants to the counterclaim, Mr. Slozka argues that </w:t>
      </w:r>
      <w:r>
        <w:rPr>
          <w:rFonts w:ascii="arial" w:eastAsia="arial" w:hAnsi="arial" w:cs="arial"/>
          <w:b/>
          <w:i/>
          <w:color w:val="000000"/>
          <w:sz w:val="20"/>
          <w:lang w:val="en-US" w:eastAsia="en-US" w:bidi="ar-SA"/>
        </w:rPr>
        <w:t>Lee v. Merrill Lynch Canada Inc.</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2003 BCSC 80</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28 C.P.C. (5th) 74</w:t>
        </w:r>
      </w:hyperlink>
      <w:r>
        <w:rPr>
          <w:rFonts w:ascii="arial" w:eastAsia="arial" w:hAnsi="arial" w:cs="arial"/>
          <w:color w:val="000000"/>
          <w:sz w:val="20"/>
          <w:lang w:val="en-US" w:eastAsia="en-US" w:bidi="ar-SA"/>
        </w:rPr>
        <w:t>, stands for the proposition that courts have been liberal in permitting a wide scope of claims and counterclaims. He submits the general principle is that so long as it discloses a valid cause of action, the counterclaim need not be connected to the matter in the plaintiff's claim unless there are claims against third parties. Then the wide scope of the rule is narrowed. He points out the purpose of Rule 21(8) is to help focus the issues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Slozka deposes that he only learned on November 11, 2006 that his lawyer had not filed a counterclaim so he filed the December counterclaim only three weeks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Alternatively, should I allow the plaintiff's application to order the December counterclaim struck, Mr. Slozka repeats the arguments above. He submits it is in the interests of both parties and the administration of justice to grant the defendants leave to file the proposed counterclaim. He says it would likely be ordered heard with the plaintiff's action in any event, and to have it heard separately would increase costs.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submits that the defendants' counterclaims contain scandalous and unsubstantiated claims, and should be struck. They further submit that the defendants' claim for malicious prosecution cannot proceed unless and until the action is dismissed in favour of the defendants. They cite a litany of improper pleadings, and allege that the defendants have been openly disrespectful of the court's orders and processes. They note that the January counterclaim was improperly filed without leave.</w:t>
      </w:r>
      <w:r>
        <w:rPr>
          <w:rFonts w:ascii="arial" w:eastAsia="arial" w:hAnsi="arial" w:cs="arial"/>
          <w:sz w:val="20"/>
          <w:lang w:val="en-US" w:eastAsia="en-US" w:bidi="ar-SA"/>
        </w:rPr>
        <w:cr/>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Defendants by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turn to the position advanced by Mr. Quinlan, counsel for MT and Mr. Fraser. Mr. Quinlan seeks to have the January counterclaim struck, and also seeks special costs. To succeed under Rule 19(24)(a), Mr. Quinlan must show it is plain and obvious that the pleading discloses no reasonable cause of action: see </w:t>
      </w:r>
      <w:r>
        <w:rPr>
          <w:rFonts w:ascii="arial" w:eastAsia="arial" w:hAnsi="arial" w:cs="arial"/>
          <w:b/>
          <w:i/>
          <w:color w:val="000000"/>
          <w:sz w:val="20"/>
          <w:lang w:val="en-US" w:eastAsia="en-US" w:bidi="ar-SA"/>
        </w:rPr>
        <w:t>Wayneroy Holdings Ltd. v. Sideen</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2002 BCSC 1510</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Mr. Quinlan earlier suggested to Mr. Slozka that the claims against MT and Mr. Fraser should be dismissed without costs payable by Mr. Slozka pursuant to a consent dismissal order in the usual form with a release. Mr. Slozka refused this offer. He would not agree to a term that the dismissal was for all purposes, as if tried on the merits. He said it was, "unacceptable as I am not providing your clients with a defence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 release was unacceptable to Mr. Slozka.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willing to forego any future court proceedings against R. Barry Fraser and McCarthy Tétrault in connection with the conduct of counsel. At this time I have no desire to proceed with an action against your clients. However, should their conduct continue, I reserve the right to take legal action. The release and covenant are unnecessary and the terms expressed within are not agreeable by the defendants. Let me be clear. I do not wish to take legal action against R. Barry Fraser and McCarthy Tétrault LLP. However, I am not providing your clients with a free pass to continue with the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So Mr. Slozka made clear insinuations that he would not hesitate to bring at a future date another action against plaintiff's counsel based merely on their proper work as counsel. Such a condition and such an insinuation were clearly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There is no tort of conspiracy to commit perjury in the context of evidence given or positions taken during judicial proceedings: see </w:t>
      </w:r>
      <w:r>
        <w:rPr>
          <w:rFonts w:ascii="arial" w:eastAsia="arial" w:hAnsi="arial" w:cs="arial"/>
          <w:b/>
          <w:i/>
          <w:color w:val="000000"/>
          <w:sz w:val="20"/>
          <w:lang w:val="en-US" w:eastAsia="en-US" w:bidi="ar-SA"/>
        </w:rPr>
        <w:t>Workum v. Olnick</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2005 BCSC 1262</w:t>
        </w:r>
      </w:hyperlink>
      <w:r>
        <w:rPr>
          <w:rFonts w:ascii="arial" w:eastAsia="arial" w:hAnsi="arial" w:cs="arial"/>
          <w:color w:val="000000"/>
          <w:sz w:val="20"/>
          <w:lang w:val="en-US" w:eastAsia="en-US" w:bidi="ar-SA"/>
        </w:rPr>
        <w:t xml:space="preserve"> at para. 11. I have already said the January counterclaim is a nullity. If that should be incorrect, then it is struck out because it discloses no cause of action against Mr. Fraser or MT.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Also, the claims against Mr. Fraser and MT are scandalous and vexatious. They constitute an abuse of process within Rule 19(24). This is another reason to strike out the claim against them of conspiracy to commit perjury. It leads into the application for special costs which I will address shortly.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The Proposed February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turn to the proposed February 2007 counterclaim that adds Alfred and Jani Constantini as defendants, but not Mr. Fraser and MT. Although there are a number of differences from the January counterclaim, it remains in essence the same. It sets out at length allegations of criminal conduct on the part of Mr. Constantini, but only a few are said to involve Mr. Slozka. Almost all involve Mr. Constantini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pleadings, for the most part, do not allege criminal activities. Instead, the allegations are really of breaches of regulations. The only relevant criminal activities would be those in which Mr. Slozka was required to engage. He attempts to avoid this problem by alleging that Mr. Constantini had a duty of care not to engage in criminal activities. The elements of this duty of care are not properly pleaded. They are intertwined with the claim for constructive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breaches of regulations include, for example, the use that can be made of whey product import permits and the blending of fish meal. There are also allegations of conspiracy to fix prices. Mr. Slozka refers to various statutes, regulations and case authority in the pleadings which is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allegations of criminal activity are not properly pleaded and do not support a claim for constructive dismissal or a breach of duty of care. A pleading of the commission of a criminal offence would have to identify the specific offence alleged and the material facts describing precisely when and how each element of the offence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Slozka's proposed pleading also engages customers of the plaintiff who are not involved in these proceedings, the identities of whom have been protected by a confidentiality order. Mr. Justice Edwards made that order when these proceedings began. The list of Exhibit "O" customers referred to in the injunction is sealed.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Regarding Alfred and Jani Constantini, the pleading has two main allegations: malicious prosecution and engaging in a conspiracy to commit perjury. As mentioned, no claim can arise for malicious prosecution unless the defendants are successful in the action: see </w:t>
      </w:r>
      <w:r>
        <w:rPr>
          <w:rFonts w:ascii="arial" w:eastAsia="arial" w:hAnsi="arial" w:cs="arial"/>
          <w:b/>
          <w:i/>
          <w:color w:val="000000"/>
          <w:sz w:val="20"/>
          <w:lang w:val="en-US" w:eastAsia="en-US" w:bidi="ar-SA"/>
        </w:rPr>
        <w:t>Nelles v. Ontario</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 None of the allegations properly plead a cause of action. This is enough to rule out the granting of leave to file the proposed amended counterclaim adding the Constantinis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will not discuss the inconsistencies between the allegations and the evidence of Mr. Slozka. I will point out, however, that Mr. Slozka's claim that Mr. Constantini did not admit to having committed illegal acts as claimed by Mr. Slozka. In paras. 24 to 27 of his previous outline, Mr. Slozka said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Alfred Constantini admits to engaging in illegal acts in his affidavit number 8, paragraph 12, where he states, "A company associated with the plaintiff does produce a grain screen pellet in Brooks, Alberta, for sale to feed lots. These pellets are made to the specifications of the plaintiff. These pellets at times did contain mustard screenings."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further admits to other illegal acts in his affidavit number 8 at paragraph 14, where he states, "Though I was not aware of it at the time, I learned, following Mr. Slozka's resignation, from Mr. Ted Brandt, the logistics supervisor for the Brooks plant, and verily believe that Mr. Slozka had arranged to mix the herring meal with other fish meal to lower the salt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Slozka says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Constantini admits to selling recalled contaminated animal feed in his affidavit number 8 where he states, "It is the case that the plaintiff unintentionally sold contaminated whey protein concentrate 34 percent to Unifeed Premix. When the problem was discovered, the plaintiff took the product back and agreed it would not be sold to any Unifeed client. Unfortunately, by mistake, some of this product was shipped to Cooperative Wool Growers Ltd., a Unifeed customer. When the mistake was discovered, the plaintiff took the product back and gave full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 27, Mr. Slozka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covers but a mere few of the 24 various criminal activities that Constantini, Alfred and Jani, engaged in that I am aware of during my five years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agree with counsel that Mr. Slozka has distorted the evidence in those submissions because Mr. Slozka omitted parts of Mr. Constantini's affidavits. In para. 12 of Mr. Constantini's affidavit 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 9, a company associated with the plaintiff does produce a grain screen pellet in Brooks, Alberta, for sale to feed lots. These pellets are made to the specifications of the plaintiff. These pellets at times did contain mustard screenings which is the refuse produced from the processing of mustards seeds, though never as much as 25 percent. Mustard screenings are, however, a federally-approved feed ingredient. Traders were instructed not to tell clients the ingredients of the plaintiff's grain screen pellets because the formula for the pellets was proprietary to the plaintiff and not because mustard screening was not a suitable ingredient.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in para. 15 Mr. Constantini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allegation made in paragraph 12, in 2005, the plaintiff had a quantity of herring meal which had a high salt content. Though I was not aware of it at the time, I learned, following Mr. Slozka's resignation, from Mr. Ted Brandt, the logistics supervisor for the Brooks plant, and verily believe that Mr. Slozka had arranged to mix the herring meal with other fish meal to lower the salt content. The product was sold to feed manufacturers and hog growers and met their specification for salt and protein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So those are not admissions of criminal activity by Mr. Constantini. Far from it. Mr. Slozka has made unfounded allegations of illegal activities and distorted the evidence to support them. The pattern of distorting the facts is also reflected in Mr. Slozka's allegations of conspiracy to commit perjury: he swore an affidavit deposing he had dealt with "St. Paul Seed Cleaning plant" in contempt of the injunction and sought to be purged of his contempt. Then later he said that Mr. Constantini was perjuring himself and that plaintiff's counsel was knowingly allowing that perjury when he referred to Mr. Slozka's dealing with "St. Paul" as a breach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February counterclaim and any amendment to it would distract the court and be unfair to the plaintiff. It would unduly prejudice the presentation of the plaintiff's case. That prejudice would overwhelm any prejudice to Mr. Slozka caused by the court's refusal to permit a counterclaim. If successful in defending the plaintiff's action, Mr. Slozka can ask the court to act on the plaintiff's undertaking as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Unrelated, complex allegations that would delay the trial of the plaintiff's action do not yield a reasonable outcome on a cost-benefit analysis. The February counterclaim was drafted by a litigant who has pushed the limits and wants to pursue every avenue, appropriate or not. Mr. Slozka has made this matter difficult enough by his prolonged breach of the injunction, failure to properly participate in the court's process or to comply with the Rules. The defendants filed their first counterclaim eight months after the statement of claim was filed, about six months after the statement of defence was filed and seven months after the interim injunction was issued. They have not complied with disclosure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would not be just to allow such a long extension of time to file and, in effect, to condone the filing without leave of the December and January counterclaims. The defendants deliberately breached the injunction for months despite judicial warnings and their own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proposed February counterclaim is perverse and improper. I refuse leave to file it. It would involve useless expense and confound and complicate the trial to permit a counterclaim at all. That has been amply demonstrated to this court. Mr. Slozka will not be permitted to file a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Slozka has told me in any event that a major part of the proposed counterclaim constitutes his defence to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Conclusions on Counterclaims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December and January counterclaims cannot stand. They are either not based on a known cause of action or lack the necessary material facts to support the cause of action. The proposed February counterclaim will not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defendants should have applied for an extension of time before filing the December counterclaim. The court has discretion to extend time, but in the December and January counterclaims, the defendants have not pleaded proper causes of action. For that reason and others, this court will not exercise its discretion to retroactively extend the time to file the December counterclaim: see </w:t>
      </w:r>
      <w:r>
        <w:rPr>
          <w:rFonts w:ascii="arial" w:eastAsia="arial" w:hAnsi="arial" w:cs="arial"/>
          <w:b/>
          <w:i/>
          <w:color w:val="000000"/>
          <w:sz w:val="20"/>
          <w:lang w:val="en-US" w:eastAsia="en-US" w:bidi="ar-SA"/>
        </w:rPr>
        <w:t>Summerland (District) v. No Strings Enterprises Ltd.</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(1997), 41 M.P.L.R. (2d) 254</w:t>
        </w:r>
      </w:hyperlink>
      <w:r>
        <w:rPr>
          <w:rFonts w:ascii="arial" w:eastAsia="arial" w:hAnsi="arial" w:cs="arial"/>
          <w:color w:val="000000"/>
          <w:sz w:val="20"/>
          <w:lang w:val="en-US" w:eastAsia="en-US" w:bidi="ar-SA"/>
        </w:rPr>
        <w:t xml:space="preserve"> (B.C.S.C.)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addition of parties is governed by Rule 15(5). If court approval is not received before adding a party, the pleading purporting to add the party is a nullity. Rules 2(1) and 3(2) do not apply in these circumstances and the January pleading is therefore a nullity: see </w:t>
      </w:r>
      <w:r>
        <w:rPr>
          <w:rFonts w:ascii="arial" w:eastAsia="arial" w:hAnsi="arial" w:cs="arial"/>
          <w:b/>
          <w:i/>
          <w:color w:val="000000"/>
          <w:sz w:val="20"/>
          <w:lang w:val="en-US" w:eastAsia="en-US" w:bidi="ar-SA"/>
        </w:rPr>
        <w:t>Skrastins v. Kelowna (City)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 necessary pleading of material facts cannot be left to inference to be deduced from the form in which the pleading is framed. A defendant is entitled to know the case it is being called upon to meet: </w:t>
      </w:r>
      <w:r>
        <w:rPr>
          <w:rFonts w:ascii="arial" w:eastAsia="arial" w:hAnsi="arial" w:cs="arial"/>
          <w:b/>
          <w:i/>
          <w:color w:val="000000"/>
          <w:sz w:val="20"/>
          <w:lang w:val="en-US" w:eastAsia="en-US" w:bidi="ar-SA"/>
        </w:rPr>
        <w:t>Wyman v. Vancouver Real Estate Board</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(1957), 8 D.L.R. (2d) 724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Wyman</w:t>
      </w:r>
      <w:r>
        <w:rPr>
          <w:rFonts w:ascii="arial" w:eastAsia="arial" w:hAnsi="arial" w:cs="arial"/>
          <w:color w:val="000000"/>
          <w:sz w:val="20"/>
          <w:lang w:val="en-US" w:eastAsia="en-US" w:bidi="ar-SA"/>
        </w:rPr>
        <w:t xml:space="preserve">, the pleading was struck, but leave was granted to amend. The omission of a material fact necessary to establish a cause of action makes the statement of claim liable to be struck out: </w:t>
      </w:r>
      <w:r>
        <w:rPr>
          <w:rFonts w:ascii="arial" w:eastAsia="arial" w:hAnsi="arial" w:cs="arial"/>
          <w:b/>
          <w:i/>
          <w:color w:val="000000"/>
          <w:sz w:val="20"/>
          <w:lang w:val="en-US" w:eastAsia="en-US" w:bidi="ar-SA"/>
        </w:rPr>
        <w:t>Holmalco Indian Band v. British Columbia</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Wyman</w:t>
      </w:r>
      <w:r>
        <w:rPr>
          <w:rFonts w:ascii="arial" w:eastAsia="arial" w:hAnsi="arial" w:cs="arial"/>
          <w:color w:val="000000"/>
          <w:sz w:val="20"/>
          <w:lang w:val="en-US" w:eastAsia="en-US" w:bidi="ar-SA"/>
        </w:rPr>
        <w:t xml:space="preserve"> at 726.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will review the claims that the defendants assert in their counterclaims, and explain why they cannot stand.</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Claim of Conspiracy to Commit Perjury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claim to conspiracy to commit perjury cannot stand because statements of witnesses giving evidence in a judicial or quasi-judicial proceeding are protected by the witness immunity rule. This fundamental rule of law provides absolute privilege for words spoken or written in judicial pleadings: </w:t>
      </w:r>
      <w:r>
        <w:rPr>
          <w:rFonts w:ascii="arial" w:eastAsia="arial" w:hAnsi="arial" w:cs="arial"/>
          <w:b/>
          <w:i/>
          <w:color w:val="000000"/>
          <w:sz w:val="20"/>
          <w:lang w:val="en-US" w:eastAsia="en-US" w:bidi="ar-SA"/>
        </w:rPr>
        <w:t>Workum v. Olnick</w:t>
      </w:r>
      <w:r>
        <w:rPr>
          <w:rFonts w:ascii="arial" w:eastAsia="arial" w:hAnsi="arial" w:cs="arial"/>
          <w:color w:val="000000"/>
          <w:sz w:val="20"/>
          <w:lang w:val="en-US" w:eastAsia="en-US" w:bidi="ar-SA"/>
        </w:rPr>
        <w:t xml:space="preserve"> at para. 6. The rule applies to claims that parties and their solicitors conspired to commit perjury: see </w:t>
      </w:r>
      <w:r>
        <w:rPr>
          <w:rFonts w:ascii="arial" w:eastAsia="arial" w:hAnsi="arial" w:cs="arial"/>
          <w:b/>
          <w:i/>
          <w:color w:val="000000"/>
          <w:sz w:val="20"/>
          <w:lang w:val="en-US" w:eastAsia="en-US" w:bidi="ar-SA"/>
        </w:rPr>
        <w:t>Mayer v. Mayer</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[1994] B.C.J. No. 2425</w:t>
        </w:r>
      </w:hyperlink>
      <w:r>
        <w:rPr>
          <w:rFonts w:ascii="arial" w:eastAsia="arial" w:hAnsi="arial" w:cs="arial"/>
          <w:color w:val="000000"/>
          <w:sz w:val="20"/>
          <w:lang w:val="en-US" w:eastAsia="en-US" w:bidi="ar-SA"/>
        </w:rPr>
        <w:t xml:space="preserve"> at 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details of how Mr. Slozka has manipulated the facts to make the vexatious claim that Mr. Constantini, Mr. Fraser, and MT conspired to commit perjury are set out in the written argument of Mr. Griffin, co-counsel with Mr. Fraser. It is enough to observe that Mr. Slozka's allegation is based on a distorted view of both the facts and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defendants made this claim with a motion to disqualify plaintiff's counsel, Mr. Fraser. After he filed the January counterclaim, Mr. Slozka was warned by Mr. Justice Williamson on January 12th about its contents. Nonetheless, three days later, before Mr. Justice Goepel, Mr. Slozka submitted that he was surprised or astounded that MT was still acting for the plaintiff in light of the amended counterclaim that he had filed without leave. Mr. Slozka did not improve his position today by attempting to promote the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of adding Mr. Fraser and MT in the January counterclaim.</w:t>
      </w:r>
      <w:r>
        <w:rPr>
          <w:rFonts w:ascii="arial" w:eastAsia="arial" w:hAnsi="arial" w:cs="arial"/>
          <w:sz w:val="20"/>
          <w:lang w:val="en-US" w:eastAsia="en-US" w:bidi="ar-SA"/>
        </w:rPr>
        <w:cr/>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Claim for Damages Flowing from the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With respect to the claim for damages flowing from the injunction, I refer to Rule 45(6). According to that rule, if the defendants are successful at trial, the appropriate procedure is for them to apply to the trial judge for an order directing an inquiry into their damages. Whether the court orders such an inquiry depends on a review of all the circumstances, including the defendants' conduct: </w:t>
      </w:r>
      <w:r>
        <w:rPr>
          <w:rFonts w:ascii="arial" w:eastAsia="arial" w:hAnsi="arial" w:cs="arial"/>
          <w:b/>
          <w:i/>
          <w:color w:val="000000"/>
          <w:sz w:val="20"/>
          <w:lang w:val="en-US" w:eastAsia="en-US" w:bidi="ar-SA"/>
        </w:rPr>
        <w:t>Vieweger Construction Co. v. Rush &amp; Tompkins Construction Ltd.</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[1965] S.C.R. 195</w:t>
        </w:r>
      </w:hyperlink>
      <w:r>
        <w:rPr>
          <w:rFonts w:ascii="arial" w:eastAsia="arial" w:hAnsi="arial" w:cs="arial"/>
          <w:color w:val="000000"/>
          <w:sz w:val="20"/>
          <w:lang w:val="en-US" w:eastAsia="en-US" w:bidi="ar-SA"/>
        </w:rPr>
        <w:t xml:space="preserve"> at 208; </w:t>
      </w:r>
      <w:r>
        <w:rPr>
          <w:rFonts w:ascii="arial" w:eastAsia="arial" w:hAnsi="arial" w:cs="arial"/>
          <w:b/>
          <w:i/>
          <w:color w:val="000000"/>
          <w:sz w:val="20"/>
          <w:lang w:val="en-US" w:eastAsia="en-US" w:bidi="ar-SA"/>
        </w:rPr>
        <w:t>British Columbia (Attorney General) v. Infomap Services Inc.</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(1992), 8 C.P.C. (3d) 35</w:t>
        </w:r>
      </w:hyperlink>
      <w:r>
        <w:rPr>
          <w:rFonts w:ascii="arial" w:eastAsia="arial" w:hAnsi="arial" w:cs="arial"/>
          <w:color w:val="000000"/>
          <w:sz w:val="20"/>
          <w:lang w:val="en-US" w:eastAsia="en-US" w:bidi="ar-SA"/>
        </w:rPr>
        <w:t xml:space="preserve"> (B.C.S.C.) at 37-38, and Robert Sharpe's </w:t>
      </w:r>
      <w:r>
        <w:rPr>
          <w:rFonts w:ascii="arial" w:eastAsia="arial" w:hAnsi="arial" w:cs="arial"/>
          <w:i/>
          <w:color w:val="000000"/>
          <w:sz w:val="20"/>
          <w:lang w:val="en-US" w:eastAsia="en-US" w:bidi="ar-SA"/>
        </w:rPr>
        <w:t>Injunctions and Specific Performance</w:t>
      </w:r>
      <w:r>
        <w:rPr>
          <w:rFonts w:ascii="arial" w:eastAsia="arial" w:hAnsi="arial" w:cs="arial"/>
          <w:color w:val="000000"/>
          <w:sz w:val="20"/>
          <w:lang w:val="en-US" w:eastAsia="en-US" w:bidi="ar-SA"/>
        </w:rPr>
        <w:t>, looseleaf (Aurora: Canada Law Book, 2006) at 2-41 to 2-42.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undertaking as to damages is given to court. There is no cause of action based on the undertaking itself and no claim for damages can be made in respect of an injunction unless and until the court orders an inquiry as to damages: </w:t>
      </w:r>
      <w:r>
        <w:rPr>
          <w:rFonts w:ascii="arial" w:eastAsia="arial" w:hAnsi="arial" w:cs="arial"/>
          <w:b/>
          <w:i/>
          <w:color w:val="000000"/>
          <w:sz w:val="20"/>
          <w:lang w:val="en-US" w:eastAsia="en-US" w:bidi="ar-SA"/>
        </w:rPr>
        <w:t>Peter Kiewit Sons Co. Ltd. v. North Pacific Roadbuilders Ltd.</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2005 BCSC 1586</w:t>
        </w:r>
      </w:hyperlink>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56 B.C.L.R. (4th) 114</w:t>
        </w:r>
      </w:hyperlink>
      <w:r>
        <w:rPr>
          <w:rFonts w:ascii="arial" w:eastAsia="arial" w:hAnsi="arial" w:cs="arial"/>
          <w:color w:val="000000"/>
          <w:sz w:val="20"/>
          <w:lang w:val="en-US" w:eastAsia="en-US" w:bidi="ar-SA"/>
        </w:rPr>
        <w:t xml:space="preserve"> (S.C.) at para. 38, leave to appeal to B.C.C.A. refused, </w:t>
      </w:r>
      <w:hyperlink r:id="rId225" w:history="1">
        <w:r>
          <w:rPr>
            <w:rFonts w:ascii="arial" w:eastAsia="arial" w:hAnsi="arial" w:cs="arial"/>
            <w:i/>
            <w:color w:val="0077CC"/>
            <w:sz w:val="20"/>
            <w:u w:val="single"/>
            <w:shd w:val="clear" w:color="auto" w:fill="FFFFFF"/>
            <w:lang w:val="en-US" w:eastAsia="en-US" w:bidi="ar-SA"/>
          </w:rPr>
          <w:t>2006 BCCA 439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The Claim for Constructive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the claim for constructive dismissal, there are no material facts to define the alleged illegal acts of the chief executive officer of the plaintiff, or that he required Mr. Slozka to participate. So the claim for constructive dismissal in both the December and January counterclaim is wholly inadequate.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The Claim for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claim for malicious prosecution is based on the following allegations:</w:t>
      </w:r>
      <w:r>
        <w:rPr>
          <w:rFonts w:ascii="arial" w:eastAsia="arial" w:hAnsi="arial" w:cs="arial"/>
          <w:sz w:val="20"/>
          <w:lang w:val="en-US" w:eastAsia="en-US" w:bidi="ar-SA"/>
        </w:rPr>
        <w:cr/>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Slozka turned down a proposal allegedly made by Mr. Constantini to provide financing for Slozka's business in return for part ownership; and</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Slozka sent a letter to Mr. Constantini dated April 4, 2006, demanding an indemnification and save harmless agreement relating to possible illegal activities that occurred during Slozka's employment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Those allegations do not give rise to a cause of action. Also, the claim for malicious prosecution is improper because the defendant must first succeed in the action before he can allege malicious prosecution.</w:t>
      </w:r>
      <w:r>
        <w:rPr>
          <w:rFonts w:ascii="arial" w:eastAsia="arial" w:hAnsi="arial" w:cs="arial"/>
          <w:sz w:val="20"/>
          <w:lang w:val="en-US" w:eastAsia="en-US" w:bidi="ar-SA"/>
        </w:rPr>
        <w:cr/>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Claim for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claim for defamation is only a bald allegation. There is no properly pleaded cause of action.</w:t>
      </w:r>
      <w:r>
        <w:rPr>
          <w:rFonts w:ascii="arial" w:eastAsia="arial" w:hAnsi="arial" w:cs="arial"/>
          <w:sz w:val="20"/>
          <w:lang w:val="en-US" w:eastAsia="en-US" w:bidi="ar-SA"/>
        </w:rPr>
        <w:cr/>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Claim for Interference with Economic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defendants allege at para. 17 of the December counterclaim and para. 21 of the January counterclaim that the plaintiff has interfered with Rycom's economic relations. The tort of unlawful interference with economic relations has many elements. Here again, a bald allegation with no material facts is insufficient.</w:t>
      </w:r>
      <w:r>
        <w:rPr>
          <w:rFonts w:ascii="arial" w:eastAsia="arial" w:hAnsi="arial" w:cs="arial"/>
          <w:sz w:val="20"/>
          <w:lang w:val="en-US" w:eastAsia="en-US" w:bidi="ar-SA"/>
        </w:rPr>
        <w:cr/>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The Claim for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there are no material facts supporting a duty of care, to describe the conduct that is a breach of that duty, or any harm suffered from that breach.</w:t>
      </w:r>
      <w:r>
        <w:rPr>
          <w:rFonts w:ascii="arial" w:eastAsia="arial" w:hAnsi="arial" w:cs="arial"/>
          <w:sz w:val="20"/>
          <w:lang w:val="en-US" w:eastAsia="en-US" w:bidi="ar-SA"/>
        </w:rPr>
        <w:cr/>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Claims for Monies Owing and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other claims in the December and January counterclaims appear to relate to claims for money owing to Mr. Slozka and mental suffering, but there are no material facts about the nature of the commissions allegedly owing, including for example, when the claim arose, the source of his entitlement to them, or the plaintiff's legal obligation to pay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Lay Litigant Conduct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Even as a lay litigant, Mr. Slozka has stretched the court's tolerance too far. And I am not at all satisfied that he has demonstrated a continuous intention to counterclaim. His explanation that he thought his lawyer would file it, or had done so, is not persuasive and is unsupported. Indeed, it appears to me that since their breaching the injunction was not beneficial in the end, the defendants decided to take the offensive and to file a very belated counterclaim. But the purpose of Rule 21(8) is to help focus and to reduce the number the issues at trial. By the cumulative effect of Mr. Slozka's conduct, the defendants have disentitled themselves to the further leniency of the court that would be required to file a most belated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Slozka, who had three lawyers in the past, had ample opportunity earlier to obtain the consent of the plaintiff and the defendants by the January counterclaim to the removal of Mr. Fraser and MT as defendants by counterclaim. Nevertheless, Mr. Slozka refused to agree to their entirely reasonable conditions for consent to their removal as parties as he refused to agree not to pursue them in the future if their "conduct" continued. I find that the conduct of counsel for the plaintiff has been entirely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On Mr. Fraser's and MT's special costs application, Mr. Slozka submits it was not necessary for Mr. Fraser and MT to apply to be removed from the January counterclaim because Mr. Slozka conceded it is a nullity. He further says special costs ought not to be awarded against the defendants because he tried before today to obtain their consent to be removed as defendants to that counterclaim. He submits his refusal to agree to their conditions for that removal were reasonable and that his conduct in adding them as parties was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Mr. Slozka provided extensive argument in the written submission I received from him yesterday.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defendants themselves seek special costs against the plaintiff on the basis that the plaintiff should have consented to the extension of time to file the counterclaim and the proposed amendments so that the irregularities may be fixed and better particulars presented. There is, of course, no basis for this application because I am striking out the December counterclaim. There is nothing to amend. The January counterclaim is a nullity, or is struck out. I am refusing leave to file the proposed February counterclaim or any further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defendants also seek special costs against Mr. Fraser and MT on the grounds that on January 17, 2007, the defendant sought their consent to remove them as defendants on the January counterclaim. This was before they retained counsel. Since the defendants are now conceding that their application be removed from the January counterclaim, Mr. Slozka says Mr. Fraser and MT should have consented to their removal. The fact the January counterclaim is a nullity does mean the application of Mr. Fraser and MT is moot, but they still had to prepare it. They did not know until the morning of the first hearing day before me that Mr. Slozka would concede it was a nullity or, absent that concession, what the outcome would be. Mr. Slozka's earlier request for their consent to be removed was not reasonable as he refused to agree not to pursue them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January 15, 2007, eight days after he filed the January counterclaim and at a hearing before Mr. Justice Goepel just three days after having received the strong warning from Mr. Justice Williamson, Mr. Slozka provided a written argument that began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Firstly, I am astounded that we are standing before My Lord to hear the plaintiff's motion. I am further surprised that the plaintiff is continuing to pursue his statement of claim and perplexed as to why Barry Fraser and McCarthy Tétrault have not withdrawn as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Yet on January 12th, Mr. Justice Williamson had warned Mr. Slozka about the possibility of costs being assessed against him with respect to the January counterclaim. I observe again that plaintiff's counsel wrote two letters that put Mr. Slozka on clear notice that they would seek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January 29, Mr. Slozka delivered a notice of motion seeking leave to remove Mr. Fraser and MT as defendants by counterclaim. The material in support of his application included Mr. Slozka's affidavit number 11 which attached as Exhibit "F" the letter to Mr. Quinlan in which he confirmed: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no desire to proceed with the action against your clients, however, </w:t>
      </w:r>
      <w:r>
        <w:rPr>
          <w:rFonts w:ascii="arial" w:eastAsia="arial" w:hAnsi="arial" w:cs="arial"/>
          <w:i/>
          <w:color w:val="000000"/>
          <w:sz w:val="20"/>
          <w:lang w:val="en-US" w:eastAsia="en-US" w:bidi="ar-SA"/>
        </w:rPr>
        <w:t>should their conduct continue</w:t>
      </w:r>
      <w:r>
        <w:rPr>
          <w:rFonts w:ascii="arial" w:eastAsia="arial" w:hAnsi="arial" w:cs="arial"/>
          <w:color w:val="000000"/>
          <w:sz w:val="20"/>
          <w:lang w:val="en-US" w:eastAsia="en-US" w:bidi="ar-SA"/>
        </w:rPr>
        <w:t xml:space="preserve"> [my emphasis], I reserve the right to take 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discussions on this topic between Mr. Quinlan and Mr. Slozka were futile. Mr. Slozka offered nothing in his purported offer to remove Mr. Fraser and MT as parties to the January counterclaim because he refused not to pursue them in the future should "their conduct" in this case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clear by the January counterclaim that Mr. Slozka was trying to get Mr. Fraser and MT removed as counsel. His method was to allege in a public document that Mr. Fraser conspired to put false evidence before the court. Perjury is a most serious and damaging allegation to make about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Mr. Quinlan submits, and I agree, that having filed the December counterclaim, by adding Mr. Fraser and MT as parties in the amended January counterclaim, having filed both without leave and while still subject to the injunction, then seeking to have Mr. Fraser and MT removed as counsel, Mr. Slozka was trying to force Mr. Fraser and MT off the case. This motive was improper. In determining whether proceedings constitute an abuse of process, the court may consider whether the court process is being used dishonestly, unfairly or for some improper or collateral purpose: see </w:t>
      </w:r>
      <w:r>
        <w:rPr>
          <w:rFonts w:ascii="arial" w:eastAsia="arial" w:hAnsi="arial" w:cs="arial"/>
          <w:b/>
          <w:i/>
          <w:color w:val="000000"/>
          <w:sz w:val="20"/>
          <w:lang w:val="en-US" w:eastAsia="en-US" w:bidi="ar-SA"/>
        </w:rPr>
        <w:t>Lawrence v. Sandilands</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2003 BCSC 211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court will extend latitude to parties who appear in person, but when other parties are being prejudiced, it is important to require the lay litigant to properly plead his case: </w:t>
      </w:r>
      <w:r>
        <w:rPr>
          <w:rFonts w:ascii="arial" w:eastAsia="arial" w:hAnsi="arial" w:cs="arial"/>
          <w:b/>
          <w:i/>
          <w:color w:val="000000"/>
          <w:sz w:val="20"/>
          <w:lang w:val="en-US" w:eastAsia="en-US" w:bidi="ar-SA"/>
        </w:rPr>
        <w:t>Lu v. Mau</w:t>
      </w:r>
      <w:r>
        <w:rPr>
          <w:rFonts w:ascii="arial" w:eastAsia="arial" w:hAnsi="arial" w:cs="arial"/>
          <w:color w:val="000000"/>
          <w:sz w:val="20"/>
          <w:lang w:val="en-US" w:eastAsia="en-US" w:bidi="ar-SA"/>
        </w:rPr>
        <w:t xml:space="preserve">, (12 June 2006), Vancouver No. E050218 (B.C.S.C.); </w:t>
      </w:r>
      <w:r>
        <w:rPr>
          <w:rFonts w:ascii="arial" w:eastAsia="arial" w:hAnsi="arial" w:cs="arial"/>
          <w:b/>
          <w:i/>
          <w:color w:val="000000"/>
          <w:sz w:val="20"/>
          <w:lang w:val="en-US" w:eastAsia="en-US" w:bidi="ar-SA"/>
        </w:rPr>
        <w:t>Kemp v. Dickson</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2006 BCSC 288</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Mr. Quinlan seeks special costs against Mr. Slozka on the basis that Mr. Slozka added Mr. Fraser and MT as defendants and filed the January counterclaim for an ulterior purpose. Mr. Slozka has alleged fabrication and deceit by a lawyer and his firm. In all the circumstances, Mr. Slozka has far exceeded the limit of generous latitude granted to lay litigants. I agree this is reprehensible conduct for which Mr. Slozka should be chastised by special costs. It will remind him to be more careful in the future: see </w:t>
      </w:r>
      <w:r>
        <w:rPr>
          <w:rFonts w:ascii="arial" w:eastAsia="arial" w:hAnsi="arial" w:cs="arial"/>
          <w:b/>
          <w:i/>
          <w:color w:val="000000"/>
          <w:sz w:val="20"/>
          <w:lang w:val="en-US" w:eastAsia="en-US" w:bidi="ar-SA"/>
        </w:rPr>
        <w:t>Shah v. Bakken</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[1999] B.C.J. No. 1835</w:t>
        </w:r>
      </w:hyperlink>
      <w:r>
        <w:rPr>
          <w:rFonts w:ascii="arial" w:eastAsia="arial" w:hAnsi="arial" w:cs="arial"/>
          <w:color w:val="000000"/>
          <w:sz w:val="20"/>
          <w:lang w:val="en-US" w:eastAsia="en-US" w:bidi="ar-SA"/>
        </w:rPr>
        <w:t xml:space="preserve"> (S.C.) at paras. 14 and 15; </w:t>
      </w:r>
      <w:r>
        <w:rPr>
          <w:rFonts w:ascii="arial" w:eastAsia="arial" w:hAnsi="arial" w:cs="arial"/>
          <w:b/>
          <w:i/>
          <w:color w:val="000000"/>
          <w:sz w:val="20"/>
          <w:lang w:val="en-US" w:eastAsia="en-US" w:bidi="ar-SA"/>
        </w:rPr>
        <w:t>Re Keywest Resources Ltd.</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2006 BCSC 1424</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order that Mr. Fraser and MT be awarded special costs against Mr. Slozka and his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C.B.C., also seeks special costs. Mr. Slozka has behaved badly towards the plaintiff also. However, some arguments were common for both the plaintiff and its counsel. The assessment of special costs against Mr. Slozka in favour of the plaintiff's counsel and his law firm, payable forthwith, is sufficiently severe to rebuke Mr. Slozka in the circumstances. He is also being denied leave to file a counterclaim of any nature, which contributes to significant redress for 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will have its costs of this application at Scale B, also payable forthwith. As I have said, there is no basis for Mr. Slozka on behalf of the defendants to seek special costs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FRASER: Just by way of clarification, of course, there were four applications, so I presume the costs are in respect of the four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FRASER: And secondly, My Lady, as you've seen from this material, we have scandalous allegations, as well as confidential information being put into the public domain through the filing by Mr. Slozka of the counterclaim, the amended counterclaim, his proposed amended counterclaim, the February counterclaim, outlines and submissions which refer to these documents and the scandalous allegations contained therein, as well as the confidential information, and affidavits of Mr. Slozka which refer to these allegations. It would be extremely unfortunate for these materials to be able to be circulated by Mr. Slozka under a cloak of immunity that normally applies to anything that's filed in court. And so consistent with the order that was made by Mr. Justice Edwards at the beginning of these proceedings, pursuant to Your Ladyship's inherent jurisdiction to control access to the file, I would ask that these materials be sealed from the public. They would, of course, continue to be available for the parties, but in my submission, it would be very unfortunate to allow these materials to be circulated by Mr. Slozka as apparently is his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COURT: And by "these materials," you mean the materials before the court filed in support of these applications and these applications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FRASER: Yes. Yes, that's exactly what I'm talking about. So that includes the motion materials and, specifically, the two pleadings that were filed. His motion materials, of course, include a proposed further amended counterclaim. His outlines and his written submissions and the affidavits, I believe there's two affidavits that he's filed, which purport to support these outrageous and scandalous allegations, as well as reveal information about the plaintiff's business, clients, and customers, which has previously been ordered to be sealed by Mr. Justice Edwards. So I would like to draw a sealing order around those documents so that they aren't circulated. Heaven knows how widely they've already been distributed by Mr. Slozka, but in my submission, it's very important that the distribution of those documents be controlled as well as access to those documents be controlled.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SLOZKA: My Lady, I'm agreeable.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COURT: All right. There is no opposition. An order will be drawn by consent. The order will seal all the materials including all the evidence and the submissions made in the applications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Well, the transcript will have to be sealed because I have referred to so much of the materials, the submissions and the evidence. The transcript will be sealed, too. I will edit any transcript of the reasons before it is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Thank you for your helpful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SLOZKA: My apologies. I just had a question. Special costs have been awarded to Quinlan Abrioux and McCarthy Tétrault payable forthwith. Was that in the sum that they had advanced earlier; is that how it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COURT: Well, that was an approximation.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SLOZKA: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COURT: And it is for all four applications in favour of McCarthy Tétrault and Mr. Fraser. That is, Mr. Quinlan's application is allowed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SLOZKA: Sorry, did I -- special costs were awarded to Quinlan and Abrioux and special costs were awarded to McCarthy Tétrault, as well; do I have that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COURT: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SLOZKA: Or just Quinlan Abrioux.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COURT: The special costs are awarded against you in favour of Mr. Fraser and McCarthy Tétrault.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SLOZKA: Oh, who's being represented by Mr.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COURT: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SLOZKA: Oh, okay. I needed clarification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COURT: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SLOZKA: And then the costs of the application are at Schedule 3 for the four applications of the plaintiff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COURT: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SLOZKA: -- and will be paid, as well, as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SLOZKA: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SLOZKA: I'm sorry, My Lady, just with regards to the payable forthwith. I understand what that means. Do I need to set up an appointment with the registrar to set up some sort of payment method of some sort? I'm unable to come up with the full amount immediately. Or is that done through this courtroom?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QUINLAN: Maybe I can assist, My Lady. I can just advise Mr. Slozka that he'll be hearing from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COURT: It is called Scale B, not Schedule B, Madam Registrar. So the plaintiff will have its costs at Scale B for all four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6"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Chapman v. Canada, [2001] B.C.J. No. 775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23 - 26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A993244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775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2001 BCSC 420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89 B.C.L.R. (3d) 124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[2001] 4 C.N.L.R. 70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104 A.C.W.S. (3d) 1030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[2001] B.C.T.C. 420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Kerry-Lynne D. Chapman, Jerry Janes, Diana Janes, Alfred K. Lee, Esther K. Lee, Lisbet MacKay, Irving Glassner, Noreen G. Glassner, William T. Ziemba, Donald Scheideman and Kathryn M. Scheideman, plaintiffs, and Her Majesty the Queen in Right of Canada, Robert Nault in his capacity as Minister of Indian and Northern Affairs, Musqueam Indian Band, Jane Doe 1 and John Doe 1, defendants, and Her Majesty the Queen in Right of Canada and the Attorney General of Canada,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7"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9" w:name="Keywords_10"/>
      <w:bookmarkEnd w:id="69"/>
      <w:r>
        <w:rPr>
          <w:rFonts w:ascii="arial" w:eastAsia="arial" w:hAnsi="arial" w:cs="arial"/>
          <w:b/>
          <w:color w:val="000000"/>
          <w:sz w:val="20"/>
          <w:lang w:val="en-US" w:eastAsia="en-US" w:bidi="ar-SA"/>
        </w:rPr>
        <w:t>Indians, Inuit and Metis — Lands — Lease of lands — Rent, determination of — Crown — Authority of ministers, delegation of — Practice — Applications and motions — Pleadings — Striking out pleadings — Grounds, res judicata — Judgments and orders — Summary judgments — Requirement that question at issue be beyond doubt — Constitutional law - - Federal jurisdiction (s. 91) — Indians and land reserved for Indians — Administration of Indian land.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0" w:name="Case Summary_9"/>
            <w:bookmarkEnd w:id="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Musqueam Indian Band for declarations by way of summary judgment that the plaintiff-leaseholders' interests in the leases were forfeit to Canada. The Band also applied to strike out the leaseholders' writ of summons and statement of claim. The leaseholders lived on Band land. On the Band's behalf, Canada had entered into 99-year leases with the leaseholders. In 1975, under the Indian Act, Canada authorized the Band to collect the rents directly from the leaseholders and to manage the property interests. For the first 30 years of the leases, the rents were predetermined. When that period ended, the Band significantly increased the rents according to a formula predetermined by the Crown. The leaseholders challenged the propriety of this all the way to the Supreme Court of Canada, which ordered them to pay higher rents. They alleged that Canada wrongfully empowered the Band to exercise the Crown's powers and duties respecting the leases and leaseholders. They claimed that the Crown breached its duty of good faith to them and breached their rights under the Canadian Charter of Rights and Freedoms. They argued as well that the Crown conspired with the Band to create a climate of uncertainty respecting the leasehold interests. On this application, they argued that the Band lacked standing.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1" w:name="Holdings of Court_7"/>
            <w:bookmarkEnd w:id="71"/>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Part of the claim was struck out. The Band lacked standing to seek the forfeiture of the leases, as its management rights had limits. The Crown's appointment of the Band did not include the power to seek forfeiture of the leases; only the Crown could do this. It was not plain and obvious that the claims of wrongful empowerment of the Band to exercise property assessment and taxation claims would fail. The claims that the Crown wrongfully assigned its authority regarding management and assignment of the leases were res judicata. The courts already considered them in respect of the validity of the leases. However, it was not plain and obvious that their claims would fail where they alleged that the minister breached a duty of good faith and that the Crown and Band engaged in a conspiracy to create uncertainty. Neither was it plain and obvious that the Charter arguments would fail.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2" w:name="Legislation Cited_6"/>
      <w:bookmarkEnd w:id="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8"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19(24), 19(27). Canadian Charter of Rights and Freedoms, 1982, ss. 2(b), 2(c),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Federal Court Act, </w:t>
      </w:r>
      <w:hyperlink r:id="rId237" w:history="1">
        <w:r>
          <w:rPr>
            <w:rFonts w:ascii="arial" w:eastAsia="arial" w:hAnsi="arial" w:cs="arial"/>
            <w:i/>
            <w:color w:val="0077CC"/>
            <w:sz w:val="20"/>
            <w:u w:val="single"/>
            <w:shd w:val="clear" w:color="auto" w:fill="FFFFFF"/>
            <w:lang w:val="en-US" w:eastAsia="en-US" w:bidi="ar-SA"/>
          </w:rPr>
          <w:t>R.S.C. 1985, c. F-7, ss. 17</w:t>
        </w:r>
      </w:hyperlink>
      <w:r>
        <w:rPr>
          <w:rFonts w:ascii="arial" w:eastAsia="arial" w:hAnsi="arial" w:cs="arial"/>
          <w:color w:val="000000"/>
          <w:sz w:val="20"/>
          <w:lang w:val="en-US" w:eastAsia="en-US" w:bidi="ar-SA"/>
        </w:rPr>
        <w:t>(2),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First Nations Land Management Act, </w:t>
      </w:r>
      <w:hyperlink r:id="rId238" w:history="1">
        <w:r>
          <w:rPr>
            <w:rFonts w:ascii="arial" w:eastAsia="arial" w:hAnsi="arial" w:cs="arial"/>
            <w:i/>
            <w:color w:val="0077CC"/>
            <w:sz w:val="20"/>
            <w:u w:val="single"/>
            <w:shd w:val="clear" w:color="auto" w:fill="FFFFFF"/>
            <w:lang w:val="en-US" w:eastAsia="en-US" w:bidi="ar-SA"/>
          </w:rPr>
          <w:t>S.C. 1999, c. 24, s. 18</w:t>
        </w:r>
      </w:hyperlink>
      <w:r>
        <w:rPr>
          <w:rFonts w:ascii="arial" w:eastAsia="arial" w:hAnsi="arial" w:cs="arial"/>
          <w:color w:val="000000"/>
          <w:sz w:val="20"/>
          <w:lang w:val="en-US" w:eastAsia="en-US" w:bidi="ar-SA"/>
        </w:rPr>
        <w:t>(1)(a).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Indian Act, R.S.C. 1952, c. 149, ss. 53,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Indian Self Government Enabling Act, </w:t>
      </w:r>
      <w:r>
        <w:rPr>
          <w:rFonts w:ascii="arial" w:eastAsia="arial" w:hAnsi="arial" w:cs="arial"/>
          <w:i/>
          <w:color w:val="000000"/>
          <w:sz w:val="20"/>
          <w:lang w:val="en-US" w:eastAsia="en-US" w:bidi="ar-SA"/>
        </w:rPr>
        <w:t>R.S.B.C. 1996, c. 219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239"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Act, </w:t>
      </w:r>
      <w:hyperlink r:id="rId240" w:history="1">
        <w:r>
          <w:rPr>
            <w:rFonts w:ascii="arial" w:eastAsia="arial" w:hAnsi="arial" w:cs="arial"/>
            <w:i/>
            <w:color w:val="0077CC"/>
            <w:sz w:val="20"/>
            <w:u w:val="single"/>
            <w:shd w:val="clear" w:color="auto" w:fill="FFFFFF"/>
            <w:lang w:val="en-US" w:eastAsia="en-US" w:bidi="ar-SA"/>
          </w:rPr>
          <w:t>R.S.C. 1985, c. S-26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3" w:name="Counsel_10"/>
      <w:bookmarkEnd w:id="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R.R. Sugden, Q.C., and E.A. Poyner, for the plaintiffs. K.J. Phillips and L. Borowyk, for the defendants, Her Majesty the Queen in Right of Canada and Robert Nault in his capacity as Minister of Indian and Northern Affairs. D.W. Roberts, Q.C., W.A. Baker, and S. Fothergill, for the defendant, Musqueam Indian Band.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4" w:name="Judgment_10"/>
      <w:bookmarkEnd w:id="74"/>
      <w:r>
        <w:pict>
          <v:line id="_x0000_s1080"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5" w:name="MELNICK J."/>
            <w:bookmarkEnd w:id="75"/>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Musqueam Indian Band (the "Band") applies pursuant to Rule 18A for declarations that the interests of the plaintiffs in certain residential leases be forfeit to Her Majesty the Queen in Right of Canada ("the Crown") by reason of the plaintiffs' alleged default in making their rental payments in a timely manner. The Band also applies, pursuant to Rule 19(24) to strike the plaintiffs' writ of summons and statement of claim.</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history of how the leased land, some of which is held by the plaintiffs, came to be created from the Musqueam Indian Reserve No. 2 in Vancouver is succinctly set out in the judgment of Mr. Justice Rothstein of the Federal Court of Canada - Trial Division in Musqueam Indian Band v. Glass </w:t>
      </w:r>
      <w:hyperlink r:id="rId241" w:history="1">
        <w:r>
          <w:rPr>
            <w:rFonts w:ascii="arial" w:eastAsia="arial" w:hAnsi="arial" w:cs="arial"/>
            <w:i/>
            <w:color w:val="0077CC"/>
            <w:sz w:val="20"/>
            <w:u w:val="single"/>
            <w:shd w:val="clear" w:color="auto" w:fill="FFFFFF"/>
            <w:lang w:val="en-US" w:eastAsia="en-US" w:bidi="ar-SA"/>
          </w:rPr>
          <w:t>(1997), 137 F.T.R. 1</w:t>
        </w:r>
      </w:hyperlink>
      <w:r>
        <w:rPr>
          <w:rFonts w:ascii="arial" w:eastAsia="arial" w:hAnsi="arial" w:cs="arial"/>
          <w:color w:val="000000"/>
          <w:sz w:val="20"/>
          <w:lang w:val="en-US" w:eastAsia="en-US" w:bidi="ar-SA"/>
        </w:rPr>
        <w:t>. I have taken the liberty of largely paraphrasing from paras. 9 to 13 of his reasons for judgment, deleting explanatory notes and making some changes to adapt the words to the context of my own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February 17, 1960, the Band surrendered approximately 40 acres of its Reserve No. 2 to the Crown for purposes of leasing. The surrender form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HAVE AND TO HOLD the same unto Her said Majesty the Queen, her Heirs and Successors IN TRUST TO LEASE THE SAME to such person or persons, and upon such terms as the Government of Canada may deem most conducive to our Welfare and that of our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April 20, 1961, the Governor in Council accepted the surrender. Pursuant to s. 53 of the Indian Act, R.S.C. 1952, c. 149, the Minister of Citizenship and Immigration was authorized to lease the subject land in accordance with the Act and terms of surrender. That section presently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Minister or a person appointed by the Minister for the purpose may, in accordance with this Act and the terms of the absolute surrender or designation, as the case may be,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 or sell absolutely surrendered lands;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 lease or carry out any other transaction affecting designated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has been no substantive change in the wording of the section since 1961 which bears on the issues to be determined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June 8, 1965, the Crown as represented by the Minister of Citizenship and Immigration entered into what was referred to as a master agreement with Musqueam Development Company Limited (the "Company"), a company unrelated to the Band, for the development of the surrendered reserve land. By that master agreement, the Company was required to prepare and file a plan of subdivision, provide services such as roads to each lot on the plan, water and sewage disposal facilities, storm sewers for land drainage, street lighting and ensure that telephone, electric power, natural gas and garbage disposal services would be available when required. Upon the Company satisfying these requirements, the Minister of Citizenship and Immigration was to deliver to the Company leases in favour of the Company for each of the lots on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plan of subdivision was filed in the land title office in December 1965. The required services were provided in 1966, prior to the date of the delivery, in 1966, of leases of each subdivided lot in accordance with a "draft lease (residential)", which was a schedule to the master agreement. Those leases (the "head leases") were delivered by the Crown to the Company which then marketed the serviced lots. In consideration for a lump sum payment to the Company and annual rental to be paid to the Crown on behalf of the Band, the Company assigned each lease to an individual or individuals who then caused a residence to be constructed on the lot leased by him 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Effective June 1, 1975, the Band was authorized to collect rent directly from the leaseholders by the Minister of Indian and Northern Affairs (the "Minister"), pursuant to s. 69 of the Act. The leaseholders were advised of this delegation by the Minister and, at least until 1999, the leaseholders apparently followed this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Section 53 of the Indian Act permitted the Crown as represented by the Minister to appoint "a person" to carry out its responsibilities to manage, lease, or "carry out any other transaction" affecting such surrendered reserve land. In this case, on October 6, 1980, Minister John C. Munroe appointed the Chief and the Councillors of the Band to carry out certain of the Minister's responsibilities under s. 53. That appointment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authority conferred on me by Section 53 of the Indian Act, I hereby appoint The Chief and the Councillors of the Musqueam Indian Band, from time to time, jointly, with respect to the signing of leases, rights of way, easements and licences of occupation, to manage, in accordance with the Indian Act and the terms of the surrender, the lands that have been set aside for the Musqueam Indian Band which have been or may hereafter be surrendered. It is understood that: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Musqueam Band Council shall have the necessary record system and all encumbrances will be submitted to the Indian Land Registry office in Ottawa for registration.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to be signed will first be acknowledged by the Band Council to be in the best interests of the Band;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term or period of any lease, right of way, easement or licence of occupation will not exceed 21 years;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Forms exemplifying the contract are to be the standard lease/permit forms pre-approved by the Minister or his authorized representative;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granted will extend only to those parcels or tracts of land that are specifically described by a plan of survey.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Chief and Councillors of the Musqueam Indian Band will have the authority to carry out the powers granted on each occasion the authority is exercised and will be authorized on behalf of, and in the name of the Minister of Indian Affairs and Northern Development to execute such leases, rights of way, easements, licences of occupation and other instruments and documents as may be required in the carrying out of such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Thereafter, pursuant to this appointment, the Chief and the Band Councillors in fact did manage the leased lands in the sense that they approved subsequent assignments of lease, directly collected the rent(until a point in 1999), and (in what was to prove controversial and has resulted in this, among other, litigation) had the responsibility to negotiate the annual rental of the leases for a 20 year period commencing June 8, 1995. Pursuant to other authority, they also, from at least 1991, assessed and collected taxes on the leased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Each of the leases for the 75 lots in question are for a 99 year period commencing June 8, 1965. Rental for each of the first three ten year periods of the lease term was predetermined. That is, the plaintiffs and the Band either enjoyed or suffered, as the case may be, the decision made on their behalf by the Crown when it originally leased the lots to the Company. However, effective June 8, 1995, the "fair rent" for each lot was to be calculated at 6% of the "current land value" immediately before June 8, 1995. The Band, through the Chief and Councillors, and the plaintiffs and other leaseholders, through their representatives, were unable to agree on the fundamental question of the "current land value" with the result that the issue ultimately went before Mr. Justice Rothstein of the Federal Court of Canada, Trial Division who, in a decision that was in due course set aside by the Federal Court of Appeal (which subsequently increased the rentals set by him) and then later restored by the Supreme Court of Canada, determined the current land value and thus the annual rentals that would apply to the various leases for the 20 years following June 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judgment of Mr. Justice Rothstein in the Federal Court, Trial Division was delivered on October 10, 1997, the decision of the Federal Court of Appeal on December 21, 1998 and that of the Supreme Court of Canada on November 9, 2000, Musqueam Indian Band v. Glass, </w:t>
      </w:r>
      <w:hyperlink r:id="rId242" w:history="1">
        <w:r>
          <w:rPr>
            <w:rFonts w:ascii="arial" w:eastAsia="arial" w:hAnsi="arial" w:cs="arial"/>
            <w:i/>
            <w:color w:val="0077CC"/>
            <w:sz w:val="20"/>
            <w:u w:val="single"/>
            <w:shd w:val="clear" w:color="auto" w:fill="FFFFFF"/>
            <w:lang w:val="en-US" w:eastAsia="en-US" w:bidi="ar-SA"/>
          </w:rPr>
          <w:t>[2000] S.C.J. No. 54</w:t>
        </w:r>
      </w:hyperlink>
      <w:r>
        <w:rPr>
          <w:rFonts w:ascii="arial" w:eastAsia="arial" w:hAnsi="arial" w:cs="arial"/>
          <w:color w:val="000000"/>
          <w:sz w:val="20"/>
          <w:lang w:val="en-US" w:eastAsia="en-US" w:bidi="ar-SA"/>
        </w:rPr>
        <w:t>. Undoubtedly, the strong positions taken, and tactics employed, by each side during the course of that litigation (including the commencement of this litigation) contributed to what can now only be described as a poisonous atmosphere. This has been fed by the cancer of the anger and frustration of the Band on the one hand at being obliged to accept what it considers to be significantly less than fair rent and, on the other hand, the anger, frustration, and fear of the leaseholders at seeing their property values plummet, their security threatened, and their ability to sell their homes and assign their leases virtually (for the present at least) disappear.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Following are some of the factors which have contributed to the present unhappy state of relations between the parties to this law suit. According to one of the leaseholders, Ms. Kerry-Lynne Chapman, the leaseholders commenced efforts to negotiate with the Crown in 1991. The Band insists it made efforts to negotiate. The leaseholders deny this, saying their attempts to negotiate with the Band proved fruitless as the Band rejected all of their offers and proposed no counter-offers. Apparently, however, the Crown refused to take part in negotiations. That makes some sense given the Minister's assignment of certain managerial responsibilities to the Chief and Councillors of the Band in October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1994, the Band sent letters to all of the leaseholders, demanding substantially increased rent. The leaseholders refused to pay rents at the level demanded by the Band. None of the leaseholders made any payments to the Band for rental for the period commencing June 8, 1995 until after judgment of the Federal Court, Trial Division. By that time, three years' rental was outstanding. Of those leaseholders that are plaintiffs in this action, all but the plaintiff Janes paid all three years' rent in either December 1997 or January 1998 (the plaintiff Ziemba was then $540 short).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 June 17, 1999, the First Nations Land Management Act, </w:t>
      </w:r>
      <w:hyperlink r:id="rId243" w:history="1">
        <w:r>
          <w:rPr>
            <w:rFonts w:ascii="arial" w:eastAsia="arial" w:hAnsi="arial" w:cs="arial"/>
            <w:i/>
            <w:color w:val="0077CC"/>
            <w:sz w:val="20"/>
            <w:u w:val="single"/>
            <w:shd w:val="clear" w:color="auto" w:fill="FFFFFF"/>
            <w:lang w:val="en-US" w:eastAsia="en-US" w:bidi="ar-SA"/>
          </w:rPr>
          <w:t>S.C. 1999, c. 24</w:t>
        </w:r>
      </w:hyperlink>
      <w:r>
        <w:rPr>
          <w:rFonts w:ascii="arial" w:eastAsia="arial" w:hAnsi="arial" w:cs="arial"/>
          <w:color w:val="000000"/>
          <w:sz w:val="20"/>
          <w:lang w:val="en-US" w:eastAsia="en-US" w:bidi="ar-SA"/>
        </w:rPr>
        <w:t>, received royal assent. This legislation followed a framework agreement on First Nations Land Management that was concluded between the Crown and certain First Nations in February 1996. That Act provides for Bands (or First Nations) to adopt a land code to exercise, inter alia, the powers, rights and privileges of an owner in relation to its land (s. 18(1)(a)).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June 8, 1999, none of the plaintiffs paid either the increased rent by then set by the Federal Court of Appeal, the rent at the level that had been set by the Federal Court, Trial Division or, for that matter, even at the level that had been in effect prior to September 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September 20, 1999, the Crown demanded payment by October 25, 1999 of the outstanding rents payable under the leases at the level set by the Federal Court of Appeal. Subsequently, by letter dated October 20, 1999, the Crown then agreed to accept, on an interim basis, the outstanding rents at the level set by the Federal Court, Trial Division on certain conditions. These were: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Payment of interest on the amount of the outstanding lease payment pursuant to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undertaking by each leaseholder to make the annual lease payments as set by the Federal Court - Trial Division as and when due pending the final decision of the courts;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posting of irrevocable security to secure the difference between a rental set by the Federal Court - Trial Division and the Federal Court of Appeal;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Provision of a consent judgment to the Crown to be held as security for the performance of all of the above conditions failing which it would be open to the Crown to file and enforce the judgment. The judgment would be a recognition on the part of the individual leaseholders that he or she was in breach of his or her lease and that it was terminated by his or her actions and that the Crown would thereby get an order repossessing the leasehold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Perhaps not surprisingly, this further offer by the Crown was rejected by the leaseholders without (at that point at least) a counter-offer. Some time later, the leaseholders did offer to provide mortgages over their properties for the amount of all of the outstanding rent but that was, equally understandably,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Crown's offer to accept interim rent gave the leaseholders until October 29, 1999 to reply. On that date, the plaintiffs commenced action number C995669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November 8, 1999, the Band, through their counsel, wrote to the leaseholders, through their representative, with a modified interim rent proposal which was also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December 8, 1999 the writ in action number C995669 was amended, but no statement of claim has been filed. On that same date, the plaintiffs in this action commenced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amended writ of summons filed in action number C995669 includes the following allegations: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wrongfully assigned authority to the Band, Band Council and Band members to approve the assignment of leases contrary to s. 54 of the Indian Act, thereby rendering the assignments not approved by the Minister null and void (Writ of Summons, subparagraph 26(a));</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and the Minister wrongfully delegated management and administration of the leases in 1980 and thereafter to the Band or others (Writ of Summons, subparagraph 26(b));</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and the Minister wrongfully assigned their obligations under the leases to the Band and others (Writ of Summons, subparagraph 26(c));</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wrongfully empowered the Band and others to exercise powers of property assessment, taxation, sanction, and re-entry on the lands in the case of default of payment (Writ of Summons, subparagraphs 26(d), (e), (g));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wrongfully delegated or assigned to the Band or others his obligation to negotiate the periodic rent renewal in good faith (Writ of Summons, subparagraph 26(j);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the Minister, other Ministers of the Crown, the Band, Band Council and Band members wrongfully entered into and supported a Framework Agreement in 1996 and the "imposition" of the First [Nations] Land Management Act, 1999 (Writ of Summons, subparagraph 26(1)).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amended statement of claim filed in this action (No. A993244) includes the following allegations:</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and the Minister wrongfully empowered the Band and others to exercise powers of property assessment and taxation over the Plaintiffs' leasehold interests (Amended Statement of Claim, paragraph 23);</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and the Crown wrongfully assigned authority to the Band, Band Council, various Band members, and Crown employees to approve assignments of leases (Amended Statement of Claim, paragraph 29);</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the Band and the Band Council wrongfully agreed to "impose" on the Plaintiffs the First Nations Land Management Act (Amended Statement of Claim, paragraphs 33, 34);</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and the Minister wrongfully assigned the obligations of the Crown, including management and administration of the Leases to the Band and the Band Council and others (Amended Statement of Claim, paragraph 36);</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and the Minister breached a duty of good faith owed to the Plaintiffs (Amended Statement of Claim, paragraphs 40 to 43);</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others conspired to create a climate of uncertainty with respect to the plaintiffs' leasehold interests so that they would become worthless (Amended Statement of Claim, paragraphs 44 to 47); and</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including the Crown and the Minister, breached the Plaintiffs' Charter rights (Amended Statement of Claim, paragraphs 48,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action seeks basically the same relief as action C995669 except that only 11 of the plaintiffs in action number C995669 are plaintiffs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December 9, 1999, leave to appeal the decision of the Federal Court of Appeal in the rental action was granted to the leaseholders by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 January 18, 2000, the Band filed an application in the Supreme Court of Canada seeking a declaration that no automatic stay of the decision of the Federal Court of Appeal would arise by virtue of s. 65 of the Supreme Court Act, </w:t>
      </w:r>
      <w:hyperlink r:id="rId240" w:history="1">
        <w:r>
          <w:rPr>
            <w:rFonts w:ascii="arial" w:eastAsia="arial" w:hAnsi="arial" w:cs="arial"/>
            <w:i/>
            <w:color w:val="0077CC"/>
            <w:sz w:val="20"/>
            <w:u w:val="single"/>
            <w:shd w:val="clear" w:color="auto" w:fill="FFFFFF"/>
            <w:lang w:val="en-US" w:eastAsia="en-US" w:bidi="ar-SA"/>
          </w:rPr>
          <w:t>R.S.C. 1985, c. S-26</w:t>
        </w:r>
      </w:hyperlink>
      <w:r>
        <w:rPr>
          <w:rFonts w:ascii="arial" w:eastAsia="arial" w:hAnsi="arial" w:cs="arial"/>
          <w:color w:val="000000"/>
          <w:sz w:val="20"/>
          <w:lang w:val="en-US" w:eastAsia="en-US" w:bidi="ar-SA"/>
        </w:rPr>
        <w:t xml:space="preserve"> (I need not set out that section here). The following day the leaseholders agreed, through their counsel, that s. 65 of the Supreme Court Act did not create a stay. The leaseholders apparently represented to the Supreme Court of Canada through their counsel that they would shortly make the outstanding lease payments for 1999 at the rate set by the Federal Court, Trial Division. These plaintiffs, at least,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of importance, in my view, that at the commencement of the trial in the Federal Court, Trial Division to establish the current land values, and thus rental rates of the leased lands, then counsel for the leaseholders made it plain to the court that no issue was being taken with the validity or propriety of the leases. Specifically,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case, we say, has a narrow focus. It turns on the interpretation and application of the rent review formula set out in the master agreement and repeated in each of the leases. I stop here parenthetically. It has nothing to do with Charter rights, the rights of women or publication bans at all. It's an agreement that was entered into by two contracting parties and on the -- and there is no evidence, and there will be no evidence to suggest anything other than this. Both parties were well represented, received good advice, neither were disadvantaged, and the issue is what was the intention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case proceeded through to the Supreme Court of Canada on this same understanding. That court, as noted earlier, rendered its decision on November 9, 2000. It is worth observing here that the Chief Justice, as a preface to her dissent, observed, at para.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case requires us to interpret a lease. The parties entered into the contract voluntarily and with counsel. Thus our only task is to interpret their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March 13, 2000, the Band filed a counter-claim in this action seeking, amongst other relief, forfeiture of the plaintiffs' leases. It is not disputed that, at that time, all of the plaintiffs were in arrears and that none had paid any rent on June 8, 1999 (either according to that level at which they had paid for the ten year period preceding June 8, 1995, the level set by the Federal Court, Trial Division, or the level set by the Federal Court of Appeal) nor had they reached any compromise with the Band or the Crown with respect to conditions under which they should not pay rent. I note that the leaseholders apparently did not dispute in either the Federal Court of Appeal or the Supreme Court of Canada the rent set by the Federal Court, Trial Division but, rather, sought to uphold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Subsequent to the decision of the Supreme Court of Canada, all of the plaintiffs paid their rent that had been due on June 8, 2000 within a matter of weeks. Most had earlier paid the rent due June 8, 1999 at the level set by the Federal Court, Trial Division. In the case of the plaintiffs Janes, that meant a lump sum payment for the years 1995 to 2000 inclusive.</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BAND'S RULE 18A APPLICATION FOR FORFEITURE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issues raised on this application are as follows:</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Band have standing to apply for and obtain declarations that the plaintiffs' leases are forfeit to the Crown?</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is the Band entitled to declarations of forfeiture? In that respect, is the Band estopped from obtaining such declarations by virtue of the Crown itself being estopped from doing so?</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Band's right to obtain forfeiture been waived? and</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Band is entitled to declarations that the plaintiffs' leases are forfeit to the Crown, are the plaintiffs (or some of them) entitled to relief from forfeiture? If so, should this relief be subject to conditions?</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assignments of lease held by the plaintiffs are all subject to the terms of the head lease in each instance made between the Crown and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Those head leases, dated May 16, 1966, specifically mention s. 53 of the Indian Act as the authority of the Minister to enter into the lease. Paragraph 10 of each lease provides that the lessee may assign the lease on certain conditions. Those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54 of the Indian Act, the Lessee may, in respect of the whole of the land hereby demised, assign and/or mortgage the whole of the term of this Lease, if,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rights of the Minister are not affected as against the Lessee under any and all terms of this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leases further provide in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Lessee, or any assignee of the Lessee, shall at any time during the term 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file a petition in bankruptcy or make an assignment for the benefit of creditors;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adjudicated a bankrupt or insolvent;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file any petition or institute any proceedings under any bankruptcy or insolvency Act seeking to effect a reorganization or a composition;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be subject to the appointment of a receiver or trustee in bankruptcy who is not discharged within one hundred and twenty (120) days from the date of such appointment;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have its interest in the Lease created hereunder seized in execution or by a process of law and not released within one hundred and twenty (120) days from the date of such seizure provided that the mere filing of a Writ of Execution or a Writ of Extent with a Sheriff shall not be considered a seizure for the purposes of this provision;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fail to pay the rent reserved hereunder within thirty (30) days after being payable, whether formally demanded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fail to pay municipal taxes to the City of Vancouver within ninety-two (92) days of the mailing of the tax notice by the City of Vancouver;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fail to perform or observe any covenant contained in this Agreement or it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the Minister or his agent may re-enter the lands or any portion thereof and thereafter have, possess and enjoy them as if this lease had not been made, PROVIDED HOWEVER that before re-entry, the Minister will give written notice of such re-entry to any mortgagee, if any, of the Lessee's interest hereunder, that has been designated by the Lessee and of which the Minister has notice and the notice to the mortgagee will give such mortgagee the right exercisable, within one hundred and twenty (120) days from the receipt thereof to require the Minister to lease the lands to the Mortgagee on the same terms and conditions as are herein contained and for the balance of the term 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leases further provide:</w:t>
      </w:r>
      <w:r>
        <w:rPr>
          <w:rFonts w:ascii="arial" w:eastAsia="arial" w:hAnsi="arial" w:cs="arial"/>
          <w:sz w:val="20"/>
          <w:lang w:val="en-US" w:eastAsia="en-US" w:bidi="ar-SA"/>
        </w:rPr>
        <w:cr/>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waiver by the Minister of any breach of covenant hereunder shall be a waiver of any succeeding breach of the same covenant.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remedy herein conferred upon or reserved to the Minister is intended to be exclusive of any other remedy herein or by law provided, but such remedies shall be cumulative and shall be in addition to every other remedy given hereunder or now or hereafter existing at law or in equity or by statute.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is of the essence of this Lease, and of all provisions 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Thus, as the most recent assignees of the Company as lessees under the relevant head leases, the plaintiffs are taken to know that their lease was an arrangement entered into under s. 53 of the Act. In 1966, 1980 and presently, s. 53 of the Indian Act has always provided the Minister with the power to appoint "a person" to exercise certain of her or his authority or responsibility with respect to these leased lands. There is no evidence that the Minister has, to this point in time, revoked the appointment of the Chief and Council of the Band as his appointee for the purposes of leasing and managing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appointment granted by the Minister on October 6, 1980 "with respect to the signing of leases, rights of way, easements and licences of occupation" is a fairly straight forward statement of specific authority. However, what does the appointment of the authority "to manage" encompass?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Oxford English Dictionary, vol. VIX, 2d ed., (Oxford: Clarendon Press, 1989) at 292 defines the word "manage"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control and direct the affairs of (a household, institution, state,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Black's Law Dictionary, 6th ed. (St. Paul, Minn.: West Publishing Co., 1990) at 960 gives a similar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control and direct, to administer, to take charge of. To conduct; to carry on the concerns of a business or establishment. Generally applied to affairs that are somewhat complicated and that involve skill and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York Condominium Corp. No. 104 v. Supreme Automatic Washing Machine Co. </w:t>
      </w:r>
      <w:hyperlink r:id="rId244" w:history="1">
        <w:r>
          <w:rPr>
            <w:rFonts w:ascii="arial" w:eastAsia="arial" w:hAnsi="arial" w:cs="arial"/>
            <w:i/>
            <w:color w:val="0077CC"/>
            <w:sz w:val="20"/>
            <w:u w:val="single"/>
            <w:shd w:val="clear" w:color="auto" w:fill="FFFFFF"/>
            <w:lang w:val="en-US" w:eastAsia="en-US" w:bidi="ar-SA"/>
          </w:rPr>
          <w:t>(1978), 18 O.R. (2d) 596</w:t>
        </w:r>
      </w:hyperlink>
      <w:r>
        <w:rPr>
          <w:rFonts w:ascii="arial" w:eastAsia="arial" w:hAnsi="arial" w:cs="arial"/>
          <w:color w:val="000000"/>
          <w:sz w:val="20"/>
          <w:lang w:val="en-US" w:eastAsia="en-US" w:bidi="ar-SA"/>
        </w:rPr>
        <w:t xml:space="preserve"> (Ont.H.C.J.) Mr. Justice Reid concluded that "leasing" fell within the definition of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R. v. Joseph (23 October 1985), Vancouver Registry, C851192 (B.C.S.C.), </w:t>
      </w:r>
      <w:hyperlink r:id="rId245" w:history="1">
        <w:r>
          <w:rPr>
            <w:rFonts w:ascii="arial" w:eastAsia="arial" w:hAnsi="arial" w:cs="arial"/>
            <w:i/>
            <w:color w:val="0077CC"/>
            <w:sz w:val="20"/>
            <w:u w:val="single"/>
            <w:shd w:val="clear" w:color="auto" w:fill="FFFFFF"/>
            <w:lang w:val="en-US" w:eastAsia="en-US" w:bidi="ar-SA"/>
          </w:rPr>
          <w:t>[1985] B.C.J. No. 651</w:t>
        </w:r>
      </w:hyperlink>
      <w:r>
        <w:rPr>
          <w:rFonts w:ascii="arial" w:eastAsia="arial" w:hAnsi="arial" w:cs="arial"/>
          <w:color w:val="000000"/>
          <w:sz w:val="20"/>
          <w:lang w:val="en-US" w:eastAsia="en-US" w:bidi="ar-SA"/>
        </w:rPr>
        <w:t>, Judge Catliff (as he then was) considered "management" in the context of s. 81(o) of the Indian Act which authorized the Squamish Band Council to make bylaws for the purpose of the preservation, protection and management of fish on its reserve. After reviewing a number of definitions of management, Judge Catliff concluded, at para. 11, that the common thread running through those definitions was "the concept of management as direction or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That the Crown intended by the Minister's appointment of the Band and Councillors under s. 53 of the Indian Act to have a broad power of management and authority is evidenced in a number of ways. The Minister approved the Band's right to make a bylaw for the purpose of raising money by assessment and taxation. This approval was given pursuant to s. 83 of the Indian Act which provides that such approval can be given "where the Governor in Council declares that a Band has reached an advanced stage of development". (In other words, when the Crown has sufficient confidence in the maturity and responsibility of such a Band.) Further, that the Crown intended the management responsibilities of the Chief and Council of the Band to be more than perfunctory duties such as the approval of assignments of leases (a responsibility listed separately) is illustrated by the hands-off approach taken by the Crown during the negotiations or exchanges between the leaseholders and the Band with respect to trying to determine the renewal rent effective June 8, 1995. Undoubtedly, this was a significant responsibility in the scope of the management of the leases and not one that I would categorize as of lesser importance than the responsibility or authority to enforce non-payment of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the context of this discussion, the Indian Self Government Enabling Act, </w:t>
      </w:r>
      <w:r>
        <w:rPr>
          <w:rFonts w:ascii="arial" w:eastAsia="arial" w:hAnsi="arial" w:cs="arial"/>
          <w:i/>
          <w:color w:val="000000"/>
          <w:sz w:val="20"/>
          <w:lang w:val="en-US" w:eastAsia="en-US" w:bidi="ar-SA"/>
        </w:rPr>
        <w:t>R.S.B.C. 1996, c. 219</w:t>
      </w:r>
      <w:r>
        <w:rPr>
          <w:rFonts w:ascii="arial" w:eastAsia="arial" w:hAnsi="arial" w:cs="arial"/>
          <w:color w:val="000000"/>
          <w:sz w:val="20"/>
          <w:lang w:val="en-US" w:eastAsia="en-US" w:bidi="ar-SA"/>
        </w:rPr>
        <w:t>, was enacted by the provincial government to ensure that, among other things, where an Indian band had been given the right to levy its own taxes the result would not be double taxation. Clearly, at the time the head leases were signed in 1966, the Band did not have the power to tax and the leaseholders were not excused from paying tax to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the other hand, (and I find this to be significant), it was not the Chief and Councillors who gave notice of default to the plaintiffs, but rather the Crown "in consultation with the Band" on September 20, 1999. If the Chief and Councillors had understood the scope of their responsibilities to manage as including giving such notices of default, I find it highly improbable that they would not have done so themselves. In other words, this action of the Band demonstrates that it was implicitly understood by both the Crown and the Band that the appointment of the Chief and Councillors to "manage" (however ill defined that was in the letter of appointment) had its limits. I may well have taken a different view had the Chief and Councillors assumed, without objection from the Crown, this responsibility. That, however, was not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Chief and Councillors, as the lawful appointee of the Minister pursuant to s. 53 of the Indian Act, are not strangers to the contracts of lease. Although they were not appointed at the time the head leases were created, that lease, and all subsequent assignments by virtue of the terms of the head leases being subsumed into the assignments, recognized the rights of the Minister and that the authority for the creation of the head leases was grounded in s. 53 of the Indian Act. I agree with the submission of Mr. Roberts that the Chief and Councillors, having been appointed to act in place of the Minister, therefore have the same powers as the Minister with respect to the leases, although only within the scope of the appointment. That is, it was open to the Minister, in his discretion, to make an appointment that was narrow or broad in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argument, Mr. Sugden raised the point that the document by which the Band surrendered the 40 acres to the Crown provided that the Crown could decide the terms upon which the lands were to be leased, subject only to its obligation to remit rental income to the Band. That is exactly what the Crown has done by the action of the Minister appointing the Chief and Councillors of the Band to manage the lands. The Minister has appointed the Chief and Councillors to carry out certain of his powers under s. 53 of the Indian Act. Presumably, at some point, a Minister can revoke or alter the powers of appointment. There is no evidence of that having taken place, however, and so I must interpret the scope of the powers to manage in light of the actions taken by both the Chief and Councillors and the Crown pursuant to the appointment. I conclude that it is probable that it was not intended by the appointment of May 16, 1980 to confer on the Chief and Council the responsibility, and authority, to maintain proceedings against defaulting leaseholders for declarations for forfeiture and that the Chief and Councillors do not have such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these circumstances, I do not accept that the Band has a parallel or independent right to institute proceedings for forfeiture against the leaseholders as either the beneficiary of a trust or as landowners ultimately entitled to possession. The relationship between the Crown, the Band and the leaseholders with respect to the leased lands is defined in the contracts I have discussed above. Further, while the Crown did not pursue a counterclaim against the leaseholders in this action, there is nothing to suggest that it could not pursue the remedy of forfeiture or any other remedy to enforce the leases in other ways or in other actions. In fact, the Crown has done just that. The Band may wish the Crown had proceeded otherwise, but that is surely a matter between the Crown and the Band. The Band has not demonstrated that the Crown has failed to act in its best interests in the sense that would entitle it to initiate independent proceedings against the leaseholders.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This is not a situation such as that in Joe et al v. Findlay et al </w:t>
      </w:r>
      <w:hyperlink r:id="rId246" w:history="1">
        <w:r>
          <w:rPr>
            <w:rFonts w:ascii="arial" w:eastAsia="arial" w:hAnsi="arial" w:cs="arial"/>
            <w:i/>
            <w:color w:val="0077CC"/>
            <w:sz w:val="20"/>
            <w:u w:val="single"/>
            <w:shd w:val="clear" w:color="auto" w:fill="FFFFFF"/>
            <w:lang w:val="en-US" w:eastAsia="en-US" w:bidi="ar-SA"/>
          </w:rPr>
          <w:t>(1980), 109 D.L.R. (3d) 747</w:t>
        </w:r>
      </w:hyperlink>
      <w:r>
        <w:rPr>
          <w:rFonts w:ascii="arial" w:eastAsia="arial" w:hAnsi="arial" w:cs="arial"/>
          <w:color w:val="000000"/>
          <w:sz w:val="20"/>
          <w:lang w:val="en-US" w:eastAsia="en-US" w:bidi="ar-SA"/>
        </w:rPr>
        <w:t xml:space="preserve"> (B.C.S.C.), </w:t>
      </w:r>
      <w:hyperlink r:id="rId247" w:history="1">
        <w:r>
          <w:rPr>
            <w:rFonts w:ascii="arial" w:eastAsia="arial" w:hAnsi="arial" w:cs="arial"/>
            <w:i/>
            <w:color w:val="0077CC"/>
            <w:sz w:val="20"/>
            <w:u w:val="single"/>
            <w:shd w:val="clear" w:color="auto" w:fill="FFFFFF"/>
            <w:lang w:val="en-US" w:eastAsia="en-US" w:bidi="ar-SA"/>
          </w:rPr>
          <w:t>(1981) 122 D.L.R. (3d) 377</w:t>
        </w:r>
      </w:hyperlink>
      <w:r>
        <w:rPr>
          <w:rFonts w:ascii="arial" w:eastAsia="arial" w:hAnsi="arial" w:cs="arial"/>
          <w:color w:val="000000"/>
          <w:sz w:val="20"/>
          <w:lang w:val="en-US" w:eastAsia="en-US" w:bidi="ar-SA"/>
        </w:rPr>
        <w:t xml:space="preserve"> (B.C.C.A.). In that case, the question was whether a band had the right to take action in trespass against a member of the band in circumstances where the Crown had declined to participate as a plaintiff in the action. At the trial level, Mr. Justice Wallace (as he then was) concluded that it did. However, the action concerned unallotted reserve lands and, as noted, unlike this case, the Crown had declined to do anything. Neither factor is present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therefore conclude that the Chief and Councillors do not have standing to ask for or obtain the relief sought in this application for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view of that conclusion, I have determined that it is not necessary that I ask counsel for their submissions on the question of whether the actual party seeking relief, the Band, is, in fact, the proper party in that the power of appointment was given to "the Chief and Councillors" of the Band. It may be that counsel would have agreed that this is a technicality that is of no moment. On the other hand, it may have been regarded of some significance if I had come to the opposite conclusion (although clearly no argument on the point was made before me).</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view of my conclusion, it is not necessary that I determine the other issues raised on this application as enumerated in para. 31.</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PURSUANT TO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Rule 19(24)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Rule 19(27)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Hunt v. Carey Can.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Madam Justice Wilson noted as follows at 979: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this court has had a somewhat limited opportunity to consider how the rules regarding the striking out of a statement of claim are to be applied, it has nonetheless consistently upheld the "plain and obvious" test. Justice Estey, speaking for the court in Attorney General of Canada v. Inuit Tapirisat of Can., </w:t>
      </w:r>
      <w:hyperlink r:id="rId248"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 stated at p. 740: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I have said, all the facts pleaded in the statement of claim must be deemed to have been proven. On a motion such as this a court should, of course, dismiss the action or strike out any claim made by the plaintiff only in plain and obvious cases and where the court is satisfied that "the case is beyond doubt": Ross v. Scottish Union and National Insurance Co.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had occasion to affirm this proposition in Operation Dismantle Inc. v. The Queen, </w:t>
      </w:r>
      <w:hyperlink r:id="rId51"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At pages 486-87 I provided the following summary of the law in this area (with which the rest of the court concurred):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then would appear to be clear. The facts pleaded are to be taken as proved. When so taken, the question is do they disclose a reasonable cause of action, i.e. a causae of action "with some chance of success" (Drummond-Jackson v. British Medical Association, [1970] 1 All.E.R. 1094) or, as Le Dain J. put it in Dowson v. Government of Canada </w:t>
      </w:r>
      <w:hyperlink r:id="rId249" w:history="1">
        <w:r>
          <w:rPr>
            <w:rFonts w:ascii="arial" w:eastAsia="arial" w:hAnsi="arial" w:cs="arial"/>
            <w:i/>
            <w:color w:val="0077CC"/>
            <w:sz w:val="20"/>
            <w:u w:val="single"/>
            <w:shd w:val="clear" w:color="auto" w:fill="FFFFFF"/>
            <w:lang w:val="en-US" w:eastAsia="en-US" w:bidi="ar-SA"/>
          </w:rPr>
          <w:t>(1981), 37 N.R. 127</w:t>
        </w:r>
      </w:hyperlink>
      <w:r>
        <w:rPr>
          <w:rFonts w:ascii="arial" w:eastAsia="arial" w:hAnsi="arial" w:cs="arial"/>
          <w:color w:val="000000"/>
          <w:sz w:val="20"/>
          <w:lang w:val="en-US" w:eastAsia="en-US" w:bidi="ar-SA"/>
        </w:rPr>
        <w:t xml:space="preserve"> (F.C.A.), at p. 138, is it "plain and obvious that the action cannot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p. 477 I observed: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would seem then that as a general principle the Courts will be hesitant to strike out a statement of claim as disclosing no reasonable cause of action. The fact that reaching a conclusion on this preliminary issue requires lengthy argument will not be determinative of the matter nor will the novelty of the cause of action militate against the plaintiffs. [emphasis added (by Wilson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Most recently, in Dumont v. Can. (A.G.), </w:t>
      </w:r>
      <w:hyperlink r:id="rId250" w:history="1">
        <w:r>
          <w:rPr>
            <w:rFonts w:ascii="arial" w:eastAsia="arial" w:hAnsi="arial" w:cs="arial"/>
            <w:i/>
            <w:color w:val="0077CC"/>
            <w:sz w:val="20"/>
            <w:u w:val="single"/>
            <w:shd w:val="clear" w:color="auto" w:fill="FFFFFF"/>
            <w:lang w:val="en-US" w:eastAsia="en-US" w:bidi="ar-SA"/>
          </w:rPr>
          <w:t>[1990] 1 S.C.R. 279</w:t>
        </w:r>
      </w:hyperlink>
      <w:r>
        <w:rPr>
          <w:rFonts w:ascii="arial" w:eastAsia="arial" w:hAnsi="arial" w:cs="arial"/>
          <w:color w:val="000000"/>
          <w:sz w:val="20"/>
          <w:lang w:val="en-US" w:eastAsia="en-US" w:bidi="ar-SA"/>
        </w:rPr>
        <w:t>, I made it clear at p. 280 that it was my view that the test set out in Inuit Tapirisat was the correct test. The test remained whether the outcome of the case was "plain and obvious" or "beyond reasonable doubt".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 19(24)(a) of the British Columbia Rules of Court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 19(24) of the British Columbia Rules of Court should the relevant portions of a plaintiff's statement of claim be struck out under R.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It is useful to point out here that Mr. Justice Drossos in Berscheid v. Ensign (4 May 1999), Kelowna Registry, 38987 (B.C.S.C.), </w:t>
      </w:r>
      <w:hyperlink r:id="rId251"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underscored that the rule that facts pleaded are to be taken as proved applies solely to an application under Rule 19(24)(a) and not to the remainder of the subsections of that rule. At para. 38 of his reasons, however, he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World Wide Treasure Adventures Inc. v. Trivia Games Inc. </w:t>
      </w:r>
      <w:hyperlink r:id="rId53" w:history="1">
        <w:r>
          <w:rPr>
            <w:rFonts w:ascii="arial" w:eastAsia="arial" w:hAnsi="arial" w:cs="arial"/>
            <w:i/>
            <w:color w:val="0077CC"/>
            <w:sz w:val="20"/>
            <w:u w:val="single"/>
            <w:shd w:val="clear" w:color="auto" w:fill="FFFFFF"/>
            <w:lang w:val="en-US" w:eastAsia="en-US" w:bidi="ar-SA"/>
          </w:rPr>
          <w:t>(1996), 17 B.C.L.R. (3d) 187</w:t>
        </w:r>
      </w:hyperlink>
      <w:r>
        <w:rPr>
          <w:rFonts w:ascii="arial" w:eastAsia="arial" w:hAnsi="arial" w:cs="arial"/>
          <w:color w:val="000000"/>
          <w:sz w:val="20"/>
          <w:lang w:val="en-US" w:eastAsia="en-US" w:bidi="ar-SA"/>
        </w:rPr>
        <w:t xml:space="preserve"> (B.C.C.A.), the Court of Appeal held that on an application to strike on the basis of res judicata under Rule 19(24)(d), the action should be struck if plain and obvious that the doctrine of res judicata applies, but if not plain and obvious, the action should proceed to trial or summary trial 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With respect to abuse of process and frivolous and vexatious proceedings, Master Patterson had the following to say in Bott v. Sorley (20 April 1988), Vancouver Registry, C975766 (B.C.S.C.), </w:t>
      </w:r>
      <w:hyperlink r:id="rId252" w:history="1">
        <w:r>
          <w:rPr>
            <w:rFonts w:ascii="arial" w:eastAsia="arial" w:hAnsi="arial" w:cs="arial"/>
            <w:i/>
            <w:color w:val="0077CC"/>
            <w:sz w:val="20"/>
            <w:u w:val="single"/>
            <w:shd w:val="clear" w:color="auto" w:fill="FFFFFF"/>
            <w:lang w:val="en-US" w:eastAsia="en-US" w:bidi="ar-SA"/>
          </w:rPr>
          <w:t>[1998] B.C.J. No. 920</w:t>
        </w:r>
      </w:hyperlink>
      <w:r>
        <w:rPr>
          <w:rFonts w:ascii="arial" w:eastAsia="arial" w:hAnsi="arial" w:cs="arial"/>
          <w:color w:val="000000"/>
          <w:sz w:val="20"/>
          <w:lang w:val="en-US" w:eastAsia="en-US" w:bidi="ar-SA"/>
        </w:rPr>
        <w:t xml:space="preserve">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ample authority for the proposition that the court may act to prevent the abuse of its process, but the power should be exercised sparingly. Windsor Construction (1962) Ltd. v. International Union of Operating Engineers Local 115 et al. </w:t>
      </w:r>
      <w:hyperlink r:id="rId253" w:history="1">
        <w:r>
          <w:rPr>
            <w:rFonts w:ascii="arial" w:eastAsia="arial" w:hAnsi="arial" w:cs="arial"/>
            <w:i/>
            <w:color w:val="0077CC"/>
            <w:sz w:val="20"/>
            <w:u w:val="single"/>
            <w:shd w:val="clear" w:color="auto" w:fill="FFFFFF"/>
            <w:lang w:val="en-US" w:eastAsia="en-US" w:bidi="ar-SA"/>
          </w:rPr>
          <w:t>(1968), 1 D.L.R. (3d) 683</w:t>
        </w:r>
      </w:hyperlink>
      <w:r>
        <w:rPr>
          <w:rFonts w:ascii="arial" w:eastAsia="arial" w:hAnsi="arial" w:cs="arial"/>
          <w:color w:val="000000"/>
          <w:sz w:val="20"/>
          <w:lang w:val="en-US" w:eastAsia="en-US" w:bidi="ar-SA"/>
        </w:rPr>
        <w:t>. Actions that are clearly frivolous or vexatious are an abuse of process. An action is said to be vexatious if the party bringing the action is not acting bona fide, and wishes to embarrass and annoy his opponent.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Although this decision was reversed (27 August 1998), Vancouver Registry, C975766 (B.C.S.C.), </w:t>
      </w:r>
      <w:hyperlink r:id="rId254" w:history="1">
        <w:r>
          <w:rPr>
            <w:rFonts w:ascii="arial" w:eastAsia="arial" w:hAnsi="arial" w:cs="arial"/>
            <w:i/>
            <w:color w:val="0077CC"/>
            <w:sz w:val="20"/>
            <w:u w:val="single"/>
            <w:shd w:val="clear" w:color="auto" w:fill="FFFFFF"/>
            <w:lang w:val="en-US" w:eastAsia="en-US" w:bidi="ar-SA"/>
          </w:rPr>
          <w:t>[1998] B.C.J. No. 2023</w:t>
        </w:r>
      </w:hyperlink>
      <w:r>
        <w:rPr>
          <w:rFonts w:ascii="arial" w:eastAsia="arial" w:hAnsi="arial" w:cs="arial"/>
          <w:color w:val="000000"/>
          <w:sz w:val="20"/>
          <w:lang w:val="en-US" w:eastAsia="en-US" w:bidi="ar-SA"/>
        </w:rPr>
        <w:t>, this statement of law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Babavic v. Babowech, (3 September 1993), Vancouver Registry, C931968 (B.C.S.C.), </w:t>
      </w:r>
      <w:hyperlink r:id="rId255"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at para. 18, Madam Justice Baker noted as follows with respect to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categories of abuse of process are open. Abuse of process may be found where proceedings involve a deception on the court or constitute a mere sham; where the process of the court is not being fairly or honestly used, or is employed for some ulterior or improper purpose; proceedings which are without foundation or serve no useful purpose and multiple or successive proceedings which cause or are likely to cause vexation or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essence, the argument that an action is res judicata is part of the concept of abuse of process of the court contained in Rule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With respect to res judicata, the following helpful discussion takes places at pp. 64-65 of the judgment of Mr. Justice Carrothers of our Court of Appeal in Lehndorff Management Ltd. v. L.R.S. Development Enterprises Ltd. </w:t>
      </w:r>
      <w:hyperlink r:id="rId256"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problem [the defence of res judicata] is not new. In 1843 Vice-Chancellor Wigram had this to say about it, as settled law at that distant time, in Henderson v. Henderson (1843), 3 Hare 100 at 114-15, 67 E.R. 313 at 319: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I state the rule of the Court correctly when I say that, where a given matter becomes the subject of litigation in, and of adjudication by, a Court of competent jurisdiction, the Court requires the parties to that litigation to bring forward their whole case, and will not (</w:t>
      </w:r>
      <w:r>
        <w:rPr>
          <w:rFonts w:ascii="arial" w:eastAsia="arial" w:hAnsi="arial" w:cs="arial"/>
          <w:b/>
          <w:color w:val="000000"/>
          <w:sz w:val="20"/>
          <w:lang w:val="en-US" w:eastAsia="en-US" w:bidi="ar-SA"/>
        </w:rPr>
        <w:t>except under special circumstances</w:t>
      </w:r>
      <w:r>
        <w:rPr>
          <w:rFonts w:ascii="arial" w:eastAsia="arial" w:hAnsi="arial" w:cs="arial"/>
          <w:color w:val="000000"/>
          <w:sz w:val="20"/>
          <w:lang w:val="en-US" w:eastAsia="en-US" w:bidi="ar-SA"/>
        </w:rPr>
        <w:t xml:space="preserve">) permit the same parties to open the same subject of litigation in respect of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inadvertence, or even accident, omitted part of their case. The plea of res judicata applies, </w:t>
      </w:r>
      <w:r>
        <w:rPr>
          <w:rFonts w:ascii="arial" w:eastAsia="arial" w:hAnsi="arial" w:cs="arial"/>
          <w:b/>
          <w:color w:val="000000"/>
          <w:sz w:val="20"/>
          <w:lang w:val="en-US" w:eastAsia="en-US" w:bidi="ar-SA"/>
        </w:rPr>
        <w:t>except in special cases</w:t>
      </w:r>
      <w:r>
        <w:rPr>
          <w:rFonts w:ascii="arial" w:eastAsia="arial" w:hAnsi="arial" w:cs="arial"/>
          <w:color w:val="000000"/>
          <w:sz w:val="20"/>
          <w:lang w:val="en-US" w:eastAsia="en-US" w:bidi="ar-SA"/>
        </w:rPr>
        <w:t>, not only to points upon which the court was actually required by the parties to form an opinion and pronounce a judgment, but to every point which properly belonged to the subject of litigation, and which the parties, exercising reasonable diligence, might have brought forward at the time." (The italics are 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passage has been much quoted with approval and followed in the courts of England and Canada. These subsequent decisions appear to explain the "special circumstances" or "special cases" which render the principle of res judicata inoperative as those where the question of law or fact which is the subject of the later litigation is not identical with, or inextricably involved with, the question of law or fact previously decided. The maxim res judicata does not apply to distinct causes of action (Hall v. Hall and Hall's Feed &amp; Grain Ltd. </w:t>
      </w:r>
      <w:hyperlink r:id="rId257" w:history="1">
        <w:r>
          <w:rPr>
            <w:rFonts w:ascii="arial" w:eastAsia="arial" w:hAnsi="arial" w:cs="arial"/>
            <w:i/>
            <w:color w:val="0077CC"/>
            <w:sz w:val="20"/>
            <w:u w:val="single"/>
            <w:shd w:val="clear" w:color="auto" w:fill="FFFFFF"/>
            <w:lang w:val="en-US" w:eastAsia="en-US" w:bidi="ar-SA"/>
          </w:rPr>
          <w:t>(1958), 15 D.L.R. (2d) 638</w:t>
        </w:r>
      </w:hyperlink>
      <w:r>
        <w:rPr>
          <w:rFonts w:ascii="arial" w:eastAsia="arial" w:hAnsi="arial" w:cs="arial"/>
          <w:color w:val="000000"/>
          <w:sz w:val="20"/>
          <w:lang w:val="en-US" w:eastAsia="en-US" w:bidi="ar-SA"/>
        </w:rPr>
        <w:t xml:space="preserve"> (Alta.C.A.)), but it does apply where the second action arises out of the same relationship, and the same subject matter, as the adjudicated action, although based upon a different legal conception of the relationship between the parties (Morgan Power Apparatus Ltd. v. Flanders Installations Ltd. </w:t>
      </w:r>
      <w:hyperlink r:id="rId258" w:history="1">
        <w:r>
          <w:rPr>
            <w:rFonts w:ascii="arial" w:eastAsia="arial" w:hAnsi="arial" w:cs="arial"/>
            <w:i/>
            <w:color w:val="0077CC"/>
            <w:sz w:val="20"/>
            <w:u w:val="single"/>
            <w:shd w:val="clear" w:color="auto" w:fill="FFFFFF"/>
            <w:lang w:val="en-US" w:eastAsia="en-US" w:bidi="ar-SA"/>
          </w:rPr>
          <w:t>(1972), 27 D.L.R. (3d) 249</w:t>
        </w:r>
      </w:hyperlink>
      <w:r>
        <w:rPr>
          <w:rFonts w:ascii="arial" w:eastAsia="arial" w:hAnsi="arial" w:cs="arial"/>
          <w:color w:val="000000"/>
          <w:sz w:val="20"/>
          <w:lang w:val="en-US" w:eastAsia="en-US" w:bidi="ar-SA"/>
        </w:rPr>
        <w:t xml:space="preserve"> (B.C.C.A.)). It also applies not only to points on which the court in the first action was actually required by the parties to form an opinion and pronounce a judgment, but to every point which properly belonged to the subject of the first litigation and which the parties, exercising reasonable diligence, might have brought forward at the time (Winter v. Dewar, </w:t>
      </w:r>
      <w:hyperlink r:id="rId259" w:history="1">
        <w:r>
          <w:rPr>
            <w:rFonts w:ascii="arial" w:eastAsia="arial" w:hAnsi="arial" w:cs="arial"/>
            <w:i/>
            <w:color w:val="0077CC"/>
            <w:sz w:val="20"/>
            <w:u w:val="single"/>
            <w:shd w:val="clear" w:color="auto" w:fill="FFFFFF"/>
            <w:lang w:val="en-US" w:eastAsia="en-US" w:bidi="ar-SA"/>
          </w:rPr>
          <w:t>41 B.C.R. 336</w:t>
        </w:r>
      </w:hyperlink>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[1929] 2 W.W.R. 518</w:t>
        </w:r>
      </w:hyperlink>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[1929] 4 D.L.R. 389</w:t>
        </w:r>
      </w:hyperlink>
      <w:r>
        <w:rPr>
          <w:rFonts w:ascii="arial" w:eastAsia="arial" w:hAnsi="arial" w:cs="arial"/>
          <w:color w:val="000000"/>
          <w:sz w:val="20"/>
          <w:lang w:val="en-US" w:eastAsia="en-US" w:bidi="ar-SA"/>
        </w:rPr>
        <w:t xml:space="preserve"> (C.A.)). The principle of res judicata would also apply if the issue in the present action was one of several issues essential for the determination of the whole of the first case, though merely a step in that decision rather than the main point of it (Fidelitas Shipping Co. v. V/O Exportchleb, [1965] 1 Q.B. 630, [1965] 2 All.E.R. 4 (C.A.)). [Words in square brackets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doctrine of collateral attack was described by Mr. Justice McIntyre of the Supreme Court of Canada in R. v. Wilson, </w:t>
      </w:r>
      <w:hyperlink r:id="rId260"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at 599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long been a fundamental rule that a court order made by a court having jurisdiction to make it, stands and is binding and conclusive unless it is set aside on appeal or lawfully quashed. It is also well settled in the authorities that such an order may not be attacked collaterally - and a collateral attack may be described as an attack made in proceedings other than those whose specific object is the reversal, variation, or nullification of the order or judgment. Where appeals have been exhausted and other means of direct attack upon a judgment or order, such as proceedings by prerogative writs or proceedings for judicial review, have been unavailing, the only recourse open to one who seeks to set aside a court order is an action for review in the High Court where grounds for such a proceeding exist. Without attempting a complete list, such grounds would include fraud or the discovery of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These are the standards I must apply in weighing the submissions of the Band and the Crown. They are obviously high standards based upon the important principle that a litigant is entitled to his or her day in court, within the limits reasonably and justly proscribed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Overall, the Band argues that the plaintiffs have never, in previous proceedings with respect to the leases and their relationship to the Band and the Crown, alleged a fundamental breach of the leases. Rather, stressed Mr. Roberts, prior disputes have been confined to the proper interpretation of specific terms in the leases. It is the position of the Band that the leaseholders, by arguing for a particular interpretation of the lease, including the appropriate rent to be payable, based on the position that the parties to the leases were well represented, received good advice, were not disadvantaged and that the sole issue was the intention of the parties, have thereby irrevocably elected to affirm the leases. In particular, the Band points to the action brought in Federal Court and concluded in the Supreme Court of Canada for the purpose of establishing the proper rent payable under the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Band argued that to grant those parts of the relief sought by the plaintiffs which would have the effect of declaring the leases null and void, would lead to the absurd result that the previous proceedings had, in essence, been moot. For example, the proceedings to determine the proper rents payable under the leases cannot stand together with a determination that the leases themselves are void. The time to argue the validity of the leases was at the time of the rental litigation in Federal Court and the Supreme Court Canada argues the Band. No special circumstances have been demonstrated as to why such arguments were not advanced in the rental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any event, argues the Band, this litigation by the leaseholders is effectively a collateral attack in that it advances a premise (the invalidity of the leases) that is fundamentally inconsistent with the previous rulings of the Federal Court and the Supreme Court of Canada. The Band also alleges that such allegations constitute a collateral attack on the decision of the Musqueam Indian Band Board of Review ("the Board") created pursuant to the Musqueam Indian Band property assessment bylaw PR-96-01 to hear appeals of assessments of land and improvements located on the Musqueam Reserve (including the leased lands). An appeal by way of stated case has been taken to this court but has not yet been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will be convenient to deal with the allegations in the amended statement of claim in the same order and in the same manner in which they are (very well, I must say) organized therein. In this regard, I have organized the discussion according to the summary of the allegations contained in para. 31 of this judgment.</w:t>
      </w:r>
      <w:r>
        <w:rPr>
          <w:rFonts w:ascii="arial" w:eastAsia="arial" w:hAnsi="arial" w:cs="arial"/>
          <w:sz w:val="20"/>
          <w:lang w:val="en-US" w:eastAsia="en-US" w:bidi="ar-SA"/>
        </w:rPr>
        <w:cr/>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and the Minister Wrongfully Empowered the Band and Others to Exercise Powers of Property Assessment and Taxation Over the Plaintiffs' Leasehold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stated case brought before this court by the Board was signed by its chairman Mr. Brothers on August 16, 1998 and filed in the Vancouver registry of this court on August 21, 1998. Thus, the various issues concerning taxation have been before this court (although not argued or decided) since that time. It is evident from a review of the stated case that the leaseholders do not therein allege (and apparently did not do so before the Board) that the Band did not have jurisdiction to assess property taxes, that the terms of the leases prevented the Band from asserting taxing jurisdiction, that the Minister wrongfully empowered the Band to exercise powers of property assessment and taxation, or that, for these reasons or any others, the Board was incompetent to hear the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Let me say it once that it is not plain and obvious, without reference to any evidence, that the allegations in paras. 23 to 26 of the amended statement of claim disclose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Essentially, the argument of the plaintiffs is that the delegation or "empowerment" of the Band by the Crown to exercise powers of property assessment and taxation derogates express or implied terms of the leases. In that sense, then, these claims arise out of the same relationship and the same subject matter as that under consideration before the Board, and now before this court. That being said, however, it has not been demonstrated to me that the mechanism either of appealing property tax assessments to a Board of Review or thereafter taking an appeal from the decision of that Board by way of stated case conveniently permits the type of arguments being raised in this action by the plaintiffs to be properly considered. That is, in this action, the plaintiffs raise questions which strike me as being issues that would not normally be considered by such a Board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therefore not plain and obvious to me that these questions could properly have been raised before the Board or, because they were not, it is somehow an abuse of process or vexatious for them to be raised in the context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Assuming this court has jurisdiction to do so, it does strike me that these are questions which should likely properly be heard at the same time as the stated case and by the same judge. That is a decision to be made by that judge. However, I am not convinced that Rule 19(24) or the doctrine of collateral attack provide obstacles to the plaintiffs being able to continue to maintain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Having said that, however, I must then consider whether this court is the proper forum to deal with these issues. Section 17(2) of the Federal Court Act, </w:t>
      </w:r>
      <w:hyperlink r:id="rId261"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color w:val="000000"/>
          <w:sz w:val="20"/>
          <w:lang w:val="en-US" w:eastAsia="en-US" w:bidi="ar-SA"/>
        </w:rPr>
        <w:t xml:space="preserve"> provides that the trial division of the Federal Court has concurrent original jurisdiction (except where it may be otherwise provided) in all cases in which a claim arises out of a contract entered into by or on behalf of the Crown. Under s. 18 of the Federal Court Act, the trial division of that court has exclusive original jurisdiction to review the decision of a federal board or to grant declaratory relief against such a board. I take this to include the decision of a Minister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Mr. Justice McDonald said at para. 11 of Babcock et al v. Attorney General of Canada (23 June 1998), Vancouver Registry, C963189 (B.C.S.C.), it is first necessary to characterize the nature of the claims advanced by the plaintiffs. That is, what are the core issues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seek to charaterize their action as one of breach of contract. That is, they say that the heart of their claim is not the Minister's exercise of statutory authority to appoint or delegate the Band to assess and collect taxes, but rather the validity of the leases and the plaintiffs' obligations under them. Thus, argue the plaintiffs, their action is framed in contract and tort and they seek damages in addition to declaratory relief. Any consideration by the court of the legality of the Minister's acts will be simply incidental to the determination of whether there has been a breach of contract. They have not asked for a judicial review and this is not a matter that falls under the exclusive original jurisdiction of the Federal Court, Trial Division argue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Band and the Crown, on the other hand, characterize this application for relief as fundamentally an attack on the Minister's exercise of his discretion or authority under s. 83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Having carefully reviewed these allegations in the amended statement of claim, it is clear to me that at their core, the allegations are fundamentally an attack on the authority of the Minister. That is at the core of these claims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the other hand, the plaintiffs' choice of forum should not be lightly dismissed if there is a substantial element of their claim which could properly be said to be within the jurisdiction of this court. Given the contractural relationship between the parties through the medium of the leases, I am satisfied that such a substantial connection exists. I therefore conclude that these are not claims which are bound to be heard in the Federal Court either because of that court's exclusive claim to jurisdiction over the subject matter or because the preponderance of issues is so clearly marked as to dictate the matter being heard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It may well be that the provisions of the Limitation Act, </w:t>
      </w:r>
      <w:hyperlink r:id="rId239"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apply with respect to these claims by the plaintiffs. However, on the material before me, it is not plain and obvious that that is so.</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and the Crown Wrongfully Assigned Authority to the Band, Band Council, Various Band Members, and Crown Employees to Approve Assignments of Leases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Crown and the Minister Wrongfully Assigned the Obligations of the Crown, including Management and Administration of the Leases to the Band and the Band Council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the other hand, these allegations contained at paras. 27 to 31 and 35 to 39 of the amended statement of claim are, in my view, clearly res judicata and thus an abuse of process. The essence of these claims is an attack on the validity of the leases themselves, either because they were assigned without authority or because the Minister has allowed them to be managed by the Band rather than the Crown. These are issues that could have, and should have, been brought forward in the context of the litigation to determine the rents. By these claims, the plaintiffs seek to do an end run around that process which was lengthy, presumably costly, and went all the way to the Supreme Court of Canada on the clear understanding, at each level of court, that there were in place valid leases that were entered into in circumstances in which "both parties were well represented, received good advice [and] neither were disadvantaged".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action was started at a stage in the rental litigation in which the tide was turning against the leaseholders in that the Federal Court of Canada had substantially increased the level of rents they were obliged to pay, and the Crown had come into the picture by demanding (whether or not they had the authority to do so at that point given the appointment of the Minister in 1980 is another question) substantial, and what might have been regarded by many of the leaseholders as punishing, terms pending the application for leave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Sugden makes the point that the Band did not assert any cause of action against the leaseholders in the rental action and did not ask the Federal Court to make any findings as to the validity or enforceability of the leases. Thus, he says, Mr. Justice Rothstein made no determination on those issues. His final order was restricted to an interpretation of the lease terms. Those statements are perfectly correct, of course, for the simple reason that the case proceeded, as I have already stated, on the basis of the assumption by everyone concerned that the leases were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my view, to allow these claims to stand would be in an affront to the Federal Court, Trial Division, the Federal Court of Appeal and the Supreme Court of Canada. It would be tantamount to the leaseholders saying, "Well, we put you to a lot of time and effort in settling the rent issues from our leases but, even though we proceeded on the basis of the leases being valid, because no specific declaration was made as to their validity, it is now open for us to argue that all the work you did was for nothing because the leases aren't valid anyway". The issues touching on the validity of the leases were issues which could have been raised in the context of the rental litigation. They were not and now they cannot be raised. To do so would be an abuse of process. Thus, paras. 27 to 31 and 35 to 39 should be struck. If there are any other paragraphs in the pleadings which, as a result of this ruling, should properly be struck as subsidiary to or part of these claims, there is liberty to apply if counsel cannot agree. Counsel did not provide me with a particular road map indicating which paragraphs should be struck if one or other arguments should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Further, in relation to these claims, I repeat my conclusions earlier in this judgment with respect to the Band's application for judgment under Rule 18A.</w:t>
      </w:r>
      <w:r>
        <w:rPr>
          <w:rFonts w:ascii="arial" w:eastAsia="arial" w:hAnsi="arial" w:cs="arial"/>
          <w:sz w:val="20"/>
          <w:lang w:val="en-US" w:eastAsia="en-US" w:bidi="ar-SA"/>
        </w:rPr>
        <w:cr/>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the Band and the Band Council Wrongfully Agreed to Impose on the Plaintiffs, the First Nations Land Management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best as I can determine from the rather vague allegations in paras. 32 to 34 of the amended statement of claim, the leaseholders do not seek to impugn the validity of the First Nations Land Management Act but rather cast their claims in terms of the potential problem they may have if the Band seeks to use powers under that Act which may then impact in some way on their leases. In the absence of an attack on the legislation itself (which I would think should properly be brought in the Federal Court) there is no present foundation for any claim against either the Band or the Crown based on the fact of the Crown having legislated the First Nations Land Management Act. This is, indeed, a situation where I am satisfied under Rule 19(24)(a) that it is plain and obvious that the pleadings disclose no reasonable claim. The plaintiffs cannot point to any action which has been taken by any of the defendants which gives rise to any claim at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Consequently, I am satisfied that this portion of the amended statement of claim should also be struck. I give the same direction and liberty to apply that I did in the preceding section with respect to counsel agreeing upon, or speaking to, if required, any other paragraphs that should fall as a result of this ruling.</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and the Minister Breached a Duty of Good Faith Owed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not plain and obvious on the face of the pleadings that the plaintiffs have no reasonable claim against the Crown for breach of a duty of good faith. I agree with the submission of Mr. Phillips that the amended statement of claim alleges no facts to support the plaintiffs' claim that the Crown owed them the duty of good faith as part of their contractual relationship. However, from all of the material submitted on this application, I conclude that there may exist facts capable of forming a basis for this claim. That is not to suggest, of course, that there necessarily is a valid basis for the claim, only that the affidavit material suggests that the pleadings may be capable of amendment to better particularize this claim. The plaintiffs will have 30 days in which to further amend their statement of claim which will at this stage, I expect, require an application to court. There is liberty to the defendants to renew this application with respect to this claim thereafter if the pleadings still fail to disclose a reasonable cause of action.</w:t>
      </w:r>
      <w:r>
        <w:rPr>
          <w:rFonts w:ascii="arial" w:eastAsia="arial" w:hAnsi="arial" w:cs="arial"/>
          <w:sz w:val="20"/>
          <w:lang w:val="en-US" w:eastAsia="en-US" w:bidi="ar-SA"/>
        </w:rPr>
        <w:cr/>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Others Conspired to Create a Climate of Uncertainty With Respect to the Plaintiffs' Leasehold Interests So That They Would Become Worthless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It is the Crown's position that these claims of the plaintiffs rest upon mere suspicion, opinions and speculation and have no basis in either fact or law. Mr. Phillips suggested that these allegations of the plaintiffs do not, in fact, amount to the tort of civil conspiracy as defined in Canada Cement LaFarge Ltd. v. British Columbia Lightweight Aggregate Ltd., </w:t>
      </w:r>
      <w:hyperlink r:id="rId262"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xml:space="preserve"> at 471-72: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law concerning the scope of the tort of conspiracy is far from clear, I am of the opinion that whereas the law of tort does not permit an action against an individual defendant who has caused injury to the plaintiff, the law of torts does recognize a claim against them in combination as the tort of conspiracy if:</w:t>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means used by the defendants are lawful or unlawful, the predominant purpose of the defendants' conduct is to cause injury to the plaintiff; or,</w:t>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conduct of the defendants is unlawful, the conduct is directed towards the plaintiff (alone or together with others), and the defendants should know in the circumstances that injury to the plaintiff is likely to and does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situation (2) it is not necessary that the predominant purpose of the defendants' conduct be to cause injury to the plaintiff but, in the prevailing circumstances, it must be a constructive intent derived from the fact that the defendants should have known that injury to the plaintiff would ensue. In both situations, however, there must be actual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is not plain and obvious that the plaintiffs' allegations of conspiracy fail to disclose a reasonable claim. The claim may be a tenuous one and may be difficult to prove, but that is not reason to strike out the pleadings. Nor is it plain and obvious that the claim is barred by the Limitation Act. On the face of the claim, and in the circumstances, it is not at all apparent to me that this court would not have jurisdiction.</w:t>
      </w:r>
      <w:r>
        <w:rPr>
          <w:rFonts w:ascii="arial" w:eastAsia="arial" w:hAnsi="arial" w:cs="arial"/>
          <w:sz w:val="20"/>
          <w:lang w:val="en-US" w:eastAsia="en-US" w:bidi="ar-SA"/>
        </w:rPr>
        <w:cr/>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including the Crown and the Minister, Breached the Plaintiffs' Charter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paras. 48 and 49 of the amended statement of claim, the plaintiffs say that their s. 2(b), 2(d) and 15(1) Charter rights have been breached because, in the face of the Crown having given the Band the right to assess property taxes, they have been made subject to a scheme under which they are subject to taxation without representation. These arguments are, essentially, an extension of those in part (1) above dealing with the leaseholders' complaint that the Crown and Minister wrongfully empowered the Band to exercise powers of property assessment and taxation. For that reason only I conclude that these claims do not fall within the exclusive original jurisdiction of the Federal Court, Trial Division. That is, these Charter arguments arise in the context of, and flow from, those advanced with respect to the Crown granting the Band the power to tax and the alleged affect that has on the contractual relationship between the leaseholders and the Crown. If these claims were advanced standing alone, I might well have found that they were properly to be heard in the Federal Court, Trial Division. However, it is neither practical nor expedient to fracture between courts claims concerning one subject matter. Having determined that this court has concurrent jurisdiction to hear the related claims, it is appropriate that it consider these Charter arguments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leaseholders argue that the threshold to be met by the Band in an application to strike the plaintiffs' pleadings pursuant to Rule 19(24) is higher when the claims sought to be struck have been made pursuant to the Charter. In Babcock, Mr. Justice McDonald concluded that a claim advanced based on s. 15 of the Charter had no chance to succeed and thus, using Rule 19(24), struck it from the statement of claim. However, in Pacific Press, Division of Southam Inc. v. British Columbia (Attorney General) </w:t>
      </w:r>
      <w:hyperlink r:id="rId263" w:history="1">
        <w:r>
          <w:rPr>
            <w:rFonts w:ascii="arial" w:eastAsia="arial" w:hAnsi="arial" w:cs="arial"/>
            <w:i/>
            <w:color w:val="0077CC"/>
            <w:sz w:val="20"/>
            <w:u w:val="single"/>
            <w:shd w:val="clear" w:color="auto" w:fill="FFFFFF"/>
            <w:lang w:val="en-US" w:eastAsia="en-US" w:bidi="ar-SA"/>
          </w:rPr>
          <w:t>(1998), 61 B.C.L.R. (3d) 377</w:t>
        </w:r>
      </w:hyperlink>
      <w:r>
        <w:rPr>
          <w:rFonts w:ascii="arial" w:eastAsia="arial" w:hAnsi="arial" w:cs="arial"/>
          <w:color w:val="000000"/>
          <w:sz w:val="20"/>
          <w:lang w:val="en-US" w:eastAsia="en-US" w:bidi="ar-SA"/>
        </w:rPr>
        <w:t xml:space="preserve">, (leave to appeal dismissed, </w:t>
      </w:r>
      <w:hyperlink r:id="rId264" w:history="1">
        <w:r>
          <w:rPr>
            <w:rFonts w:ascii="arial" w:eastAsia="arial" w:hAnsi="arial" w:cs="arial"/>
            <w:i/>
            <w:color w:val="0077CC"/>
            <w:sz w:val="20"/>
            <w:u w:val="single"/>
            <w:shd w:val="clear" w:color="auto" w:fill="FFFFFF"/>
            <w:lang w:val="en-US" w:eastAsia="en-US" w:bidi="ar-SA"/>
          </w:rPr>
          <w:t>[1998] S.C.C.A. No. 628</w:t>
        </w:r>
      </w:hyperlink>
      <w:r>
        <w:rPr>
          <w:rFonts w:ascii="arial" w:eastAsia="arial" w:hAnsi="arial" w:cs="arial"/>
          <w:color w:val="000000"/>
          <w:sz w:val="20"/>
          <w:lang w:val="en-US" w:eastAsia="en-US" w:bidi="ar-SA"/>
        </w:rPr>
        <w:t>), Madam Justice Rowles stated at para. 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questionable whether Rule 19(24) is an appropriate vehicle for making a determination as to the constitutionality of provisions which infringe rights and freedoms guaranteed by the Charter, except possibly in the rarest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addition, the leaseholders argue that since litigation under the Charter raises issues of fundamental importance to society, courts should not prejudge the validity of Charter claims before the factual matrix has been fully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that I cannot consider any evidence in making this assessment, I can only say that, on the arguments before me, the plaintiffs' chance of success on these Charter arguments would appear tenuous to say the least but I would not be prepared to say that it is plain and obvious that they have no chance to succeed. Both the Crown and the Band have advanced strong arguments on this subject; however, in the absence of hearing evidence, I cannot grant the relief they seek. Those arguments would be better cast in a Rule 18A application for summary trial with respect to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Finally, I would also apply my reasoning above in the first subsection under this part relative to the leaseholders' complaint of the Crown empowering the Band to assess property and tax. I would not strike these sections of the amended statement of claim.</w:t>
      </w:r>
      <w:r>
        <w:rPr>
          <w:rFonts w:ascii="arial" w:eastAsia="arial" w:hAnsi="arial" w:cs="arial"/>
          <w:sz w:val="20"/>
          <w:lang w:val="en-US" w:eastAsia="en-US" w:bidi="ar-SA"/>
        </w:rPr>
        <w:cr/>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Jane Doe 1 and John Doe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pleadings, to the extent that they refer to "Jane Doe 1" and "John Doe 1" advance no allegation that could be described as any claim whatsoever. Jane Doe 1 and John Doe 1 are not described with sufficient particularity to make any determination that they are real persons against whom a substantive claim lies except that their identity is unknown. It is not sufficient that the plaintiffs' Reply indicates that they "are members of the Band who were at all material times Band Chiefs, Band Council members, and/or persons with decision-making authority with respect to the administration of the Landlords [sic] obligations under the Leases, the implementation and administration of the Musqueam Taxation Bylaw, and/or the implementation and administration of the First Nations Land Management Act". That is because the amended statement of claim is silent as to what these individuals are alleged to have done to aggrieve the plaintiffs. No one should be placed in the position of being a defendant to a law suit without the complaint against him or her being defined. This is particularly so when substitute names such as John Doe and Jane Doe are used as it is impossible to defend a claim without any particulars. I would order that both Jane Doe 1 and John Doe 1 be struck from the pleadings as defendants.</w:t>
      </w:r>
      <w:r>
        <w:rPr>
          <w:rFonts w:ascii="arial" w:eastAsia="arial" w:hAnsi="arial" w:cs="arial"/>
          <w:sz w:val="20"/>
          <w:lang w:val="en-US" w:eastAsia="en-US" w:bidi="ar-SA"/>
        </w:rPr>
        <w:cr/>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have done my best to define which paragraphs of the amended statement of claim should be struck from the general arguments made to me. That is, counsel did not address their arguments precisely in terms of paragraph numbers although Mr. Roberts' argument was helpful in that regard. If counsel cannot agree, for the purpose of preparing the order, on the exact paragraph numbers to be struck, there is liberty to apply supported by brief submissions identifying any area of disagreement and a brief argument supporting each party's position.</w:t>
      </w:r>
      <w:r>
        <w:rPr>
          <w:rFonts w:ascii="arial" w:eastAsia="arial" w:hAnsi="arial" w:cs="arial"/>
          <w:sz w:val="20"/>
          <w:lang w:val="en-US" w:eastAsia="en-US" w:bidi="ar-SA"/>
        </w:rPr>
        <w:cr/>
      </w:r>
    </w:p>
    <w:p>
      <w:pPr>
        <w:numPr>
          <w:numId w:val="3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has been divided success on these applications. Because of that, this may be an appropriate case for each party to bear their own costs. However, now that the parties are aware of the result, counsel may wish to make further submissions on costs. If so, I am prepared to receive them either orally if a date can conveniently be arranged or by, hopefully brief,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Demedeiros v. Heinrichs, [2001] B.C.J. No. 2674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15 - 19,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Nos. 01 0543, 98 0661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2674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1475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291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Denarte Demedeiros, plaintiff, and Jason Heinrichs and Michael Hodgkinson, defendants, (Victoria Registry No. 01 0543) And between Denarte Demedeiros, plaintiff, and Nica Yand Wu, Kyle Steven Michael and Lelan Myles Bradford, defendant (Victoria Registry No. 98 0661)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2"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6" w:name="Keywords_11"/>
      <w:bookmarkEnd w:id="76"/>
      <w:r>
        <w:rPr>
          <w:rFonts w:ascii="arial" w:eastAsia="arial" w:hAnsi="arial" w:cs="arial"/>
          <w:b/>
          <w:color w:val="000000"/>
          <w:sz w:val="20"/>
          <w:lang w:val="en-US" w:eastAsia="en-US" w:bidi="ar-SA"/>
        </w:rPr>
        <w:t xml:space="preserve">Damages — Assessment — Overlapping damages from separate causes — Special damages — General damages — Loss of wages — Loss of profits — Losses of plaintiff's corporation or business — Loss of enjoyment of life — General damages for personal injury — Pain and suffering, loss of amenities and other non pecuniary damages — Impairment of earning capacity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7" w:name="Case Summary_10"/>
            <w:bookmarkEnd w:id="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and liability for damages for the personal injuries sustained by Demedeiros, a 31-year-old stone mason, in two motor vehicle accidents occurring November 23, 1997 and February 15, 1999. The defendants admitted liability for causing the two accidents but maintained that neither accident caused or contributed to Demedeiros' back pain. They also disputed his assessment of damages. Demedeiros suffered a back injury in 1995 from which he recovered within one to two weeks. He had no medical treatment for low back pain between the 1995 injury and the first accident. Following the first accident Demedeiros complained to his doctor of back pain, neck pain, headaches and nausea. He was prescribed Naproxen. On November 27, 1997 Demedeiros lifted two half-filled five gallon pails of water and felt a sharp pain in his back. His Naproxen dosage was doubled. He began physiotherapy treatments and had some chiropractic treatments. In January 1999 he was still complaining of back pain. Following the second accident Demedeiros returned for physiotherapy and joined a gym. Demedeiros had no extended period of time away from work but was unable to do the heavy lifting required of a stone mason and required the help of a labourer. He claimed future loss of income and loss of profitability of the business which was his father's and would one day be his.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8" w:name="Holdings of Court_8"/>
            <w:bookmarkEnd w:id="78"/>
            <w:r>
              <w:rPr>
                <w:rFonts w:ascii="arial" w:eastAsia="arial" w:hAnsi="arial" w:cs="arial"/>
                <w:color w:val="000000"/>
                <w:sz w:val="20"/>
                <w:lang w:val="en-US" w:eastAsia="en-US" w:bidi="ar-SA"/>
              </w:rPr>
              <w:t>HELD: Damages assessed at $304,178 against Heinrichs for injuries arising from the first accident.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1995 injury caused only temporary damage to Demedeiros's lower back which had no bearing on his subsequent back injury. The medical evidence of Demedeiros established that the lasting effects to his back occurred in the first accident and that the pail lifting incident merely exacerbated the injury. He would not have suffered any injury lifting the pails if his back had not already been injured. The second accident caused a temporary flare-up of Demedeiros' symptoms but did not cause any permanent consequences or worsening of his injury. The injury altered Demedeiros' lifestyle in a significant way. His enjoyment of life was significantly impaired. He was partially disabled from performing the heavier aspects of his work. The evidence of the cost of additional labour required was lacking; however, losses were established at $8,500 per annum calculated to a present value of $174,479. Demedeiros's lost earning capacity was assessed at $180,000. Non-pecuniary damages were assessed at $70,000 and special damages were accepted at $1,777 annually calculated to a value of $40,000 to age 65 for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9" w:name="Counsel_11"/>
      <w:bookmarkEnd w:id="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3"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C. Doell, for the plaintiff. Michael J. Hargreaves,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0" w:name="Judgment_11"/>
      <w:bookmarkEnd w:id="80"/>
      <w:r>
        <w:pict>
          <v:line id="_x0000_s1084" style="position:absolute;z-index:2517729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1" w:name="GARSON J."/>
            <w:bookmarkEnd w:id="81"/>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assessment of damages for the personal injuries alleged to have been sustained by Denarte Demedeiros in two motor vehicle accidents which occurred on November 23, 1997, and February 13, 1999. Mr. Demedeiros is a thirty-one year old stone mason. Liability for causing the two accidents has been admitted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did not tender any medical evidence. The defendants do not dispute that the plaintiff suffers from low back pain which is described by medical experts as being mechanical back pain. The medical experts are not certain as to the underlying structural cause of the plaintiff's back pain, but none doubt that the plaintiff genuinely suffers pain and that his back pain is at least partially disabling. The defendants argue that the two motor vehicle accidents neither caused nor contributed to the plaintiff's pain and disability. The defendants say that the plaintiff suffered a very mild injury in the first motor vehicle accident. The defendants say the cause of the plaintiff's ongoing back pain and resultant disability was an incident several days after the first motor vehicle accident in which the plaintiff lifted two heavy pails of water. The defendants also point to a 1995 back injury. They note similarities between the 1995 injury and the December, 1997, lifting injury. They argue that the plaintiff's back was in a weakened and injured condition from the 1995 injury and was damaged by the December, 1997, lifting injury. The defendants say that the second motor vehicle accident was trivial and that the impact, being of a minor nature, could not be expected to have caused any lasting significant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dispute the plaintiff's assessment of damages. The plaintiff's assessment of damages is largely based on the plaintiff's assertion that it is necessary to hire additional labour in his stone masonry business because he is unable to do the required heavy lifting. The plaintiff argues that the cost of this additional labour will decrease his future earnings. The defendants point to the financial records which they say disclose labourer wages paid both before and after the accident in similar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now 31 years of age. He was born in Portugal and immigrated to Canada with his family when he was 18 months of age. Since that time he has resided in Victoria, British Columbia. He graduated from grade 12 in 1988. In grades 11 and 12 he took a carpentry course. Following graduation from high school, he took a further six month carpentry course at a community college. He then began his apprenticeship as a carpenter and continued in that occupation until 1991 when he began to work in his father's stone masonry business. Denarte Demedeiros' father is Francesco Demedeiros. Francesco Demedeiros began his stone masonry business in 1987 and continued to operate that business at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Francesco Demedeiros intends to retire when he reaches 60, in the year 2002. It is his intention to turn over the stone masonry business to his son,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October 24, 1995, the plaintiff injured his right lower back while loading rocks at a rock quarry. He left work and was examined by his family physician, Dr. Forghani. He was prescribed physiotherapy and anti-inflammatory medication. He recovered within one to two weeks. He was paid Workers' Compensation benefits while he was away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had no medical treatment for low back pain between October, 1995, and the date of the first motor vehicle accident, November 23,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23, 1997, the plaintiff was injured in the first motor vehicle accident. His vehicle was struck from the rear by a vehicle driven by the defendant, Kyle Michael. The force of the collision pushed the plaintiff's pick-up truck into the vehicle in front of him. The damage to the plaintiff's vehicle was about $1700.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the accident the plaintiff and his girlfriend carried on with their previously planned shopping trip. However, while shopping the plaintiff did not feel well and that same day he attended a walk-in medical clinic. At the walk-in clinic the plaintiff was examined by a physician and prescribed an anti-inflamatory medication, Naproxen 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following day, November 24, 1997, the plaintiff was examined by his family physician, Dr. Kamran Forghani. He complained to Dr. Forghani of back pain, neck pain, headaches and nausea. Dr. Forghani also prescribed Naproxen 250. The plaintiff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working on November 27, 1997, the plaintiff lifted two half-filled five gallon pails of water and felt sharp pain in his back. He returned to Dr. Forghani. Dr. Forghani increased his Naproxen to double strength, i.e. 550 mgs.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began physiotherapy treatments at Gordon Head Physiotherapy Clinic on December 10, 1997, and continued regular physiotherapy treatment until February 24,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April 2, 1998 the plaintiff began chiropractic treatments with Dr. Michael Buna. He was treated by Dr. Buna approximately once per week until August, 1998, and then with decreasing frequency until October,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Demedeiros saw Dr. Forghani on several occasions during 1998 and continued to complain of low back pain. On January 28, 1999, the plaintiff saw Dr. Forghani again, still complaining that his back was sore. He advised Dr. Forghani that he had stopped attending chiropractic treatments because there was no more improvement, but that he was attending a gym and rehabilitating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February 15, 1999, the plaintiff was involved in the second motor vehicle accident. Again his vehicle was struck from the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the second motor vehicle accident, the plaintiff returned to Gordon Head Physiotherapy for seven treatments. He also purchased a gym membership. He began exercising at a gym three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October, 1999, the plaintiff saw Dr. MacKean regarding his back injury. Dr. MacKean is a specialist in rehabilitation medicine. She prescribed a regular exercise program and recommended that the plaintiff do strengthening exercises at the gym, which he had apparently ceased attending.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Between October, 1999, and the date of trial the plaintiff attended a new physiotherapy clinic called Victoria Exercise Rehabilitation Centre. He attended about 50 sessions of physiotherapy. He testified that the courses of therapy coincided with flare-ups of his back condition. He continued to see Dr. Forghani on a regular basis up to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has had no extended period of time away from work owing to his back injury, but he testified that there have been days or parts of days when he has not worked due to the symptoms in his back. He also testified that he is unable to do the heavy lifting required of a stone mason and must rely on the help of a labourer.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has lived in a common-law relationship with Julie McKenna since August, 1999. The plaintiff and Ms. McKenna have a child now two years of age. Before he lived with Ms. McKenna, the plaintiff lived with his sister in the basement of his parents'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1995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noted previously the plaintiff injured his back in 1995. The injury was to his low back and the symptoms from which he complained in 1995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Tender L-2, L-3, L-4, paravertebral muscles right more than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argue that this injury weakened the underlying structures of the plaintiff's lumbar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say that the plaintiff's admission that he used a weightlifter's belt to protect his back from time to time after the 1995 injury and before the first motor vehicle accident, and his admission that occasionally his low back was sore, is evidence that this 1995 injury had not healed. This proposition was put to all the medical experts who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Forghani noted that the plaintiff had never complained of any back pain since the 1995 injury and noted that he had continued with heavy lifting for two years between the October, 1995, injury and the motor vehicle accident. Dr. Forghani did agree that low back pain is an occupational hazard of stone masons but he did not agree that the 1995 incident was the cause of, or related to, the plaintiff's current back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van Rijn, a physiatrist, testified that the 1995 injury would have caused temporary damage to the low back and that the history of recovery suggests the 1995 injury was to the muscles and would not be expected to cause ongoing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denied that he had any ongoing back pain following the 1995 injury. He continued to perform as a stone mason. His job as a stone mason required that he lift boulders weighing as much as 150 pounds on a regular basis. He had no medical treatment or therapy in the intervening time period between his return to work following the 1995 injury and the December, 1997, injury. He participated in many sports, including football, baseball, golf, 4 X 4 off road driving, and mountain biking during this interval.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van Rijn said the 1995 injury was not a significant history. I agree, and I find based on the evidence of all the medical experts who testified on this point, as well as the plaintiff's own account of his recovery from the October 1995 incident, that it had no bearing whatsoever on the plaintiff's subsequent back injury.</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November 23, 1997 motor vehicle accident cause or contribute to the plaintiff's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Forghani, as is noted above, examined the plaintiff on November 24, 1997, the day following the first motor vehicle accident. The plaintiff had attended a walk-in medical clinic the day of the accident. Dr. Forghani notes in his records of November 24, 1997, that the plaintiff "complained of back pain, neck pain, headaches and nausea last night and felt out of it". Dr. Forghani noted some restriction in the range of motion of his neck. He noted mild tenderness in the paravertebral muscles at the C-6 to T-1 (cervical to thoracic) levels of the spine. He also noted tender trapezius muscles bilaterally. He noted the spine was not tender in the thoracic lumbar and sacral areas. He noted tenderness in the right paravertebral muscles of L-1 to L-4 (lumbar) levels of the spine and mild tenderness over the right sacroiliac joint. As noted above, he prescribed Naproxen in the same 250mg. dosage prescribed for the plaintiff at the walk-in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argue that the lack of muscle spasm in the lower lumbar area and the fact that Dr. Forghani did not indicate any restriction in the defendant's lumbar range of motion suggests the injury was primarily to the neck. The defendants say that the mechanism of the motor vehicle accident could be expected to cause a neck injury but not a low back injury. The defendants point to Dr. Forghani's notes of November 28th after the work-related lifting incident. The defendants say that this is the first time the defendant complained of "a sharp pain in the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Each of the plaintiff's medical experts was cross-examined as to the likelihood of the lifting incident having caused the lasting back injury as opposed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van Rijn testified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guess you just look at what is the more violent or precipitous event. It seems more likely to be the motor vehicle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Why would the lifting of pails hurt him unless he was already damaged goods. I think the motor vehicle accident tips the scales. It's possible it was the lifting but I doubt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MacKean was also cross-examined regarding the relationship between the November 28, 1997 bucket-lifting incident. She acknowledged that the plaintiff had not described this incident to her. She had reviewed Dr. Forghani's notes before seeing the Plaintiff. Defence counsel cross-examined Dr. MacKean on a hypothetical scenario. He suggested that the 1995 injury may have caused a facet joint injury, that the November 23, 1997 injury was a mild soft tissue injury with no muscle spasm and that several days later the plaintiff felt sharp pain lifting 50 - 60 lb. buckets. She disagreed with the characterization of the plaintiff's injury as mild. She was asked to nevertheless assume the November injury was mild, and on the basis of the assumptions she was given she acknowledged that it may not be possible to determine the cause of the injury. However, in my view the assumptions of a facet injury in 1995, and a mild injury in the motor vehicle accident are not supported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Forghani testified that he thought lifting the buckets exacerbated the injured area of the back already damaged in the motor vehicle accident. Dr. Forghani noted that when he examined the plaintiff on November 24, 1997, the plaintiff had already taken Naproxen. He noted that the drug may already have worked, in the sense of relieving some of the pain and stiffness in the plaintiff's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Forghani was cross-examined about his medical chart which documents a telephone call with the plaintiff on December 10, 1997, relating to whether the plaintiff's back injury was WCB or ICBC. The chart note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"WCB ? ICBC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has talked to his lawyer and this is to be an ICBC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chart note seems to indicate Dr. Forghani was uncertain as to whether the back injury was caused by the motor vehicle accident and therefore covered by motor vehicle insurance, or caused by the lifting incident and therefore covered by Workers Compensation benefits. Dr. Forghani denied that he relied on his patient or his patient's legal advisor to determine the cause of the injury, which he said was the motor vehicle accident. He testified that if he had been asked to fill out a WCB form he would have noted on the WCB form that the patient had been involved in a motor vehicle accident a week earlier and he said "I can guarantee you the WCB physician would have said it was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Forghani testified in cross-examination, "unfortunately, as much as you would like this to be a WCB case it is an ICBC case". The plaintiff testified that he did not understand the difference between WCB and ICBC. He said he was just concerned "about his therapy being paid". As a result of a conversation with his lawyer he then understood the difference. He then phoned Dr. Forghani, resulting in Dr. Forghani's note of December 10,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Buna, the plaintiff's chiropractor, was also cross-examined on the causation of the back injury. Dr. Buna did not see the plaintiff until April 2, 1998, and consequently his opinion, like the opinions of Dr. MacKean and Dr. van Rijn, is based on the history that he read and was told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Buna testified under cross-examination that the two incidents, i.e., the motor vehicle accident and the bucket lifting incident several days later, are not independent of each other. He said the lifting injury is to an already injured area and to re-injure an injured area is the most common thing that happens.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sister, with whom he was living at the time of the motor vehicle accident, testified that when she arrived home on November 23, 1997, the plaintiff was lying on the floor in pain. He told her he had been in a car accident and that he had pain in his back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argue that because the plaintiff did not tell Doctors van Rijn, Buna, and MacKean about the lifting incident, I should find his testimony to be untrustworthy. They further argue that the experts' opinions are flawed because they are based on incomplete or incorrect assumptions. I do not accept these arguments. As the plaintiff was not given any opportunity to explain why he did not tell the three doctors about the lifting incident, and because I found him to be a generally credible witness, I make no adverse finding in respect to his credibility on this point. Further, the plaintiff was not asked if he was recovered from the motor vehicle accident by the time of the lifting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accept the evidence of Dr. Buna and Dr. van Rijn that the injury to the plaintiff's back and its lasting effects occurred in the first motor vehicle accident, and that his back was re-injured when he lifted the buckets several days later. These expert medical opinions are consistent with the evidence of the plaintiff that he went to a walk-in medical clinic because of back and neck pain immediately following the accident; that the next day he sought treatment from Dr. Forghani; and that Dr. Forghani's notes of November 24, 1997, include complaints of low back pain and tenderness in the same area of the back that continued to trouble the plaintiff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order for a defendant to be found liable for a plaintiff's injury, the plaintiff must prove on a balance of probabilities that the defendant caused or contributed to the plaintiff's injuries (Athey v Leonati, </w:t>
      </w:r>
      <w:hyperlink r:id="rId6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Based on all the evidence I heard, and on a balance of probabilities, I conclude that the plaintiff injured his lower back in the first motor vehicle accident. He had not recovered from this injury by the time he lifted the pails, a task which he had done (to quote defence counsel, Mr. Hargreaves) "hundreds, maybe thousands of times", a task which would not normally be expected to cause him injury. I do not accept that he would have suffered any injury lifting the pails, if his back was not already injured from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accident of February 13, 1999, cause or contribute to the Plaintiff's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testified that he felt stiff the day after this second motor vehicle accident. He cancelled plans to celebrate St. Valentine's day because his back and neck were stiff. He said he felt distraught about re-injuring his back. He was examined by Dr. Forghani on February 15, 1999. Dr. Forghani's chart notes complaints of a stiff back and low back pain. Dr. Forghani had seen the plaintiff on January 28, 1999, at which time the plaintiff said that his back was still sore. On February 15, 1999, Dr. Forghani told the plaintiff to return to his physiotherapist for further treatment. The plaintiff underwent seven physiotherapy treatments over the course of the following six weeks. After the seven treatments he had no more treatments until October 1999. The plaintiff was symptomatic at the time of the second accident and the course of his physiotherapy treatments would suggest that he returned to his pre-February 13,1999, condition within about six weeks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the second motor vehicle accident caused a temporary flare-up of the plaintiff's low back symptoms. I do not find that there was any permanent consequences or worsening of his already injured back attributable to the second motor vehicle accident.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extent of the plaintiff's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Before the motor vehicle accident the plaintiff was involved in a wide range of sports and activities. He had many friends with whom he socialized. The plaintiff's family is close knit. The plaintiff was living with his sister. He frequently socialized with her and their mutual friends. I heard testimony from the plaintiff's sister, his wife, his father, and one of his friends regarding changes in his lifestyle and daily activities. It is clear that the plaintiff's back pain has altered his lifestyle in quite a significant way. Julie McKenna, his wife, described the plaintiff as grumpy when his back is sore. She said that he has good days and bad days. They do not participate in many social activities. Most of the time they stay at home. She said that his activities with their daughter are limited by his back pain. Their intimate relationship is affected by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Denarte Demedeiros described his symptoms. He said that flare-ups can come at anytime. At times his pain is excruciating - his back becomes hunched over. His pain starts in the lower back, and goes into his buttocks, into his leg and down his calf. He returns to physiotherapy treatments when his back flares up. His present physiotherapist is Joanne Cuttiford. Signs and symptoms that she has observed include muscle spasms, limping on occasion, tenderness to palpation, limitation in the movement of his back, and radiation of pain down his right leg. Sometimes the plaintiff's back symptoms are so severe that she has observed him have trouble tying his shoe laces. Ms. Cuttiford treated him for a flare-up of his symptoms in September and October 2001. On some occasions he attended for physiotherapy ice treatment at 7:30 in the morning, and returned for more treatment at the end of his work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his father, and two co-workers testified about the plaintiff's difficulties at work. The plaintiff is limited in his activities at work. He has continued since the first accident to work in the stone masonry business owned by his father. The plaintiff no longer does the heavy work. He does not use the 14lb. sledgehammer to break rocks; he does not load the truck with rocks from the quarry. At the job site, he depends on a labourer to break up and lift rocks. He still does the actual building, design, and placing of rocks and mortar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is also clear that in the four years since the accident the plaintiff has reported to doctors and therapists that at times his symptoms were better. The plaintiff has engaged in a rigorous program of body building and weight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impressed me as being straight-forward and genuine. There is no suggestion that he is not motivated to work. Indeed, the evidence is that he works as hard as he is able to. The doctors all agreed that the plaintiff is disabled from performing the heavier aspects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that the plaintiff is partially disabled from his work as a stone mason. He is limited in his ability to regularly do the extremely heavy lifting associated with his occupation. I also find that his enjoyment of life has been significantly impaired by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did not suggest in his testimony nor did his father, Francesco Demedeiros, that the plaintiff has considered alternative employment. Francesco Demedeiros still intends to retire in 2002 and turn over the business to his son. The plaintiff has had no extended periods of time away from work attributable to his back injury. The fact that the plaintiff has not considered any alternative, less strenuous work suggests that he is confident he can, with the help of a labourer, continue his current occupation. There is no question that the stone masonry business involves heavy manual labour. The plaintiff's father still does this heavy work at the age of 59. The plaintiff says he can no longer do the heavy work, and the evidence supports his contention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stone masonry involves heavy manual labour, it also involves skilled labour in the sense that the stone mason must construct the wall, patio or other structure in such a way that it is aesthetically pleasing and structurally sound. The stone mason must also be able to read and interpret architectural or contractor's plans. A stone mason deals with sub-contractors, general contractors, and suppliers and with the various government agencies to whom remittances and forms must be sent after completion. The stone mason must deal with project owners or general contractors and quote and price his services and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with the assistance of an economist, Mr. Carson, prepared a financial analysis of the Demedeiros business. Mr. Carson compared the gross revenue, wages paid to the plaintiff, wages paid to labourers, and profit for the years 1990 to 2000. The plaintiff says that this analysis demonstrates that the extra money paid for a labourer to assist the plaintiff do work that he used to be able to do himself is $19,080 annually. The net present value of this sum is $410,540 calculated to age 65. The plaintiff says that this is a small business and there is no supervisory role that the plaintiff could take on and still operate the business profitably. In other words, the profitability of the business depends upon the plaintiff being able to do all the tasks required of a stone mason. He says that for the foreseeable future he will have to hire additional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financial analysis tendered by the plaintiff is based on annual financial statements prepared for Francesco Demedeiros. The defendants argue, correctly in my view, that because no time sheets, wage records for labourers, T4 slips, pay cheque stubs, or example contracts, were produced or examined by the plaintiff's economist it is not possible to accurately compare the use of labourers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father paid the plaintiff an income of an amount equivalent to about 20% to 22% of gross revenue of the business in the years 1997 to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1997 there was a significant decline in the profit of the business. However this cannot be attributable to the plaintiff's injury because his injury occurred at the end of the year. (The plaintiff testified that they do not usually work much in December owing to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1998 gross revenue of the business increased by approximately $70,000, or 58%, over 1997. The plaintiff was paid $13,000 more than in 1997. The labourer expense was increased by $35,000,a 100% increase over 1997, but the profit or return to Franscesco Demedeiros remained at approximately $10,000, the same as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1999 gross revenues were the same as for 1997. The wages paid to the plaintiff were very close to those paid to him for 1997. The wages paid to labourers increased by about 6% when compared to 1997. There was no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year 2000 gross revenue rose again to $170,126. The wages paid to the plaintiff remained at approximately the same percentage of gross revenue but rose in actual dollars to $37,054. Labourer wages decreased slightly when compared as a percentage of gross revenue. Profit rose to $28,360.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Carson's calculation is based on the inclusion of 1997 as a post-accident comparable. I disagree with this methodology. Also the years 1994 and 1995 are not good comparables because the gross revenues were increased by over 200% owing to an unusually large commercial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Both Fransesco Demedeiros and the plaintiff testified that owing to the plaintiff's back injury they had to hire additional labour. They both testified that before the accident they managed without labourers except on large contracts. This is not proven on the financial documents which were produced, which disclose considerable wages paid to labourers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John Olivieri testified that he works as the Demedeiros' helper. He testified that the plaintiff does the skilled lighter work. Mr. Olivieri does the heavy work, loading cement bags weighing 40 kilograms, lifting 4' X 8' sheets of plywood, swinging the big 14 lb. hammer, loading rocks at the quarry and moving rocks. The plaintiff stacks rocks, grouts, and performs other lighter work. Mr. Olivieri works full-time for the Demedeiros. Mr. Olivieri testified that usually, skilled masonry work encompasses some of the heavy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Fischer, a friend of the plaintiff has worked as a stone mason's helper with the Demedeiroses since the accident. He described how he mixed the cement and supplied the rocks to the plaintiff and his father, while they placed and mortared rocks on the wall. He said he was very busy keeping up with them. He described it as teamwork.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Fransesco Demedeiros testified that he continues to pay his son because his son has a family to support, but he says the plaintiff can no longer be counted on. He hires labourers to do what his son should be able to do. He says that he cannot take on some jobs because he must work alongside his son all the time whereas before the accident his son could go alone to a job or with a labourer. He testified that before the accident it was mostly just he and his son working. He says, "I keep paying my son but he is not productive for us". He was asked about the financial statement which discloses considerable use of labourers in 1997 before the accident. He said that his brother was working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Based on a review of the financial records and all the evidence I heard, I find that the Demedeiroses did use labourer helpers before the accident. There does appear to be some increase in labourer wages after the first accident but not as much as suggested by the plaintiff, his father, and his economist. No claim is made for past income loss. The plaintiff claims that he has lost earning capacity which will affect his ability to earn income in the future. Fransesco Demedeiros will retire next year. After that the plaintiff will assume all responsibility for quoting and estimating jobs, dealing with contractors, suppliers, etc., as well as doing all the skilled work involved in work as a stone mason. Mr. Olivieri estimated that about 60% of the stone mason's job is the heavy work that the plaintiff does not do. The plaintiff will have to hire a helper when his father retires, regardless of the accident, but there is no doubt that his income earning capacity has been reduced on account of his back injury. The plaintiff could not work for another employer as a stone mason because he cannot do the whole job. He has no other skills aside from carpentry which he said is even harder on his back. It is most probable that he will continue to run his own stone masonry business as best he can. I do not accept Mr. Carson's estimate that the additional labour cost is $19,000. This $19,000 figure is not supported by the limited financial documentation and wage records produced by the plaintiff. Given that the plaintiff will in any event assume many of the non-physical managerial tasks of the business, I find that his additional use of labour will be about $8500 per annum. I note that if the cost of using additional labour begins to approach the amount paid for the plaintiff's wages, then it would make no economic sense for him to continue in the stone masonry business. I find that $8500 is a reasonable amount to compensate the plaintiff for the cost of additional labour that would enable him to continue working in the stone masonry business. The present value of this sum (based on Mr. Carson's multiplier of $20,527) is $174,479.00.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medical prognosis for the plaintiff is not good. It is possible he may recover or improve but four years after the accident he has not recovered. Dr. van Rijn says the plaintiff's problems will likely continue on a chronic basis with periodic exacerbation. Dr. MacKean said it is impossible to predict how long his back pain will continue. Dr. Forghani suggested he may recover in 2 - 3 years. The plaintiff's current condition, and his lack of improvement over four years, are more consistent with Dr. van Rijn's prognosis, which I accept. In my view, it is unlikely the plaintiff will have a significant improvement in his condition. He will likely have ebbs and flows in the severity of his symptoms as suggested by Dr. van Rijn. It is unlikely that the plaintiff will be doing the same level of physical work as his father when the plaintiff reaches the age of 59. His condition may worsen with the result that he would require additional use of labourers.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assessment of damages for lost earning capacity is a matter of judgment not calculation (Rosvold v. Dunlop </w:t>
      </w:r>
      <w:hyperlink r:id="rId77"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The factors which may be relevant are set out at para. 10 of Madam Justice Huddart's reasons, where she quotes from Brown v. Golaiy </w:t>
      </w:r>
      <w:hyperlink r:id="rId8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this case the capital asset the plaintiff has lost is his ability to perform the heavy labour associated with his occupation as a stone mason. The plaintiff's work experience is with physical type occupations. His ability to earn income from the kind of employment to which he is suited, is impaired. On the whole of the evidence and considering the medical prognosis, his difficulties over the last four years, and as well as his income, the cost of replacement labour, and those factors cited in Rosvold I assess the plaintiff's lost earning capacity at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I have already noted, the result of the condition of the plaintiff's back on his life has been significant. His lifestyle has been changed from one in which he was active, social and sporting, to one spent avoiding activities which might cause him increased pain. His wife testified that driving to Vernon from Victoria to visit her family was too painful for the plaintiff. His friends have stopped calling him. His sister said the family thought he would get better but she said he is no longer his "old self". His sister too has stopped inviting the plaintiff to go out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With the benefit of a review of similar cases to which I was referred by counsel, I award the plaintiff $70,000 for non-pecuniary damages (Dawson v. Gee, </w:t>
      </w:r>
      <w:hyperlink r:id="rId272" w:history="1">
        <w:r>
          <w:rPr>
            <w:rFonts w:ascii="arial" w:eastAsia="arial" w:hAnsi="arial" w:cs="arial"/>
            <w:i/>
            <w:color w:val="0077CC"/>
            <w:sz w:val="20"/>
            <w:u w:val="single"/>
            <w:shd w:val="clear" w:color="auto" w:fill="FFFFFF"/>
            <w:lang w:val="en-US" w:eastAsia="en-US" w:bidi="ar-SA"/>
          </w:rPr>
          <w:t>[2000] B.C.J. No. 154</w:t>
        </w:r>
      </w:hyperlink>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2000 BCSC 147</w:t>
        </w:r>
      </w:hyperlink>
      <w:r>
        <w:rPr>
          <w:rFonts w:ascii="arial" w:eastAsia="arial" w:hAnsi="arial" w:cs="arial"/>
          <w:color w:val="000000"/>
          <w:sz w:val="20"/>
          <w:lang w:val="en-US" w:eastAsia="en-US" w:bidi="ar-SA"/>
        </w:rPr>
        <w:t xml:space="preserve">; Schrauwen v. Slater, </w:t>
      </w:r>
      <w:hyperlink r:id="rId273" w:history="1">
        <w:r>
          <w:rPr>
            <w:rFonts w:ascii="arial" w:eastAsia="arial" w:hAnsi="arial" w:cs="arial"/>
            <w:i/>
            <w:color w:val="0077CC"/>
            <w:sz w:val="20"/>
            <w:u w:val="single"/>
            <w:shd w:val="clear" w:color="auto" w:fill="FFFFFF"/>
            <w:lang w:val="en-US" w:eastAsia="en-US" w:bidi="ar-SA"/>
          </w:rPr>
          <w:t>[2001], B.C.J. No. 1505</w:t>
        </w:r>
      </w:hyperlink>
      <w:r>
        <w:rPr>
          <w:rFonts w:ascii="arial" w:eastAsia="arial" w:hAnsi="arial" w:cs="arial"/>
          <w:color w:val="000000"/>
          <w:sz w:val="20"/>
          <w:lang w:val="en-US" w:eastAsia="en-US" w:bidi="ar-SA"/>
        </w:rPr>
        <w:t>, 2001 BCCA 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Special damages are claimed for the following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346"/>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Fitness club membership</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$990.46</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732"/>
        <w:gridCol w:w="2718"/>
        <w:gridCol w:w="2091"/>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Prescriptions</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$288.84</w:t>
            </w:r>
          </w:p>
        </w:tc>
        <w:tc>
          <w:tcPr>
            <w:tcW w:w="419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w:t>
            </w:r>
          </w:p>
        </w:tc>
        <w:tc>
          <w:tcPr>
            <w:tcW w:w="419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Chiropractor</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$389.82</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1569"/>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Victoria Exercise Rehab</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$2,765.00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346"/>
        <w:gridCol w:w="146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Mileage to appointments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$614.34</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allow all these items as reasonable and necessary expenditures with the exception of the fitness club membership. The evidence of the plaintiff's sister is that the plaintiff worked out at a gym regularly before the accident. I find that this fitness club expenditure would have been incurred regardless of the plaintiff's injury. I therefore award the plaintiff $4,178.00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claims the following items for the annual cost of his future care associated with his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3137"/>
        <w:gridCol w:w="230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Gym membership</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$495.23</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287"/>
        <w:gridCol w:w="1150"/>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Prescriptions - Voltaren Rapide</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$831.84</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156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7 sessions,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x year = $315.00 X 3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$945.00</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For the same reasons mentioned above I do not allow the gym membership as a cost of the plaintiff's future care. I award the plaintiff $831.84 as his annual cost of prescriptions. I award the plaintiff $945.00 for the annual cost of physiotherapy. Based on the medical evidence and his pattern of use of physiotherapy to date, I conclude that the plaintiff will continue to use physiotherapy to enable him to work even when his back condition flares up. I have not been provided with any evidence of life expectancy. I award the plaintiff the annual sum of $1776.84. Subsequent to trial, counsel provided me with a table of multipliers for the cost of future care. Based on this table, I have calculated the plaintiff's award for cost of future care, to age 65, at $40,000.00, but as the amount of the cost of future care was not fully argued at trial, counsel are at liberty to speak further to this head of damages if either the plaintiff or defendant wish.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summarize the award of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177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loss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Lost earning capacity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882"/>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$4,178</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614"/>
        <w:gridCol w:w="230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1149"/>
        <w:gridCol w:w="177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$304,178</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Demedeiros will have judgment for $304,178.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will be entitled to pre-judgment interest on the award of special damages at registrar's rates from November 23,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Demedeiros is entitled to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5" style="position:absolute;z-index:251824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Dhaliwal v. Tomelden, [2010] B.C.J. No. 785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16-18, 2009; January 21-22,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M081187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785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612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442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1063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Ranjit Dhaliwal, Plaintiff, and Jane Carmen Tomelden and Sunny Doong Yee Loong,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6"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2" w:name="Keywords_12"/>
      <w:bookmarkEnd w:id="82"/>
      <w:r>
        <w:rPr>
          <w:rFonts w:ascii="arial" w:eastAsia="arial" w:hAnsi="arial" w:cs="arial"/>
          <w:b/>
          <w:color w:val="000000"/>
          <w:sz w:val="20"/>
          <w:lang w:val="en-US" w:eastAsia="en-US" w:bidi="ar-SA"/>
        </w:rPr>
        <w:t>Damages — Types of damages — General damages — For personal injuries — Considerations — Pre-existing medical conditions — Loss of earning capacity — Retired or unemployed persons — Special damages — Past loss of income — Employment income — Non-pecuniary loss — Pain and suffering — Action for damages for motor vehicle accident allowed in part — Plaintiff claimed soft tissue injuries to spine, fluid in ear and post-traumatic stress disorder — Accident very minor — Plaintiff exaggerated severity of accident to doctors, while minimizing subsequent, serious, at fault accident — Plaintiff's mild soft tissue injuries resolved within six months and caused little disruption to life so awarded $25,000 non-pecuniary damages, reduced to $20,000 for pre-existing physical and psychological problems — Special damages of $1,023 awarded — Loss of past or future income caused by plaintiff's limited education and lack of motivation, not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3" w:name="Case Summary_11"/>
            <w:bookmarkEnd w:id="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sustained in a motor vehicle accident. The plaintiff sought general damages, special damages, past and future loss of income and loss of earning capacity. The plaintiff asserted that the accident caused soft tissue injuries to his spine, fluid in his ear and post-traumatic stress disorder. The 27-year-old plaintiff had an extensive pre-existing history of physical and psychological problems. The defendant admitted liability for the accident, which was very minor. The defendant's vehicle brushed against the bumper of the vehicle the plaintiff was travelling in, causing less than $1,000 of damage between both vehicles. The plaintiff had a subsequent, at fault accident two years later that damaged his vehicle beyond repair. At the time of the accident, the plaintiff was unemployed. He had a history of working until eligible for employment insurance benefits, and then becoming unemployed. The plaintiff did not have a high school education. The plaintiff claimed he was unable to look for work for seven months following the accident, and then found a job where he earned $2,959 per month, but had to quit after one year because he was physically and emotionally unable to continue working. The plaintiff was unemployed for another year, and then found his current job, where he earned $1,300 per month for part-time work. The plaintiff's doctor and psychiatrist acknowledged that their medical reports were based largely on plaintiff's self-reporting.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4" w:name="Holdings of Court_9"/>
            <w:bookmarkEnd w:id="8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Limited weight was given to the medical opinions, since they were heavily dependent on the plaintiff's credibility. The plaintiff was not very credible. He exaggerated the severity of this accident to his doctors, while minimizing the severity of the subsequent, at fault accident. There was no doubt that the plaintiff had psychological issues, but they were long standing and triggered by any stressor in his life. The plaintiff was not entitled to an award for loss of earnings or earnings capacity. His employment history was spotty and income loss was related to his lack of motivation and education, not the accident. There was no reason the plaintiff could not have continued looking for work after the accident, and he quit the job he found after one year, which was when he qualified for employment insurance benefits. The plaintiff told his psychiatrist that he had suffered depression since childhood. The accident exacerbated his psychological problems and caused back pain, but both were resolved within six months. Any ongoing symptoms were due to the plaintiff's employment struggles and Scheuermann's disease, both of which were unrelated to the accident. For the six months following the accident, the plaintiff reported staying home more often, but his life was not very affected. The plaintiff was awarded $25,000 non-pecuniary damages, reduced to $20,000 for pre-existing medical conditions. The plaintiff was also awarded $1,023, as the parties had agreed to.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5" w:name="Legislation Cited_7"/>
      <w:bookmarkEnd w:id="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7"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6" w:name="Counsel_12"/>
      <w:bookmarkEnd w:id="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Z.P. Wiseman.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R. Parkes, K. Baldwin.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7" w:name="Judgment_12"/>
      <w:bookmarkEnd w:id="87"/>
      <w:r>
        <w:pict>
          <v:line id="_x0000_s1089" style="position:absolute;z-index:25182515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May 7, 2010;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8" w:name="L.D. RUSSELL J."/>
            <w:bookmarkEnd w:id="88"/>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Dhaliwal claims for injuries he suffered in a motor vehicle accident which occurred on April 15, 2006 at 7:00 p.m. (the "Accident"). The Accident occurred at the intersection of Joyce Road and East 43rd Avenue. The damage to both cars was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admitted on behalf of the defendant Mr. Loong. The case against the defendant Ms. Tomelden has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for general damages for pain and suffering and loss of enjoyment of life, past income loss, future loss of income and loss of earning capacity,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principal issue in this case is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a result of the Accident, the plaintiff alleges he suffered soft tissue injuries to his cervical and thoracic spine, temporary otitis media (fluid in the middle ear), injury to his right shoulder and elbow, pain in his temporomandibular joint, pain in his right wrist and ring and middle finger, insomnia, depression, anxiety and panic attacks characterized as post-traumatic stress disorder. Some 18 months after the Accident, he presented to his family physician, Dr. Yong, with pain in his left hip which he also alleges was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now 27-year old plaintiff has an extensive pre-existing history of both physical and emotional symptoms. He was also involved in a serious motor vehicle accident on June 17, 2008 (the "June Accident"), subsequent to the Accident which is the subject of this case, when he rear-ended a pickup truck causing it $11,500 in damage and the Intrepid he was driving to be written off. In that accident, for which he was liable, he claims he suffered a minor and temporary exacerbation of the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of course, the plaintiff's burden to prove the nature, extent and effect of the injuries alleged by the plaintiff. It is also the plaintiff's burden to prove that the cause of any injuries he demonstrates is the negligent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Accident occurred when Mr. Loong brushed the front of Ms. Tomelden's car and scratched her bumper as he came through the intersection from a stop sign. The impact of Ms. Tomelden's car caused a crack in the fender behind Mr. Loong's driver's side rear 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damage to both cars totalled less than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of the Accident, the plaintiff was a passenger in the back seat of Ms. Tomelden's vehicle, sitting behind the passenger, his girlfriend, who was in the front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wearing a lap and shoulder belt. He states he had leaned forward to look at his cellular telephone when the impact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Initially, following the Accident, the plaintiff went to a doctor, Dr. Ngui, in a local clinic about his injuries since his family doctor was unavailable on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attended at the office of his family physician, Dr. Peter Yong, three days after the Accident. At that visit, the above list of injuries was recorded in Dr. Yong's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first visit with Dr. Yong, he found the plaintiff to have tenderness in the upper back, neck, and shoulder area. He referred the plaintiff to Dr. Mann, who is a doctor with both kinesiology and chiropractic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next visit with Dr. Yong, on April 26, 2006, the plaintiff complained of panic attacks, insomnia and depression. Dr. Yong noted that the plaintiff had previously suffered panic attacks but in his report (Exhibit 2), he attributes the onset of panic attacks and insomnia to the Accident, based largely on the plaintiff's self-report.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the plaintiff continued to attend physiotherapy until July 2006, the plaintiff last consulted Dr. Yong during 2006 in May 2006. His next consultation with Dr. Yong was on June 14, 2007, 17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consultation in June 2007, took place because the plaintiff complained of his depression recurring one to two weeks earlier which coincided with his sister, Aman, moving out. He is very close to his sister and relies on her for emotional support and comfort. Dr. Yong notes the coincidence in dates between the onset of the depression and Aman's move in April 2007 from the home the plaintiff shared with her and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not disputed that the plaintiff had suffered from depression before the Accident and there is a family history of depression. The plaintiff's mother suffers from mental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also suffers from asthma and eczema, both chronic, and had suffered from both conditions for a long time prior to the Accident. He is a smoker but claims that smoking does not exacerbate his asthma. However, both conditions likely contribute to his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time of the Accident, the plaintiff was unemployed and had been without work since his layoff in April 2005, with a short recall in November 2005 before the bankruptcy of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difficulty the plaintiff has had with gaining and maintaining employment likely also figured into his consultation for depression with Dr. Yong in 2007, although he was employed with Johl Consulting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has not completed high school and lacking grade 12 has limited his employability. As well, he has a history of working for a period of time and then relying on Employment Insurance until he no longer qualifies for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has had the assistance of his father, uncle and sister in finding jobs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the Accident, he gave up looking for work for seven months because of the problems he was suffering from. He was in receipt of Employment Insurance for a substantial portion of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Through his sister, he found full-time work with Johl Consulting working with autistic children in January 2007, at an average monthly salary of $2959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had decided he could not do manual labour and he took the Johl Consulting job because it was "easy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left that employment in December 2007. In January 2008, he consulted Dr. Yong to explain that he had left his employment due to his physical and emotional inability to handle some of the tasks it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a result of his consultation with Dr. Yong, he was able to apply for and received Employment Insurance sickness benefits which kept him in funds until he procured employment in January 2009, a date which coincided with the expiry of his Employment Insurance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present and since January 2009, he works part-time for Polina House, a non-profit private society where he is responsible for working with a young autistic woman. He feels this is his calling.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works, on average, 15 hours a week and earns $1300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at the time of trial was 27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lives with his mother who suffers from mental illness and is not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has suffered from eczema since he was three and had his first asthma attack at 15. The asthma recurred in 2002-2003 and triggered a panic attack when the plaintiff found himself short of breath.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Yong prescribed an inhaler, Ativan, an anti-anxiety drug and Celexa, an anti-depressant following the asthma attack in 2002-2003. The plaintiff did not take the Celexa because he believed he was no longer in need of it after a couple of days of taking the drug. It seems on other occasions he did fill the prescription and take the Celexa.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day of the Accident, the plaintiff was heading to a friend's house although he did not remember which friend or what he was going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mini-van came from a side street with a stop sign and proceeded through the intersection as the car in which the plaintiff was sitting proceeded along Joyce Road, a through street. The mini-van brushed the front bumper of the car, causing some marks along the paintwork (Exhibit 5). The mini-van was hit just behind the rear driver's side wheel and it suffered a crack in the quarter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the time of the Accident, the plaintiff was sitting in the back seat, properly restrained by his shoulder/lap seat belt. He recalled he was looking at his phone when the impact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described the impact as light and that after it occurred he got out of the car without difficulty and called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recounted a "stretching" feeling in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said he was "in shock" following the Accident and trying not to cry.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This is of course, a misuse of the medical term "in shock" and I interpret the plaintiff's use of the expression to mean he was feeling emotionally upset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he and his friends got back into the car and carried on with their plans. Although the plaintiff did not recall what they did next, Ms. Haberman, the plaintiff's girlfriend, testified that they drove to Surrey and played poker at a friend's house for the remainder of the evening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described suffering from restlessness and insomnia the night following the Accident and waking up feeling sore in his mid and lower back, neck, right shoulder and fingers on his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saw Dr. Yong three days after the Accident and says that Dr. Yong "misunderstood him" about the extent of damage to the van in the Accident. He does not recall saying that there was heavy damage to the van as indicated in Dr. Yong's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Yong sent him to Dr. Mann, a physiotherapist, who used the TENS machine on his back and shoulder and then started the plaintiff on an exercise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began to do some exercises at home using an exercise ball and resistance bands but ran into difficulty when his dog ruined the exercise ball. He was also unable to do some of the low back exercises due to discomfort. But he used light dumbbells he had at home and tried to mimic the exercises Dr. Mann had showed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testified that his neck, shoulder and back got better after a couple of months but his mid-back remains uncomfortable today although the pain levelled off to an ache after about six months. The ache progresses to sharp pain with physical exertion. He also guesses his neck and shoulder took up to six months to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stated that he began to feel his anxiety and depression build over the months following the Accident and he started getting panic attacks "because of my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effect of the panic attacks was that the plaintiff could not be alone. It seemed anyone would do but his girlfriend was around most and either she or the plaintiff's sister could calm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Yong prescribed Celexa to assist with the anxiety but the plaintiff found taking it deadened his emotions to such an extent he stopped caring if he caused upset to people around him. He ceased taking the medication even though it helped his anxiety and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also claimed taking Celexa affected his appetite and he lost 15 pounds in a week. There was no medical verification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For the anxiety he suffered from before the Accident, he took Celexa on an on and off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By the time of the June Accident in 2008, the plaintiff was on anti-depressants and attending physiotherapy for his mid back because although the pain had tapered off, it was still causing him discomfort. He had consulted Dr. Yong and been sent for another course of physiotherapy with Dr. Mann. The plaintiff said his back had always bothered him but he did not remember how it was doing at the time of the June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Following the June Accident, the plaintiff said he was "in shock" again, which I interpret as being emotionally upset as a result of an accident he had caused and which resulted in his girlfriend's father's car being damaged beyond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Although the property damage caused in the June Accident was "significant", the plaintiff described his resulting physical injuries as "muscle soreness" in his neck, mid and lower back which resolved in three or four weeks because he was already doing physiotherapy. The mid back pain took about a month to moderate to the ache he says is constant.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describes the current level of pain in his back (with 100 as the worst and 0 the best) to be at 80 but worsens with physical exertion.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says the panic attacks began shortly after the Accident when he would wake up with back pain, become agitated, and need to find someone to sleep with. His girlfriend would often stay over but starts work early so could not always be available and the plaintiff would often sleep in the same bed with his mother. This need did not exist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depression and anxiety increased after the June Accident but since the plaintiff has been seeing Dr. Matrick, a psychiatrist, he is improving. He now takes a number of different medications including Celexa, Buspirone, Effexor and Remeron, and does not feel he suffers any side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the time of the Accident, the plaintiff had been unemployed since being called back from layoff in November 2005, for a period of a couple of weeks. It was typical for the company he worked for to lay off employees during the winter months so until he received notice in January 2006, that the company was going out of business, he did not look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After he got the notice, he relied on the union to place him in another union job but this did not result in any employment. He also looked on the Internet and in the paper, but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After the Accident, he stated that his injuries made him unable to look for work. It was in October 2006, that his sister began to help him in his employment search. His Employment Insurance benefits had expired and he needed money. She suggested he try to find a job working with special needs or disabled people because the jobs were quite easy and not physically demanding. The plaintiff felt he could not do any heavy work because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job the plaintiff found through his sister was in a group home. After a week of training, he began work in January 2007 with Johl Consulting.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walked away from this job in December 2007, and told Dr. Ngui and then told Dr. Yong in February 2008, that he could not do the work due to his back pain and his depression and anxiety arising from the restraint procedures he was required to perform to control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did not attempt to obtain any accommodation from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Yong assisted him to apply for Employment Insurance sickness benefits and he received those benefits for a 12-month period, or until January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did not work again until January 2009, when he began employment with Polina House Society where he helps a challenged young woman through her daily activities. He is not required to do any restraint procedures. He remains employed there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found the Polina House job through his sister and brother-in-law who let him know about the vacancy.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works Tuesdays, a short time on Wednesdays (4 hours) and Saturdays. In total he works 19 hours a week but the hours on Wednesday are for a specific therapy and may not continue in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would like to work full-time but his only apparent opportunity to do so is through Johl Consulting and he does not wish to return to work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income tax returns reveal a spotty income pattern: in 2003, he earned $1,552 from a warehouse job; in 2004, he earned $7,200 from a job with his uncle; in 2005, he earned $22,982 from Tempa Glass; in 2006, despite having testified that he received 15 weeks of Employment Insurance benefits, he had a T4 income of only $549; in 2007, for his almost 12 months with Johl Consulting, he earned $31,071; in 2008, his income came from Employment Insurance sickness benefits and he earned $20,300. He currently earns about $21 per hour at Polina House for an average of $1,300 per month. At the time of trial, he had not yet received his T4 for 2009 and we do not have any corroborative evidence about his earnings for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Dr. Yong's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Yong's report sets out the numerous consultations the plaintiff had with him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day after the Accident, which occurred on the weekend, the plaintiff consulted with Dr. Ngui at a walk-in clinic at Main and Marine where it is recorded in Dr. Ngui's notes that the plaintiff was in a car that "T-boned" another car in an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April 18, 2006, the plaintiff saw Dr. Yong for the first time following the Accident. During that visit, according to the clinical notes, the plaintiff did not report any depression, anxiety or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Yong agreed that many of his findings regarding the plaintiff's condition were subjectively based - on self reports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also agreed that the accuracy of his report was dependent on the plaintiff being honest in his self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Dr. Yong's report, dated August 4, 2009, at page 1, he notes there was "heavy damage" to the van caused by the collision. He agreed in cross-examination that this statement was information the plaintiff provided. He would not have had any independent way of verifying the degree of impact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Yong notes in his report that "Because of the accident, he [the plaintiff] started to complain of tinnitus which means ringing sound in the ears." From this report of the plaintiff, Dr. Yong diagnosed serous otitis media, an inflammatory condition in the middle ear. He agreed that there were no objective external signs such as inflammation in the ear canal or eardrum. It is also clear from his report that he only suggested a possible relationship between the signs of injury to the neck and inflammation of the ear. Tinnitus is mentioned again by way of a report by the plaintiff in the following appointment on April 26, 2006, but is not noted again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diagnosis of spasm in the plaintiff's trapezius muscles noted in the report is not supported by any clinical entry Dr. Yong made concerning the April 18, 2006 appointment, although there is a note of tenderness in the thoracic spine, accompanied by tenderness in the right neck and right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existence of a nodule on his baby finger was also noted on April 18, and was at first stated as being caused by the Accident, but at trial, Dr. Yong agreed that this swelling could be attributed to causes other than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next appointment was on April 26, 2006. In that appointment, the plaintiff complained of mostly right-sided pain in the neck, shoulder, elbow and hand. The plaintiff also complained his right shoulder was "frozen" but this was a diagnosis not confirmed by Dr. Yong although the range of motion in the shoulder was somewhat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was in this appointment that the plaintiff complained of panic attacks, depression and insomnia which Dr. Yong characterizes as returning. He makes reference to the plaintiff's history of panic attacks and being medicated with Celexa, which is both an anti-anxiety and anti-depressant drug, in 2002. However, Dr. Yong then concludes that the Accident caused the onset of the panic attacks and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Yong next saw the plaintiff on May 19, 2006. During that appointment the plaintiff again complained of mainly right-sided pain throughout his back, shoulder and his middle finger of his right hand. His central nervous system was normal. He was prescribed physiotherapy and exercise, an anti-inflammatory and Elavil, a drug used for insomnia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July 2006, the plaintiff attended at Dr. Yong's office due to an asthma attack. Dr. Yong noted a history of asthma and treated him with an inhaler and steroid. The plaintiff did not complain about pain in his back at this appointment, nor did he complain of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Despite the fact that the plaintiff was a regular attendee at his physician's office over the years, after his appointment in July 2006, he did not consult Dr. Yong again until June 2007. At this time, he complained of depression which had begun about two weeks previously and panic attacks. As I have noted above, the timing of the onset of the depression coincided with his sister's decision to move out of the family home. The plaintiff was prescribed Celexa and Ativan but he raised no physical symptoms with Dr. Yong.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saw Dr. Yong in October 2007, complaining of back pain and a new symptom, left-sided hip and lumbar pain. He also received medication for insomnia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January 2, 2008, after the plaintiff had walked away from his employment with Johl Consulting, he saw Dr. Yong for an asthma attack. Two days later he saw Dr. Yong for depression and anxiety "due to stress". Among the diagnoses listed by Dr. Yong at that time were chronic eczema and asthma and a major depressive disorder. This was some 22 months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next two appointments were concerned with the plaintiff's psychological state. He made no complaints concerning his physical symptoms until March 2008, when he had back pain once more which was diagnosed as "thoracic strain". He had no neurological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Yong ordered further investigation of the back pain and on March 18, 2008, following an X-ray of the plaintiff's spine which found anterior wedging, he explained to the plaintiff this could indicate "fracture of the thoracic spine, possibly due to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Once more, the plaintiff presented with psychological symptoms on April 3, 2008. He also had pain in his back for which he was sent for a CT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CT scan took place on May 14, 2008, and again indicated some wedging in the thoracic spine. However, the new diagnosis for the cause of the wedging was Scheuermann's Disease. Dr. Yong suggests that the changes in the thoracic spine could be due to longstanding Scheuermann's Disease not connected to the Accident or could be caused by the Accident itself. He does not come to any conclusion on this point except to agree that the plaintiff never had a fracture of the thoracic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his report, Dr. Yong concludes that the plaintiff has suffered more recurrent attacks of asthma and eczema since the Accident. As a result he infers causation. In cross-examination, however, when presented with the dates the plaintiff had attended at his office for these specific complaints since the Accident, he resiled from the position that the Accident had caused more frequent asthma attacks or had worsened the eczema.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With respect to back pain, Dr. Yong suggests that the Accident made the plaintiff's Scheuermann's Disease symptomatic since he had only once before complained of back pain in connection with an attack of influenza. In fact, Dr. Yong says the plaintiff had not complained of back pain previous to the Accident but he had obviously forgotten about the back pain the plaintiff saw him for in 2002 which Dr. Yong said was associated with a fever.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the date of his report in August 2009, Dr. Yong found the plaintiff to still be symptomatic but only with respect to his back. The other injuries to his right shoulder, neck, elbow and hand seem to have resolved within a few months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However, Dr. Yong does not state his view on the intervening cause and its sequelae presented by the more serious June Accident, in which the plaintiff was at fault and resulted in the car he was driving being written off and $11,000 damage to the truck he rear-ended.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note that again Dr. Yong, no doubt relying on the report given to him by the plaintiff, misstates the extent of the damage caused in the June Accident and says it caused $3,000 to $4,000 damage rather than the $16,000 damage which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Yong referred the plaintiff to Dr. Yu, an orthopaedic surgeon, on July 11, 2008. Dr. Yu's report is short and to the point (Exhibit 3, page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Yu found the plaintiff to be "slightly tender" over the thoracic spine but there were no other physical problems noted. He stated the plaintiff was overweight and should exercise and work on his weight and his posture. He stated the Accident did not cause a compression fracture but that the plaintiff likely had Scheuermann's Disease and possibly osteoporosis as a result of taking steroids for some time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Osteoporosis was subsequently ruled out in a Bone Mineral Density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Under past health, Dr. Yu recorded a history of psychiatric problems and asthma attacks and a two-year use of Prednisone from 2004-2006. He noted, as well, that the plaintiff was a smoker with allergies to dust, wheat and yeast.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By this point in July 2008, the plaintiff had been unemployed since the end of the previous December "due to depression and panic attacks" and Dr. Yu stated that there was no medical contraindication for him to return to work. Dr. Yu does not suggest that there is any physical limitation on the plaintiff's abilities as of July 18, 2008, and his examination of the plaintiff occurred after the plaintiff was involved in the serious June Accident in which he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Yong has had a long association with the plaintiff and this may have affected his objectivity. I do not find that his report deals with issues of importance such as the effect of the June Accident and I find his comments on the effect of the plaintiff's pre-existing physical and psychological problems to be somewhat equivocal. I also note his readiness to attribute the plaintiff leaving his employment with Johl Consulting to depression caused by the Accident and to do so based only on the plaintiff's assertion, when it is clear the plaintiff did not have a history of longevity in any previous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cross-examination, he was often vague and not responsive to questions he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 find Dr. Yong to be singularly unprepared to exercise any critical judgment with respect to the plaintiff's complaints. To borrow from another case in which Dr. Yong was an expert witness, </w:t>
      </w:r>
      <w:r>
        <w:rPr>
          <w:rFonts w:ascii="arial" w:eastAsia="arial" w:hAnsi="arial" w:cs="arial"/>
          <w:i/>
          <w:color w:val="000000"/>
          <w:sz w:val="20"/>
          <w:lang w:val="en-US" w:eastAsia="en-US" w:bidi="ar-SA"/>
        </w:rPr>
        <w:t>Morales v. Neilsen</w:t>
      </w:r>
      <w:r>
        <w:rPr>
          <w:rFonts w:ascii="arial" w:eastAsia="arial" w:hAnsi="arial" w:cs="arial"/>
          <w:color w:val="000000"/>
          <w:sz w:val="20"/>
          <w:lang w:val="en-US" w:eastAsia="en-US" w:bidi="ar-SA"/>
        </w:rPr>
        <w:t>, (November 10, 2009), Vancouver M083200 (B.C.S.C.), at para.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think it is fair to say that Dr. Yong's diagnosis and prognosis is heavily dependent on the credibility of the plaintiff's complaints and description of symptoms over the course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While I can sympathize with Dr. Yong's desire to assist his patient, the plaintiff, it has undermined the integrity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sum, I cannot give great weight to Dr. Yong's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Dr. Matrick's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Matrick is a psychiatrist to whom Dr. Yong referred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Matrick saw the plaintiff on July 21, 2009, some three years and four months after the Accident and one year after the June Accident. The timeliness of his report is therefore somewhat in question as is the impact of the intervening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particular difficulty presented by Dr. Matrick's report (Exhibit 4) is that it is entirely based on the self reporting of the plaintiff. Of course, Dr. Matrick does have clinical experience in psychiatry and his experience does permit him the ability to do some independent observation of the plaintiff but it is clear that the foundation of the report must necessarily be based on what the plaintiff says he feels.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For example, the plaintiff told Dr. Matrick he had suffered spinal fractures in the Accident, a misstatement which could well have led Dr. Matrick to believe the Accident was more serious than it was. By 2009, when the plaintiff saw Dr. Matrick, he had been informed by Dr. Yong that he did not suffer spinal fractures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note as well that in his report, Dr. Matrick simply accepts that the Accident caused all of the negative psychological symptoms reported by the plaintiff. His conclusion at page 5 is telling:</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Mr. Dhaliwal's psychiatric disorders were certain to be caused by the accident of April 15, 2006 and his past history of psychiatric illnesses were [sic] aggravated by the motor vehicle accident of April 15,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report also contains several factual errors. For example, at page 4, paragraph 1, under "Opinions", Dr. Matrick indicates that the plaintiff told him he had suffered back injuries in the Accident and "had two fractures of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paragraph 6 under "Opinions", he states that Mr. Dhaliwal's asthma and skin disorder were made worse and aggravated by the Accident. This opinion is not supported by Dr. Yong's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At paragraph 10 he states: "Mr. Dhaliwal was unemployed for approximately one year after the Accident and was on long term disability due to his physical and psychiatric disorders." Dr. Matrick appears not to know that the plaintiff was unemployed at the time of the Accident, did not search for employment until October 2006, and found it in January 2007. At no time was the plaintiff in receipt of long term disability benefits. Earlier in his report, he states that the plaintiff did return to work for a short time after the Accident but this is also not correct. In fact, in cross examination, he agreed he had no knowledge of the plaintiff's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Matrick also refers to the plaintiff's "serious spinal injuries" in paragraph 16, an opinion not supported by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Matrick makes reference to the June Accident, but only briefly, and says it exacerbated the plaintiff's existing problems caused by the Accident. Once again, I find this surprising considering the June Accident was much closer in time to his meeting with the plaintiff than the Accident of April 15, 2006, was much more serious, caused far more property damage and resulted in his girlfriend suing the plaintiff. Dr. Matrick was not given any information regarding the extent of damage to the vehicles in either the Accident or the June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That the plaintiff has psychological and psychiatric issues I do not doubt, but I find it more probable that his problems arose from his longstanding and pre-Accident vulnerabilities which had manifested themselves in depression and anxiety on a number of occasions such that the plaintiff had been medicated by his doctor in the past. As Dr. Yong put it, the plaintiff's crises are triggered by any stressors in his life. Since the depression, for which he consulted Dr. Yong after the Accident, seems to have abated for more than a year before recurring when his sister moved out, this seems to support Dr. Yong's comment. Initially, the plaintiff may well have had some psychological symptoms occasioned by the Accident, but those symptoms had resolved to the extent the plaintiff was free of psychological symptoms until such time as another stressor triggered a recurrence of the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plaintiff's depression in January of 2008 coincided with him leaving his employment with Johl Consulting where he was forced to do a restraint procedure he disliked intensely and which hurt his back. Hence he had another reactive depression. He also qualified for Employment Insurance sickness benefits by January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will not canvass the entire report in detail except to say that all of the major findings are based on the plaintiff's self reporting. Even the results of the Burns and Beck Inventories for depression are tabulated based on multiple choice answers given by the plaintiff which are easily slanted if a result indicating depression is desired or, which could reflect a depression caused by stressors such as unemployment, litigation anxiety, and the lawsuit brought by his girlfriend.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short, nothing in Dr. Matrick's report persuades me that the Accident caused the long term psychiatric illnesses posited by Dr. Matrick. The link to causation is not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do take from Dr. Yong's report that the Accident constituted a stressor in the plaintiff's life and I will consider that factor in my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Plaintiff's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At trial the plaintiff denied in cross-examination that he had suffered from depression before the Accident although he admitted to panic attacks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Although the plaintiff repudiated this, Dr. Matrick's report indicates the plaintiff told him he had suffered from depression and anxiety since his separation from his father when he was 8 years old. As well, in his Examination for Discovery on May 28, 2009, there was the following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you experienced depression before the accident;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'03 I was depressed about my breathing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were experiencing depression in say, 2005/2006, 2006 before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remember. Do you mean with my breathing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experiencing depression in 2005 or the first few months of 2006 for any reason?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remember. Like it's been around so often I don't know when I haven't had it. There's probably been a time where - like I never knew how to use antidepressants before. I would always go to the doctor, freak out, tell him my problems. He'd give me pills and I'd go home and take them for a day or two, and I'd be like, "Wow, these pills work," and then I'd stop taking them. But ever since the accidents, constantly, I haven't taken them, experienced the first 10 to 14 days and then after it gets better. At the same time, I don't want to take them as well. I feel like I have to take antidepressants for the rest of my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subsequently stated at trial that he had not suffered depression until 2003 when he had an asthma attack and that, in his answers on discovery and conversations with his doctors, he had confused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 also stated that an entry in Dr. Yong's records for June 14, 2007, indicating that his depression was coming back with his sister moving out, was a mistake by Dr. Yong.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However, the plaintiff then testified (Tr. December 18, 2009 p. 63, l. 34) that he has always been in a depressed state, with the only change being the level of its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It is my view that the plaintiff's statement that he has always been in a depressed state reflects more accurately his state of mind at the time of the Accident. Thus, while the Accident caused him some additional stress over a short period of time, the plaintiff's pre-existing condition of depression would have manifested itself in any event of the Accident with the presence of such stressful circumstances as unemployment and accompanying poverty, his sister to whom he was close moving out, or the pressure of tasks he disliked at work. Any of these could result in depression for the plaintiff and no doubt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depression which followed the Accident and which can be attributed to it was merely an increase in his usual level of depression to one which was more severe for a period of about a year. However, the depression was not so disabling that he was unable to work and had he taken the medication prescribed by Dr. Yong as he was supposed to, he would have seen improvement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has described the side effects of the antidepressant Celexa as causing him to suffer from a flat affect such that he was oblivious to the feelings of others. No doubt this side effect impaired his relationships but the fact that he is now able to take Celexa along with other medications apparently without side effects and is feeling better, suggests to me that the Accident was not the causative factor of his depression after one year but rather on its recurrence triggered by his sister leaving, it was his failure to take his medication regularly and failure to seek other medications and treatments, which exacerbated his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To the extent that the plaintiff suffered from anxiety as a separate condition, I find that the anxiety was associated with his pre-existing eczema and asthma, neither of which was made worse by the Accident, according to Dr. Yong.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Plaintiff's Mid-Back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other physical injury, which the plaintiff argues is enduring and caused by the Accident, is his mid-back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complication with this alleged injury is that the sum of the medical evidence suggests that there may well be some connection with the plaintiff's pre-existing but relatively asymptomatic Scheuermann's Disease which causes a wedging of the vertebrae which may at first glance appear as if it were a form of spinal fracture, as it did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July 2008, Dr. Yu, the only orthopod who examined the plaintiff, found only mild tenderness in the mid back, insufficient to restrict the plaintiff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also opined that it was possible the plaintiff had Scheuermann's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indicated by Dr. Yong, this condition may remain entirely asymptomatic but it can cause some people to experience back pain, although this is more common in teenagers.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had pain in his back when he was younger, but Dr. Yong believed it to be associated with fever.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However, once the patient has physically matured, the patient can be left with a greater kyphosis than normal. Presumably, this is the reason why Dr. Yu suggested the plaintiff required postural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Kyphosis is the concave curve of the thoracic spine above the lordosis which is the convex curve of the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It is my view that the circumstances of the Accident were so innocuous that it is unlikely the plaintiff would have suffered sufficient injury to have his Scheuermann's Disease rendered symptomatic for the rest of his life and there is no evidence of any other physical condition which would explain the plaintiff's continuing mid-back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has been noted by many judges, while the lack of serious property damage on collision is not itself determinative of the lack of injury, it is a factor which may be considered in assessing the probability of long lasting injury resulting from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On a balance of probabilities, I find that the plaintiff suffered a mild soft tissue injury to his thoracic spine which remained symptomatic for approximately six months and was occasionally troublesome thereafter. The plaintiff's back pain which bothered him after January 2007 was more likely to have been caused by his employment at Johl Consulting and the restraint technique he was required to use. The evidence which supports this finding I take from the fact that the more the plaintiff was required to restrain his client, the more pain he had in his mid-back.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There is also a link between his increased back pain and his depression, as is demonstrated by the fact that after the June Accident, he experienced more psychological symptoms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Accident likely triggered some mid-back pain which largely resolved within six months, but the tasks of the plaintiff's then employment coupled with his postural problems caused by the Scheuermann's Disease are more likely the cause of his continuing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find the June Accident caused the plaintiff pain in his mid-back, but of course this problem cannot be laid at the feet of the defendant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will also note that I found the plaintiff to be a witness who, on several occasions, recast his evidence to try to put his claim for damages in the most favourable light. He blamed Dr. Yong for misunderstanding his evidence regarding the damage suffered in the Accident which could have led Dr. Yong to believe the plaintiff's injuries were more serious, and he denied having told Dr. Matrick of his longstanding history of depression. Where Dr. Matrick would have obtained this information other than from the plaintiff is puzzling and I find this selective reporting by the plaintiff to reflect badly on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purpose of non-pecuniary damage awards is to compensate the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 see also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While each award must be made with reference to the particular circumstances and facts of the case, other cases may serve as a guide to assist the court in arriving at an award that is just and fair to both parties: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There are a number of factors that courts must take into account when assessing this type of claim. Madam Justice Kirkpatrick, writing for the majority,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outlines the factors to consider,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the circumstances of this case, I must also consider the plaintiff's history of pre-existing conditions. I say this notwithstanding the requirement that the defendant must take the plaintiff as he finds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role that damages plays is to place the plaintiff, as much as possible, in his original position. It is not the obligation of the defendant to put the plaintiff in a better condition than he was in. As noted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473-474, </w:t>
      </w:r>
      <w:hyperlink r:id="rId66"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per Mr. Justice Major: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is liable for the injuries caused, even if they are extreme, but need not compensate the plaintiff for any debilitating effects of the pre-existing condition which the plaintiff would have experienced anyway. The defendant is liable for the additional damage but not for the pre-existing damage. ...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Also, as noted by the Court of Appeal in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28, </w:t>
      </w:r>
      <w:hyperlink r:id="rId71" w:history="1">
        <w:r>
          <w:rPr>
            <w:rFonts w:ascii="arial" w:eastAsia="arial" w:hAnsi="arial" w:cs="arial"/>
            <w:i/>
            <w:color w:val="0077CC"/>
            <w:sz w:val="20"/>
            <w:u w:val="single"/>
            <w:shd w:val="clear" w:color="auto" w:fill="FFFFFF"/>
            <w:lang w:val="en-US" w:eastAsia="en-US" w:bidi="ar-SA"/>
          </w:rPr>
          <w:t>22 B.C.L.R. (4th) 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 a pre-existing condition, whether it is quiescent or active, is part of the plaintiff's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goes on, at para. 48,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 Whether manifest or not, a weakness inherent in a plaintiff that might realistically cause or contribute to the loss claimed regardless of the tort is relevant to the assessment of damages. It is a contingency that should be accounted for in the award. Moreover, such a contingency does not have to be proven to a certainty. Rather, it should be given weight according to its relative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 noted above, I have found the plaintiff to have suffered mild injury to his neck, back and shoulder and two fingers of his right hand which resolved after a few months; mild to moderate pain in his mid back which lasted longer but which was affected by the tasks of his employment and by his pre-existing condition; and brief exacerbation of his pre-existing depression and associated symptoms such as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 did not describe a loss of recreational activities with the exception that he did not go out with his friends as much as he did pre-Accident. He did not call his friends to corroborate this evidence, but I will accept that he tended to stay home more when his back bothered him and when he was depressed. The evidence was not specific as to the duration of this isolation caused by the injuries of the Accident. Therefore, I find that it corresponded with the time the plaintiff stated his general injuries resolved, or about six months. In any event, in the absence of corroborating evidence from his friends, I cannot find this change in his life to represent a significant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also testified that his sexual relationship with his girlfriend diminished as a result of his injuries and depression. His girlfriend testified the Accident may have affected the plaintiff's libido, but in her view, she is not affected and their relationship is not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plaintiff's girlfriend is hopeful they will be married some day, so the plaintiff's claim that their relationship has been generally detrimentally affected by the Accident does not seem to hold up, given that she has expressed her long term wish to remain with the plaintiff and she is the one who has in the past initiated their breakups. Her continuing patience with him and her willingness to take him back when he comes to her begging for another chance are other indications that the Accident does not seem to have affected her commitment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is a young man and seems to be doing reasonably well at present. I do not consider that he has proved a loss of lifestyle and he is certainly not stoic or inclined to conceal his complaints so that I am very satisfied he has seen a doctor in connection with the Accident when he felt the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have considered the authorities submitted by both counsel on the appropriate range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cases submitted by the plaintiff suggest a range of $30,000 to $70,000 for non-pecuniary damages but the cases presented deal with more serious injuries than those proved here. I consider that the cases put forward by the defendants, which awarded damages ranging from $5,000 to $11,000, to be too low where there are some injuries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most apt decision presented before me is that of </w:t>
      </w:r>
      <w:r>
        <w:rPr>
          <w:rFonts w:ascii="arial" w:eastAsia="arial" w:hAnsi="arial" w:cs="arial"/>
          <w:i/>
          <w:color w:val="000000"/>
          <w:sz w:val="20"/>
          <w:lang w:val="en-US" w:eastAsia="en-US" w:bidi="ar-SA"/>
        </w:rPr>
        <w:t>Lubick v. Mei and another,</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2008 BCSC 555</w:t>
        </w:r>
      </w:hyperlink>
      <w:r>
        <w:rPr>
          <w:rFonts w:ascii="arial" w:eastAsia="arial" w:hAnsi="arial" w:cs="arial"/>
          <w:color w:val="000000"/>
          <w:sz w:val="20"/>
          <w:lang w:val="en-US" w:eastAsia="en-US" w:bidi="ar-SA"/>
        </w:rPr>
        <w:t>, in which the plaintiff suffered moderate left lower back injury and mild neck soft tissue injury as a result of a minor rear-end accident, with the lower back injury taking a year or so to resolve with some minor residual discomfort. In that case, Mr. Justice Macaulay awarded non-pecuniary damages of $18,000.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the circumstances before me, I would have awarded this plaintiff $25,000 in non-pecuniary damages were it not for his pre-existing conditions. I have considered the instructions by the Court of Appeal to consider such conditions as a contingency in making the assessment necessary and I will award this amount less a 20% deduction for a total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Special damages are agreed at $1,023.00.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Damages, Estimating Pecuniary Loss</w:t>
      </w:r>
      <w:r>
        <w:rPr>
          <w:rFonts w:ascii="arial" w:eastAsia="arial" w:hAnsi="arial" w:cs="arial"/>
          <w:color w:val="000000"/>
          <w:sz w:val="20"/>
          <w:lang w:val="en-US" w:eastAsia="en-US" w:bidi="ar-SA"/>
        </w:rPr>
        <w:t>, Vol. 1 (Aurora: Canada Law Book, December 2009) author Cara L. Brown wrote, at 1- 7: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important starting point for any forensic economist is to review the plaintiff's employment and education history. It will be this history which determines the benchmark salary.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I have noted, the plaintiff has a spotty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He was unemployed at the time of the Accident and, without medical advice, determined on his own that he was unable to look for work for another six and a half months. Pre-Accident, he left it to his former union to find him a job. Post-Accident, it took the efforts of his sister in October 2006, to start him actively inquiring about work. His efforts to find work were somewhat desultory: he read the paper and looked on the Internet although he could not recall any of the names of the companies where he applied and had no copies of emails or letters or a resume which he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His evidence was that he made about one application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 found work in January 2007, through his sister, not through his own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His employment limitations are clear: he lacks a Grade 12 diploma. As well, since he had unilaterally decided he could no longer do the entry level physical work he had done pre-Accident, he limited his choices substantially.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have concluded that the injuries caused by the Accident were largely resolved by the time he commenced employment with Johl Consulting and I have also found that he did not search for work at any time post-Accident until October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am not satisfied that the plaintiff has proved that he could not commence a job search or work at any employment for a period of 10 months post-Accident due to the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It is my view that within a month of the Accident, the plaintiff could have begun searching for employment with a view to doing some kind of work, even part-time. He was not totally disabled after the Accident and up until October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note as well that the plaintiff did not call a witness from Johl Consulting to give evidence on when the job with Johl Consulting would have been available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picture presented by the plaintiff is one of a passive young man lacking focus and motivation and who is not prepared to make much effort to improve his life. His failure to progress cannot be attributed to the injuries caused by the Accident and his past loss of income is not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decline to make an award for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British Columbia Court of Appeal has recently restated the principles a court must consider in determining awards for loss of future earning capacity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Madam Justice Garson, speaking for a unanimous Court, made the following comments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that there is a real and substantial possibility of a future event leading to an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And as noted in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 . . The claimant bears the onus to prove at trial a substantial possibility of a future event leading to an income loss, and the court must then award compensation on an estimation of the chance that the event will occur: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w:t>
      </w:r>
      <w:hyperlink r:id="rId290" w:history="1">
        <w:r>
          <w:rPr>
            <w:rFonts w:ascii="arial" w:eastAsia="arial" w:hAnsi="arial" w:cs="arial"/>
            <w:i/>
            <w:color w:val="0077CC"/>
            <w:sz w:val="20"/>
            <w:u w:val="single"/>
            <w:shd w:val="clear" w:color="auto" w:fill="FFFFFF"/>
            <w:lang w:val="en-US" w:eastAsia="en-US" w:bidi="ar-SA"/>
          </w:rPr>
          <w:t>169 D.L.R. (4th) 661</w:t>
        </w:r>
      </w:hyperlink>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at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note that Dr. Yong's report closes with an optimistic consideration of the plaintiff's back problem. He believes the plaintiff will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issues which limit the future capacity of the plaintiff are issues which do not relate to the Accident. He has not completed high school and many of the jobs in the field he now considers his calling, require a high school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any event, it is my view that the injuries attributable to the Accident have resolved and there is no evidence which would establish the basis for a substantial possibility of a future event leading to an income loss, which would give rise to compensation for diminished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Any of the conditions from which the plaintiff now suffers are a result of his pre-existing conditions or of the June Accident and the plaintiff has failed to prove any loss of capacity to earn income arising from the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the circumstances of this case, I consider the loss of capacity to be one with the future loss of opportunity. Counsel for the plaintiff has argued that damages should be awarded under both heads as separate matters. I do not agree and consider the two to be subsumed under the head of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So that it is clear I have considered the bare assertion made by the plaintiff that the plaintiff "is still unable to work full time", I point out that the plaintiff walked away from a full time job without any approach to his employer to request accommodation. That he has found a part-time job, is a matter of choice for him, particularly when he has given evidence that his former employer would like him to return to her employ.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continuing emotional lability of the plaintiff has also been raised as a ground for an award under this head. It is my understanding from the evidence of the plaintiff that he has always cried easily and this remains unchanged. Certainly at trial, some four years after the Accident, the plaintiff was in tears a number of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But the nature of his injuries caused by the Accident would not have resulted in the kind of impairment which would give rise to a substantial possibility of diminished future opportunity which would result in a financial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As I have not awarded damages for loss of income, I will not consider the mitigation argument with respect to the plaintiff's voluntary exit from his job at Johl Consulting.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evidence is not entirely satisfactory with respect to efforts made by the plaintiff to deal with his injuries but I will accept that he did some exercises. That his failure to lose weight may have slowed his recovery may well be so but there is no conclusive medical evidence to support this contention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plaintiff's award of damages will not be reduced by reason of his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 award the plaintiff $20,000.00 in non-pecuniary damages and $1,023.00 in special damages. Subject to any submissions by the parties, the plaintiff shall have his costs and pre-judgment interest under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Madam Justice Russell dated April 30, 2010 have been edited.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1 of the Reasons for Judgment the name of the second counsel for the Defendants has been changed from K. Webster to K. Baldwin.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0"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Douez v. Facebook, Inc., [2019] B.C.J. No. 824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Iyer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S122316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824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715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Deborah Louise Douez, Plaintiff, and Facebook,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1"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9" w:name="Keywords_13"/>
      <w:bookmarkEnd w:id="89"/>
      <w:r>
        <w:rPr>
          <w:rFonts w:ascii="arial" w:eastAsia="arial" w:hAnsi="arial" w:cs="arial"/>
          <w:b/>
          <w:color w:val="000000"/>
          <w:sz w:val="20"/>
          <w:lang w:val="en-US" w:eastAsia="en-US" w:bidi="ar-SA"/>
        </w:rPr>
        <w:t>Civil Litigation — Civil procedure — Parties — Class or representative actions — Common interests and issues — Members of class or sub-class — Procedure — Representative plaintiff — Pleadings — Amendment of — Statement of claim — Application by the representative plaintiff in British Columbia class proceeding for leave to amend certification order allowed — Class proceeding was brought against Facebook for allegedly using class members' names and images without knowledge or consent in violation of Privacy Act — Plaintiff sought to amend certification order to add residents of Manitoba, Newfoundland and Labrador and Saskatchewan, which had similar privacy legislation — Proposed amendments contained identifiable class and cause of action — Class proceeding remained preferable procedure despite individual issues — Plaintiff continued to be suitable representative plaintiff — Proposed amendment to add disgorgement was common issue — Class Proceedings Act, ss. . 4(1), 4(1)(a), 4(1)(c), 4(1) (d), 4(2), 6, 6(1)(a) — Competition Act, ss. 36, 45 — Limitation of Actions Act (Man.), ss. 2(1)(d), 14(1), 14(1) (a), 15(2) — Limitations Act (Nlfd.), ss. 5(j), 13(1) — Limitations Act (Sask.), ss. 5, 6 — Privacy Act (B.C.), ss. 1(2), 1(3), 3(2) — Privacy Act (Man.), s. 4(1)(c) — Privacy Act (Nfld.), s. 6(1)(c) — Privacy Act (Sask.), s. 7(c).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0" w:name="Case Summary_12"/>
            <w:bookmarkEnd w:id="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representative plaintiff in a British Columbia class proceeding for leave to amend the certification order. The class proceeding was brought against Facebook regarding its alleged use of class members' names and images without their knowledge or consent in an advertising program called "Sponsored Stories." Under the program, when a Facebook member "liked" a product by a particular advertiser, Facebook generated an endorsement using the member's name and profile picture, and caused that endorsement to appear on the news feeds of that member's Facebook friends. Facebook did not advise its members of its use of their names and images for this purpose, or remunerate them for that use. The class claim was that the Sponsored Stories program violated class members' rights to privacy under the Privacy Act. The class proceeding was certified in March 2014. Manitoba, Newfoundland and Labrador and Saskatchewan had similar privacy legislation. The plaintiff sought to amend certification order to add the residents of those other provinces to the class and to add a new common issue that would require the defendant Facebook, Inc. to disgorge any profits if found liable. Facebook opposed the application in its entirety.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1" w:name="Holdings of Court_10"/>
            <w:bookmarkEnd w:id="9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amendments contained an identifiable class and cause of action. The new claim did not constitute a fundamental change. The discoverability rules applied to all non-resident claims. The merits of the limitations defences were not considered. The privacy statutes of all four jurisdictions set out the same legal test with the same elements required to prove a breach. The common issue requirement was clearly met despite the individual nature of the discoverability issue. The class proceeding still remained the preferable procedure despite the individual issues. The fact that it was likely that many class members did not know they had a claim because Facebook had not disclosed its use of their names and images strongly supported a class proceeding as the preferable procedure. The plaintiff continued to be suitable representative plaintiff for all of the class members despite the need for non-resident subclasses. The proposed amendment to add disgorgement was a common issue.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2" w:name="Counsel_13"/>
      <w:bookmarkEnd w:id="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2"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C. Rhone, A. Sharon.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 Mallett, W.D. Rankin.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3" w:name="Judgment_13"/>
      <w:bookmarkEnd w:id="93"/>
      <w:r>
        <w:pict>
          <v:line id="_x0000_s1093" style="position:absolute;z-index:2517749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Test for amending the Certification Order</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2. Should the Certification Order be amended to include the Non-Residents?</w:t>
      </w:r>
    </w:p>
    <w:p>
      <w:pPr>
        <w:spacing w:before="120" w:line="260" w:lineRule="atLeast"/>
        <w:ind w:firstLine="240"/>
        <w:rPr>
          <w:rFonts w:ascii="arial" w:eastAsia="arial" w:hAnsi="arial" w:cs="arial"/>
          <w:sz w:val="20"/>
          <w:lang w:val="en-US" w:eastAsia="en-US" w:bidi="ar-SA"/>
        </w:rPr>
      </w:pPr>
      <w:r>
        <w:rPr>
          <w:rFonts w:ascii="arial" w:eastAsia="arial" w:hAnsi="arial" w:cs="arial"/>
          <w:b/>
          <w:i/>
          <w:color w:val="000000"/>
          <w:sz w:val="20"/>
          <w:lang w:val="en-US" w:eastAsia="en-US" w:bidi="ar-SA"/>
        </w:rPr>
        <w:t>a. Does the proposed addition of the non-resident subclasses disclose a cause of action under s. 4(1)(a)?</w:t>
      </w:r>
    </w:p>
    <w:p>
      <w:pPr>
        <w:spacing w:before="120" w:line="260" w:lineRule="atLeast"/>
        <w:ind w:firstLine="240"/>
        <w:rPr>
          <w:rFonts w:ascii="arial" w:eastAsia="arial" w:hAnsi="arial" w:cs="arial"/>
          <w:sz w:val="20"/>
          <w:lang w:val="en-US" w:eastAsia="en-US" w:bidi="ar-SA"/>
        </w:rPr>
      </w:pPr>
      <w:r>
        <w:rPr>
          <w:rFonts w:ascii="arial" w:eastAsia="arial" w:hAnsi="arial" w:cs="arial"/>
          <w:b/>
          <w:i/>
          <w:color w:val="000000"/>
          <w:sz w:val="20"/>
          <w:lang w:val="en-US" w:eastAsia="en-US" w:bidi="ar-SA"/>
        </w:rPr>
        <w:t>b. Do the proposed amendments satisfy the requirements of commonality and preferability in ss. 4(1)(c) and (d)?</w:t>
      </w:r>
    </w:p>
    <w:p>
      <w:pPr>
        <w:spacing w:before="120" w:line="260" w:lineRule="atLeast"/>
        <w:ind w:firstLine="240"/>
        <w:rPr>
          <w:rFonts w:ascii="arial" w:eastAsia="arial" w:hAnsi="arial" w:cs="arial"/>
          <w:sz w:val="20"/>
          <w:lang w:val="en-US" w:eastAsia="en-US" w:bidi="ar-SA"/>
        </w:rPr>
      </w:pPr>
      <w:r>
        <w:rPr>
          <w:rFonts w:ascii="arial" w:eastAsia="arial" w:hAnsi="arial" w:cs="arial"/>
          <w:b/>
          <w:i/>
          <w:color w:val="000000"/>
          <w:sz w:val="20"/>
          <w:lang w:val="en-US" w:eastAsia="en-US" w:bidi="ar-SA"/>
        </w:rPr>
        <w:t>c. Is Ms. Douez an appropriate representative plaintiff for the proposed non-resident subclasses?</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3. Should a new common issue be added about disgorgement of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4" w:name="N. IYER J."/>
            <w:bookmarkEnd w:id="94"/>
            <w:r>
              <w:rPr>
                <w:rFonts w:ascii="arial" w:eastAsia="arial" w:hAnsi="arial" w:cs="arial"/>
                <w:b/>
                <w:color w:val="000000"/>
                <w:sz w:val="30"/>
                <w:lang w:val="en-US" w:eastAsia="en-US" w:bidi="ar-SA"/>
              </w:rPr>
              <w:t>N. IYER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application arises out of a class proceeding brought in British Columbia against Facebook regarding its alleged use of class members' names and images without their knowledge or consent in an advertising program called "Sponsored Stories." Under this program, when a Facebook member "liked" a product by a particular advertiser, Facebook generated an endorsement using the member's name and profile picture, and caused that endorsement to appear on the news feeds of that member's Facebook friends. Facebook did not advise its members of its use of their names and images for this purpose, or remunerate them for that use. The class claim is that Facebook's Sponsored Stories program violated class members' rights to privacy under British Columbia's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notice of civil claim was filed in March 2012, with Ms. Douez as the representative plaintiff of a class consisting of British Columbia residents. The class was certified on March 30, 2014 ("Certification Order"). Facebook has not yet filed its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Douez now seeks to amend the Certification Order to add residents of Manitoba, Saskatchewan, and Newfoundland and Labrador to the class with Ms. Douez continuing as the representative plaintiff, and to add a new common issue that would require Facebook to disgorge any profits, if it is found liable in the class action. Ms. Douez has identified Manitoba, Saskatchewan, and Newfoundland and Labrador as appropriate jurisdictions because she says their privacy statutes afford the same protection as British Columbia's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Facebook opposes the application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This litigation has a lengthy history. After Ms. Douez filed the notice of civil claim, Facebook applied to have the court decline jurisdiction before considering certification. That application was unsuccessful: </w:t>
      </w:r>
      <w:hyperlink r:id="rId298" w:history="1">
        <w:r>
          <w:rPr>
            <w:rFonts w:ascii="arial" w:eastAsia="arial" w:hAnsi="arial" w:cs="arial"/>
            <w:i/>
            <w:color w:val="0077CC"/>
            <w:sz w:val="20"/>
            <w:u w:val="single"/>
            <w:shd w:val="clear" w:color="auto" w:fill="FFFFFF"/>
            <w:lang w:val="en-US" w:eastAsia="en-US" w:bidi="ar-SA"/>
          </w:rPr>
          <w:t>2012 BCSC 2097</w:t>
        </w:r>
      </w:hyperlink>
      <w:r>
        <w:rPr>
          <w:rFonts w:ascii="arial" w:eastAsia="arial" w:hAnsi="arial" w:cs="arial"/>
          <w:color w:val="000000"/>
          <w:sz w:val="20"/>
          <w:lang w:val="en-US" w:eastAsia="en-US" w:bidi="ar-SA"/>
        </w:rPr>
        <w:t xml:space="preserve">. Justice Griffin (as she then was) heard the certification application and the jurisdictional challenge together: </w:t>
      </w:r>
      <w:hyperlink r:id="rId299" w:history="1">
        <w:r>
          <w:rPr>
            <w:rFonts w:ascii="arial" w:eastAsia="arial" w:hAnsi="arial" w:cs="arial"/>
            <w:i/>
            <w:color w:val="0077CC"/>
            <w:sz w:val="20"/>
            <w:u w:val="single"/>
            <w:shd w:val="clear" w:color="auto" w:fill="FFFFFF"/>
            <w:lang w:val="en-US" w:eastAsia="en-US" w:bidi="ar-SA"/>
          </w:rPr>
          <w:t>2014 BCSC 953</w:t>
        </w:r>
      </w:hyperlink>
      <w:r>
        <w:rPr>
          <w:rFonts w:ascii="arial" w:eastAsia="arial" w:hAnsi="arial" w:cs="arial"/>
          <w:color w:val="000000"/>
          <w:sz w:val="20"/>
          <w:lang w:val="en-US" w:eastAsia="en-US" w:bidi="ar-SA"/>
        </w:rPr>
        <w:t>. Facebook argued the action should be stayed as a result of the forum selection clause in the terms of use with which individuals must agree as a condition of becoming Facebook members ("Terms of Use"). Griffin J. dismissed this argument and made the Certification Order, describing the class and stating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Facebook appealed to the Court of Appeal. The appeal was allowed, with the Court holding that the forum selection clause in the Terms of Use was enforceable and that Ms. Douez failed to show a strong cause not to enforce it: </w:t>
      </w:r>
      <w:hyperlink r:id="rId300" w:history="1">
        <w:r>
          <w:rPr>
            <w:rFonts w:ascii="arial" w:eastAsia="arial" w:hAnsi="arial" w:cs="arial"/>
            <w:i/>
            <w:color w:val="0077CC"/>
            <w:sz w:val="20"/>
            <w:u w:val="single"/>
            <w:shd w:val="clear" w:color="auto" w:fill="FFFFFF"/>
            <w:lang w:val="en-US" w:eastAsia="en-US" w:bidi="ar-SA"/>
          </w:rPr>
          <w:t>2015 BCCA 279</w:t>
        </w:r>
      </w:hyperlink>
      <w:r>
        <w:rPr>
          <w:rFonts w:ascii="arial" w:eastAsia="arial" w:hAnsi="arial" w:cs="arial"/>
          <w:color w:val="000000"/>
          <w:sz w:val="20"/>
          <w:lang w:val="en-US" w:eastAsia="en-US" w:bidi="ar-SA"/>
        </w:rPr>
        <w:t>. As a result, there was no need to consider the issues raised by Facebook about the class certification because they were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Ms. Douez appealed to the Supreme Court of Canada. It allowed the appeal and found that the forum selection clause was unenforceable: </w:t>
      </w:r>
      <w:hyperlink r:id="rId301" w:history="1">
        <w:r>
          <w:rPr>
            <w:rFonts w:ascii="arial" w:eastAsia="arial" w:hAnsi="arial" w:cs="arial"/>
            <w:i/>
            <w:color w:val="0077CC"/>
            <w:sz w:val="20"/>
            <w:u w:val="single"/>
            <w:shd w:val="clear" w:color="auto" w:fill="FFFFFF"/>
            <w:lang w:val="en-US" w:eastAsia="en-US" w:bidi="ar-SA"/>
          </w:rPr>
          <w:t>2017 SCC 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That meant that Facebook's appeal relating to the Certification Order was no longer moot, and it proceeded before the Court of Appeal. The Court of Appeal amended one element of the class definition and upheld the chambers judge's definition of the common issues: </w:t>
      </w:r>
      <w:hyperlink r:id="rId302" w:history="1">
        <w:r>
          <w:rPr>
            <w:rFonts w:ascii="arial" w:eastAsia="arial" w:hAnsi="arial" w:cs="arial"/>
            <w:i/>
            <w:color w:val="0077CC"/>
            <w:sz w:val="20"/>
            <w:u w:val="single"/>
            <w:shd w:val="clear" w:color="auto" w:fill="FFFFFF"/>
            <w:lang w:val="en-US" w:eastAsia="en-US" w:bidi="ar-SA"/>
          </w:rPr>
          <w:t>2018 BCCA 186</w:t>
        </w:r>
      </w:hyperlink>
      <w:r>
        <w:rPr>
          <w:rFonts w:ascii="arial" w:eastAsia="arial" w:hAnsi="arial" w:cs="arial"/>
          <w:color w:val="000000"/>
          <w:sz w:val="20"/>
          <w:lang w:val="en-US" w:eastAsia="en-US" w:bidi="ar-SA"/>
        </w:rPr>
        <w:t xml:space="preserve"> ("2018 Appeal"). Facebook's application for leave to appeal this decision to the Supreme Court of Canada was dismissed on March 28,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present, the class definition and approved common issues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Class Definition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British Columbia resident natural persons who are or have been Members of Facebook at any time in the period from January 1, 2011 to May 30, 2014 and: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at any time during this period were registered with Facebook using their real name, or who had a profile picture that included an identifiable self-image, or both; and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whose real name, identifiable portrait, or both were used by Facebook in a Sponsored 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Common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Issue 1</w:t>
      </w:r>
      <w:r>
        <w:rPr>
          <w:rFonts w:ascii="arial" w:eastAsia="arial" w:hAnsi="arial" w:cs="arial"/>
          <w:color w:val="000000"/>
          <w:sz w:val="20"/>
          <w:lang w:val="en-US" w:eastAsia="en-US" w:bidi="ar-SA"/>
        </w:rPr>
        <w:t xml:space="preserve">: What, if any, online actions taken by a class member on the Facebook service constitutes express or implied consent to the use of a class member's name or portrait in a Sponsored Story, such that it constitutes consent within the meaning of s. 3(2)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Issue 2</w:t>
      </w:r>
      <w:r>
        <w:rPr>
          <w:rFonts w:ascii="arial" w:eastAsia="arial" w:hAnsi="arial" w:cs="arial"/>
          <w:color w:val="000000"/>
          <w:sz w:val="20"/>
          <w:lang w:val="en-US" w:eastAsia="en-US" w:bidi="ar-SA"/>
        </w:rPr>
        <w:t xml:space="preserve">: Is a tort under s. 3(2)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provable as an independent tort without regard to the elements of s. 1(2) and (3)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Issue 3</w:t>
      </w:r>
      <w:r>
        <w:rPr>
          <w:rFonts w:ascii="arial" w:eastAsia="arial" w:hAnsi="arial" w:cs="arial"/>
          <w:color w:val="000000"/>
          <w:sz w:val="20"/>
          <w:lang w:val="en-US" w:eastAsia="en-US" w:bidi="ar-SA"/>
        </w:rPr>
        <w:t xml:space="preserve">: Were all or only some Sponsored Stories for the purpose of advertising or promotion within the meaning of s. 3(2)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Issue 4</w:t>
      </w:r>
      <w:r>
        <w:rPr>
          <w:rFonts w:ascii="arial" w:eastAsia="arial" w:hAnsi="arial" w:cs="arial"/>
          <w:color w:val="000000"/>
          <w:sz w:val="20"/>
          <w:lang w:val="en-US" w:eastAsia="en-US" w:bidi="ar-SA"/>
        </w:rPr>
        <w:t xml:space="preserve">: Does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apply to Facebook in relation to British Columbia residents who used Facebook's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Issue 5</w:t>
      </w:r>
      <w:r>
        <w:rPr>
          <w:rFonts w:ascii="arial" w:eastAsia="arial" w:hAnsi="arial" w:cs="arial"/>
          <w:color w:val="000000"/>
          <w:sz w:val="20"/>
          <w:lang w:val="en-US" w:eastAsia="en-US" w:bidi="ar-SA"/>
        </w:rPr>
        <w:t xml:space="preserve">: Are Class Members entitled to damages without individual proof of damage pursuant to s. 3.2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Issue 6</w:t>
      </w:r>
      <w:r>
        <w:rPr>
          <w:rFonts w:ascii="arial" w:eastAsia="arial" w:hAnsi="arial" w:cs="arial"/>
          <w:color w:val="000000"/>
          <w:sz w:val="20"/>
          <w:lang w:val="en-US" w:eastAsia="en-US" w:bidi="ar-SA"/>
        </w:rPr>
        <w:t>: Can the amount of damages be determined on an aggregate basis; if so, in what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Issue 7</w:t>
      </w:r>
      <w:r>
        <w:rPr>
          <w:rFonts w:ascii="arial" w:eastAsia="arial" w:hAnsi="arial" w:cs="arial"/>
          <w:color w:val="000000"/>
          <w:sz w:val="20"/>
          <w:lang w:val="en-US" w:eastAsia="en-US" w:bidi="ar-SA"/>
        </w:rPr>
        <w:t>: Does the Defendant's conduct justify an award of punitive damages in favour of the Class; if so, in what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Issue 8</w:t>
      </w:r>
      <w:r>
        <w:rPr>
          <w:rFonts w:ascii="arial" w:eastAsia="arial" w:hAnsi="arial" w:cs="arial"/>
          <w:color w:val="000000"/>
          <w:sz w:val="20"/>
          <w:lang w:val="en-US" w:eastAsia="en-US" w:bidi="ar-SA"/>
        </w:rPr>
        <w:t xml:space="preserve">: Is the Defendant liable to pay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R.S.B.C. 1998, c. 79;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was assigned as case management judge in June 2018. At judicial management conferences in September and November 2018, Ms. Douez advised that she intended to file an amended notice of civil claim adding the non-resident classes. The basis for this was anticipated amendments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("Act"), that would create an "opt-out" regime for multi-jurisdictional class actions commenced in British Columbia. I set a schedule for filing the amendment and hearing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amendments to the Act became effective in November 2018. In relevant part, they permit certification in British Columbia of multi-jurisdictional actions on an opt-out basis where the basic requirements for certification of a class in s. 4 of the Act are met, and British Columbia is the appropriate venue for the proceeding. Section 44 permits prior certification orders to be amended to add residents of other provinces. Additionally, s. 8(3) of the Act grants the court discretion to amend the certification order upon application by a class member. This section, which existed prior to the amendments, remains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her notice of application, Ms. Douez seeks to:</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 the Certification Order to add residents of Manitoba, Saskatchewan, and Newfoundland and Labrador who meet the other criteria in the class definition ("Non-Residents"), amend the common issues to add references to the privacy statutes of each of those jurisdictions to common issues 1, 3, 4 and 5,</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 herself as the representative plaintiff of the Manitoba, Saskatchewan, and Newfoundland and Labrador class members;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add a new common issue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defendant obligated to account to the plaintiff for any profits that accrued to the defendant by reason or in consequence of the unauthorized use of Class members' name and/or portraits, pursuant to (a) the common law or principles of equity applicable in British Columbia; (b) s. 4(1)(c) of the Manitoba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(c) s. 7(c) of the </w:t>
      </w:r>
      <w:r>
        <w:rPr>
          <w:rFonts w:ascii="arial" w:eastAsia="arial" w:hAnsi="arial" w:cs="arial"/>
          <w:i/>
          <w:color w:val="000000"/>
          <w:sz w:val="20"/>
          <w:lang w:val="en-US" w:eastAsia="en-US" w:bidi="ar-SA"/>
        </w:rPr>
        <w:t>Saskatchewan Privacy Act</w:t>
      </w:r>
      <w:r>
        <w:rPr>
          <w:rFonts w:ascii="arial" w:eastAsia="arial" w:hAnsi="arial" w:cs="arial"/>
          <w:color w:val="000000"/>
          <w:sz w:val="20"/>
          <w:lang w:val="en-US" w:eastAsia="en-US" w:bidi="ar-SA"/>
        </w:rPr>
        <w:t xml:space="preserve">, and (d) s. 6(1)(c) of the </w:t>
      </w:r>
      <w:r>
        <w:rPr>
          <w:rFonts w:ascii="arial" w:eastAsia="arial" w:hAnsi="arial" w:cs="arial"/>
          <w:i/>
          <w:color w:val="000000"/>
          <w:sz w:val="20"/>
          <w:lang w:val="en-US" w:eastAsia="en-US" w:bidi="ar-SA"/>
        </w:rPr>
        <w:t>Newfoundland 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I have noted, Facebook opposes each of these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Test for amending the Certification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threshold for obtaining leave to amend a pleading is low. Leave to amend will usually be granted, subject to considerations such as delay, prejudice and the connection between the existing claim and a proposed new cause of action: </w:t>
      </w:r>
      <w:r>
        <w:rPr>
          <w:rFonts w:ascii="arial" w:eastAsia="arial" w:hAnsi="arial" w:cs="arial"/>
          <w:i/>
          <w:color w:val="000000"/>
          <w:sz w:val="20"/>
          <w:lang w:val="en-US" w:eastAsia="en-US" w:bidi="ar-SA"/>
        </w:rPr>
        <w:t>Chouinard v. O'Connor</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2011 BCCA 121</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same principles govern applications to amend certification orders: </w:t>
      </w:r>
      <w:r>
        <w:rPr>
          <w:rFonts w:ascii="arial" w:eastAsia="arial" w:hAnsi="arial" w:cs="arial"/>
          <w:i/>
          <w:color w:val="000000"/>
          <w:sz w:val="20"/>
          <w:lang w:val="en-US" w:eastAsia="en-US" w:bidi="ar-SA"/>
        </w:rPr>
        <w:t>Coburn and Watson's Metropolitan Home v. Bank of America Corporation</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2016 BCSC 2021</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Coburn</w:t>
      </w:r>
      <w:r>
        <w:rPr>
          <w:rFonts w:ascii="arial" w:eastAsia="arial" w:hAnsi="arial" w:cs="arial"/>
          <w:color w:val="000000"/>
          <w:sz w:val="20"/>
          <w:lang w:val="en-US" w:eastAsia="en-US" w:bidi="ar-SA"/>
        </w:rPr>
        <w:t xml:space="preserve">, Justice G.C. Weatherill outlined two further considerations applicable to class actions. First, if the amendment sought would amount to certification of a new cause of action, the amendment must be assessed under s. 4 of the Act, which establishes the criteria for class certification: at para. 27, citing </w:t>
      </w: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[1998] B.C.J. No. 1542</w:t>
        </w:r>
      </w:hyperlink>
      <w:r>
        <w:rPr>
          <w:rFonts w:ascii="arial" w:eastAsia="arial" w:hAnsi="arial" w:cs="arial"/>
          <w:color w:val="000000"/>
          <w:sz w:val="20"/>
          <w:lang w:val="en-US" w:eastAsia="en-US" w:bidi="ar-SA"/>
        </w:rPr>
        <w:t xml:space="preserve"> (S.C.) at para. 8. Second, amendment will be inappropriate where it would have the effect of reconstituting the action or fundamentally changing the nature of what has been certified: at para. 28, citing </w:t>
      </w:r>
      <w:r>
        <w:rPr>
          <w:rFonts w:ascii="arial" w:eastAsia="arial" w:hAnsi="arial" w:cs="arial"/>
          <w:i/>
          <w:color w:val="000000"/>
          <w:sz w:val="20"/>
          <w:lang w:val="en-US" w:eastAsia="en-US" w:bidi="ar-SA"/>
        </w:rPr>
        <w:t>Maxwell v. MLG Ventures Ltd.</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[1995] O.J. No. 2698</w:t>
        </w:r>
      </w:hyperlink>
      <w:r>
        <w:rPr>
          <w:rFonts w:ascii="arial" w:eastAsia="arial" w:hAnsi="arial" w:cs="arial"/>
          <w:color w:val="000000"/>
          <w:sz w:val="20"/>
          <w:lang w:val="en-US" w:eastAsia="en-US" w:bidi="ar-SA"/>
        </w:rPr>
        <w:t xml:space="preserve"> (Ont. Ct. J.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That said, Weatherill J. affirmed that certification is a "fluid, flexible procedural process" and recognized that courts should be careful not to apply too high a bar to the amendment of certification orders because that might defeat the purposes of the Act: at para. 39, citing </w:t>
      </w:r>
      <w:r>
        <w:rPr>
          <w:rFonts w:ascii="arial" w:eastAsia="arial" w:hAnsi="arial" w:cs="arial"/>
          <w:i/>
          <w:color w:val="000000"/>
          <w:sz w:val="20"/>
          <w:lang w:val="en-US" w:eastAsia="en-US" w:bidi="ar-SA"/>
        </w:rPr>
        <w:t>Halvorson v. British Columbia (Medical Services Commission</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2010 BCCA 267</w:t>
        </w:r>
      </w:hyperlink>
      <w:r>
        <w:rPr>
          <w:rFonts w:ascii="arial" w:eastAsia="arial" w:hAnsi="arial" w:cs="arial"/>
          <w:color w:val="000000"/>
          <w:sz w:val="20"/>
          <w:lang w:val="en-US" w:eastAsia="en-US" w:bidi="ar-SA"/>
        </w:rPr>
        <w:t xml:space="preserve">. Those purposes are judicial economy, access to justice, and behaviour modification: </w:t>
      </w:r>
      <w:r>
        <w:rPr>
          <w:rFonts w:ascii="arial" w:eastAsia="arial" w:hAnsi="arial" w:cs="arial"/>
          <w:i/>
          <w:color w:val="000000"/>
          <w:sz w:val="20"/>
          <w:lang w:val="en-US" w:eastAsia="en-US" w:bidi="ar-SA"/>
        </w:rPr>
        <w:t>Halvorson</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appeal, the Court of Appeal affirmed the test for post-certification amendment stated in </w:t>
      </w:r>
      <w:r>
        <w:rPr>
          <w:rFonts w:ascii="arial" w:eastAsia="arial" w:hAnsi="arial" w:cs="arial"/>
          <w:i/>
          <w:color w:val="000000"/>
          <w:sz w:val="20"/>
          <w:lang w:val="en-US" w:eastAsia="en-US" w:bidi="ar-SA"/>
        </w:rPr>
        <w:t>Coburn and Watson's Metropolitan Home v. Bank of America Corporation</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2017 BCCA 202</w:t>
        </w:r>
      </w:hyperlink>
      <w:r>
        <w:rPr>
          <w:rFonts w:ascii="arial" w:eastAsia="arial" w:hAnsi="arial" w:cs="arial"/>
          <w:color w:val="000000"/>
          <w:sz w:val="20"/>
          <w:lang w:val="en-US" w:eastAsia="en-US" w:bidi="ar-SA"/>
        </w:rPr>
        <w:t xml:space="preserve">, and leave to appeal to the Supreme Court of Canada was refused, </w:t>
      </w:r>
      <w:hyperlink r:id="rId309" w:history="1">
        <w:r>
          <w:rPr>
            <w:rFonts w:ascii="arial" w:eastAsia="arial" w:hAnsi="arial" w:cs="arial"/>
            <w:i/>
            <w:color w:val="0077CC"/>
            <w:sz w:val="20"/>
            <w:u w:val="single"/>
            <w:shd w:val="clear" w:color="auto" w:fill="FFFFFF"/>
            <w:lang w:val="en-US" w:eastAsia="en-US" w:bidi="ar-SA"/>
          </w:rPr>
          <w:t>[2017] S.C.C.A. No. 312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Facebook does not argue prejudice or delay. As the parties agree that the proposed amendment amounts to certification of a new cause of action, it must meet the five criteria for certification set out in s. 4 of the Act. If so, the amendment will be permitted unless it is a reconstitution of or a fundamental change to the certified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Should the Certification Order be amended to include the Non-Residents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proposed amendments must:</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Disclose a cause of action (s. 4(1)(a));</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 an identifiable class (s. 4(1)(b));</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Raise common issues (s. 4(1)(c));</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change the prior determination that a class proceeding is the preferable procedure (s. 4(1)(d));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an appropriate representative plaintiff (s. 4(1)(e)).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Facebook does not dispute that the proposed amendments contain an identifiable class, and I am satisfied that they do.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Does the proposed addition of the non-resident subclasses disclose a cause of action under s. 4(1) (a)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test of whether the proposed amendments disclose a cause of action within the meaning of s. 4(1)(a) is whether, assuming the pleaded facts are true, it is "plain and obvious" that they do not: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Facebook argues that the proposed amendments do not disclose a cause of action because the Non-Residents' claims are statute-barred by each province's applicable limitations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Douez says that limitation defences should not be considered at the certification stage, and the possibility of a successful limitation defence is not a basis for refusing certification of an otherwise valid cause of action. In the alternative, she says that the limitation periods that apply to the Non-Resident claims have not expired based on discoverability rules and, in any event, Facebook cannot rely on any limitation defences because of the equitable doctrine of fraudulent concealment.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Court of Appeal has considered whether a limitation defence should ever be considered at the certification stage. Most recently, in </w:t>
      </w:r>
      <w:r>
        <w:rPr>
          <w:rFonts w:ascii="arial" w:eastAsia="arial" w:hAnsi="arial" w:cs="arial"/>
          <w:i/>
          <w:color w:val="000000"/>
          <w:sz w:val="20"/>
          <w:lang w:val="en-US" w:eastAsia="en-US" w:bidi="ar-SA"/>
        </w:rPr>
        <w:t>Godfrey v. Sony Corporation</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2016 BCSC 844</w:t>
        </w:r>
      </w:hyperlink>
      <w:r>
        <w:rPr>
          <w:rFonts w:ascii="arial" w:eastAsia="arial" w:hAnsi="arial" w:cs="arial"/>
          <w:color w:val="000000"/>
          <w:sz w:val="20"/>
          <w:lang w:val="en-US" w:eastAsia="en-US" w:bidi="ar-SA"/>
        </w:rPr>
        <w:t xml:space="preserve"> at para. 18, aff'd </w:t>
      </w:r>
      <w:hyperlink r:id="rId312" w:history="1">
        <w:r>
          <w:rPr>
            <w:rFonts w:ascii="arial" w:eastAsia="arial" w:hAnsi="arial" w:cs="arial"/>
            <w:i/>
            <w:color w:val="0077CC"/>
            <w:sz w:val="20"/>
            <w:u w:val="single"/>
            <w:shd w:val="clear" w:color="auto" w:fill="FFFFFF"/>
            <w:lang w:val="en-US" w:eastAsia="en-US" w:bidi="ar-SA"/>
          </w:rPr>
          <w:t>2017 BCCA 302</w:t>
        </w:r>
      </w:hyperlink>
      <w:r>
        <w:rPr>
          <w:rFonts w:ascii="arial" w:eastAsia="arial" w:hAnsi="arial" w:cs="arial"/>
          <w:color w:val="000000"/>
          <w:sz w:val="20"/>
          <w:lang w:val="en-US" w:eastAsia="en-US" w:bidi="ar-SA"/>
        </w:rPr>
        <w:t xml:space="preserve">, leave to appeal to SCC granted, </w:t>
      </w:r>
      <w:hyperlink r:id="rId313" w:history="1">
        <w:r>
          <w:rPr>
            <w:rFonts w:ascii="arial" w:eastAsia="arial" w:hAnsi="arial" w:cs="arial"/>
            <w:i/>
            <w:color w:val="0077CC"/>
            <w:sz w:val="20"/>
            <w:u w:val="single"/>
            <w:shd w:val="clear" w:color="auto" w:fill="FFFFFF"/>
            <w:lang w:val="en-US" w:eastAsia="en-US" w:bidi="ar-SA"/>
          </w:rPr>
          <w:t>[2017] S.C.C.A. No. 408</w:t>
        </w:r>
      </w:hyperlink>
      <w:r>
        <w:rPr>
          <w:rFonts w:ascii="arial" w:eastAsia="arial" w:hAnsi="arial" w:cs="arial"/>
          <w:color w:val="000000"/>
          <w:sz w:val="20"/>
          <w:lang w:val="en-US" w:eastAsia="en-US" w:bidi="ar-SA"/>
        </w:rPr>
        <w:t>, the Court of Appeal thoroughly reviewed the law on this point and concluded that, absent exceptional circumstances, limitation arguments should not be considered at the certification stage: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I accept that a limitation period argument can be considered at the certification stage, in exceptional circumstances, but generally should not. In my view, whether or not a limitation period argument </w:t>
      </w:r>
      <w:r>
        <w:rPr>
          <w:rFonts w:ascii="arial" w:eastAsia="arial" w:hAnsi="arial" w:cs="arial"/>
          <w:i/>
          <w:color w:val="000000"/>
          <w:sz w:val="20"/>
          <w:lang w:val="en-US" w:eastAsia="en-US" w:bidi="ar-SA"/>
        </w:rPr>
        <w:t>can</w:t>
      </w:r>
      <w:r>
        <w:rPr>
          <w:rFonts w:ascii="arial" w:eastAsia="arial" w:hAnsi="arial" w:cs="arial"/>
          <w:color w:val="000000"/>
          <w:sz w:val="20"/>
          <w:lang w:val="en-US" w:eastAsia="en-US" w:bidi="ar-SA"/>
        </w:rPr>
        <w:t xml:space="preserve"> be considered at the certification stage, it would not be appropriate to do so here. The limitation period issue in this case is intimately connected with the facts of the alleged conspiracy.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For the reasons I discuss hereafter, the discoverability rule and the doctrine of fraudulent concealment are matters that may have intervened to toll the limitation period in s. 36(4), thereby preserving an action that would otherwise have been brought out of time. In my view, the certification stage is not designed to deal with these sorts of complex, fact-based issues in a case of this kind; such matters must be reserved for trial. Simply put, the limitation period issue here is bound up in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Godfrey</w:t>
      </w:r>
      <w:r>
        <w:rPr>
          <w:rFonts w:ascii="arial" w:eastAsia="arial" w:hAnsi="arial" w:cs="arial"/>
          <w:color w:val="000000"/>
          <w:sz w:val="20"/>
          <w:lang w:val="en-US" w:eastAsia="en-US" w:bidi="ar-SA"/>
        </w:rPr>
        <w:t xml:space="preserve">, the class claim was that certain defendants had breached s. 45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xml:space="preserve">, because they had secretly conspired to fix the prices of optical disc drives and similar products. Related torts were also pleaded. Section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contained a statutory limitation period that required actions based on s. 45 (among other provisions) to be brought within two years of the date the conduct occurred or the date any related criminal proceedings were completed. The proposed class period ran from January 1, 2004, to January 1, 2010. However, the claim was brought in August 2013, after the expiry of the statutory limitation period. On that basis, the defendants argued that the class action should not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chambers judge found that it was not plain and obvious that the limitation defence would succeed because there was uncertainty in the jurisprudence about whether discoverability rules apply to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One line of cases suggested that it does and another suggested that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appeal, the Court of Appeal held that the statutory limitation period was subject to the discoverability rule and, on that basis, concluded that it was not plain and obvious that the limitation period had expired (at para. 90). It added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...[A]lthough there is a competing line of case law suggesting that the discoverability rule cannot apply vis-à-vis the limitation period in s. 36(4), it cannot be said this line of cases makes it "plain and obvious" that the rule cannot apply and therefore the claim must be struck. The "plain and obvious" test is the standard to be applied on a s. 4(1)(a) analysis, and it sets a high threshold for the refusal of certification. In my view, that threshold has not been met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Following </w:t>
      </w:r>
      <w:r>
        <w:rPr>
          <w:rFonts w:ascii="arial" w:eastAsia="arial" w:hAnsi="arial" w:cs="arial"/>
          <w:i/>
          <w:color w:val="000000"/>
          <w:sz w:val="20"/>
          <w:lang w:val="en-US" w:eastAsia="en-US" w:bidi="ar-SA"/>
        </w:rPr>
        <w:t>Godfrey</w:t>
      </w:r>
      <w:r>
        <w:rPr>
          <w:rFonts w:ascii="arial" w:eastAsia="arial" w:hAnsi="arial" w:cs="arial"/>
          <w:color w:val="000000"/>
          <w:sz w:val="20"/>
          <w:lang w:val="en-US" w:eastAsia="en-US" w:bidi="ar-SA"/>
        </w:rPr>
        <w:t>, if the discoverability rule applies to the limitations periods in Saskatchewan, Manitoba, or Newfoundland and Labrador, it is not plain and obvious that these proposed claims will fail, so this is not a basis for finding that there is no cause of action under s. 4(1)(a).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Does the limitations law of Saskatchewan, Manitoba, or Newfoundland and Labrador include a discoverability rule? Answering that question requires consideration of the limitations law of each of these provinces.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Turning first to Saskatchewan, s. 5 of its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S.S. 2004, c. L-16.1</w:t>
        </w:r>
      </w:hyperlink>
      <w:r>
        <w:rPr>
          <w:rFonts w:ascii="arial" w:eastAsia="arial" w:hAnsi="arial" w:cs="arial"/>
          <w:color w:val="000000"/>
          <w:sz w:val="20"/>
          <w:lang w:val="en-US" w:eastAsia="en-US" w:bidi="ar-SA"/>
        </w:rPr>
        <w:t xml:space="preserve">, establishes a two year limitation period that runs from the date on which the claim is "discovered" and s. 6 defines that term to codify a discoverability rule: </w:t>
      </w:r>
      <w:r>
        <w:rPr>
          <w:rFonts w:ascii="arial" w:eastAsia="arial" w:hAnsi="arial" w:cs="arial"/>
          <w:i/>
          <w:color w:val="000000"/>
          <w:sz w:val="20"/>
          <w:lang w:val="en-US" w:eastAsia="en-US" w:bidi="ar-SA"/>
        </w:rPr>
        <w:t>T &amp; C Arndt Minerals Ltd. v. Silver Spur Resources Ltd.</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2018 SKQB 337</w:t>
        </w:r>
      </w:hyperlink>
      <w:r>
        <w:rPr>
          <w:rFonts w:ascii="arial" w:eastAsia="arial" w:hAnsi="arial" w:cs="arial"/>
          <w:color w:val="000000"/>
          <w:sz w:val="20"/>
          <w:lang w:val="en-US" w:eastAsia="en-US" w:bidi="ar-SA"/>
        </w:rPr>
        <w:t xml:space="preserve"> at para. 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Similarly, s. 5(j) of the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S.N.L. 1995, c. L-16.1</w:t>
      </w:r>
      <w:r>
        <w:rPr>
          <w:rFonts w:ascii="arial" w:eastAsia="arial" w:hAnsi="arial" w:cs="arial"/>
          <w:color w:val="000000"/>
          <w:sz w:val="20"/>
          <w:lang w:val="en-US" w:eastAsia="en-US" w:bidi="ar-SA"/>
        </w:rPr>
        <w:t xml:space="preserve">, of Newfoundland and Labrador establishes a limitation period of two years for actions for breach of privacy and s. 13(1) of that statute incorporates the common law rules of discoverability: </w:t>
      </w:r>
      <w:r>
        <w:rPr>
          <w:rFonts w:ascii="arial" w:eastAsia="arial" w:hAnsi="arial" w:cs="arial"/>
          <w:i/>
          <w:color w:val="000000"/>
          <w:sz w:val="20"/>
          <w:lang w:val="en-US" w:eastAsia="en-US" w:bidi="ar-SA"/>
        </w:rPr>
        <w:t>Walsh v. T.R.A. Co.</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2016 NLTD(G) 119</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Manitoba's limitations statute also codifies a discoverability rule, but in a different way. Section 2(1)(d) of the </w:t>
      </w:r>
      <w:r>
        <w:rPr>
          <w:rFonts w:ascii="arial" w:eastAsia="arial" w:hAnsi="arial" w:cs="arial"/>
          <w:i/>
          <w:color w:val="000000"/>
          <w:sz w:val="20"/>
          <w:lang w:val="en-US" w:eastAsia="en-US" w:bidi="ar-SA"/>
        </w:rPr>
        <w:t>Limitation of Actions Act</w:t>
      </w:r>
      <w:r>
        <w:rPr>
          <w:rFonts w:ascii="arial" w:eastAsia="arial" w:hAnsi="arial" w:cs="arial"/>
          <w:color w:val="000000"/>
          <w:sz w:val="20"/>
          <w:lang w:val="en-US" w:eastAsia="en-US" w:bidi="ar-SA"/>
        </w:rPr>
        <w:t>, C.C.S.M. 1987, c. L150, appears to impose a four year limitation on commencement of actions for violations of privacy:</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person is aware of the violation of his privacy at the time the violation occurs, within two years after the occurrence of the violation,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person is not aware of the violation of his privacy at the time the violation occurs, within two years after he first becomes aware of the violation or, by use of reasonable diligence could have become aware of the violation, but in no case after four years from the occurrence of the violation;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However, s. 14 the </w:t>
      </w:r>
      <w:r>
        <w:rPr>
          <w:rFonts w:ascii="arial" w:eastAsia="arial" w:hAnsi="arial" w:cs="arial"/>
          <w:i/>
          <w:color w:val="000000"/>
          <w:sz w:val="20"/>
          <w:lang w:val="en-US" w:eastAsia="en-US" w:bidi="ar-SA"/>
        </w:rPr>
        <w:t>Limitation of Actions Act</w:t>
      </w:r>
      <w:r>
        <w:rPr>
          <w:rFonts w:ascii="arial" w:eastAsia="arial" w:hAnsi="arial" w:cs="arial"/>
          <w:color w:val="000000"/>
          <w:sz w:val="20"/>
          <w:lang w:val="en-US" w:eastAsia="en-US" w:bidi="ar-SA"/>
        </w:rPr>
        <w:t xml:space="preserve"> permits extension of this time limit based on discoverability: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(1) Notwithstanding any provision of this Act or of any other Act of the Legislature limiting the time for beginning an action, the court, on application, may grant leave to the applicant to begin or continue an action if it is satisfied on evidence adduced by or on behalf of the applicant that not more than 12 months have elapsed between</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on which the applicant first knew, or, in all the circumstances of the case, ought to have known, of all material facts of a decisive character upon which the action is based;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on which the application was made to the court for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other words, the court may extend the limitation period for up to two years after the claim was "discoverable" within the meaning of s. 14(1)(a).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Facebook says that an application under s. 14 is not available to the plaintiff because she has not filed the evidence it requires. In particular, there is no evidence before me that any Manitoba resident has a claim against Facebook arising from the same violation of privacy alleged on behalf of the British Columbia residents. Facebook relies on s. 15(2) of the </w:t>
      </w:r>
      <w:r>
        <w:rPr>
          <w:rFonts w:ascii="arial" w:eastAsia="arial" w:hAnsi="arial" w:cs="arial"/>
          <w:i/>
          <w:color w:val="000000"/>
          <w:sz w:val="20"/>
          <w:lang w:val="en-US" w:eastAsia="en-US" w:bidi="ar-SA"/>
        </w:rPr>
        <w:t>Limitation of Actions Act</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(2) Where an application is made under section 14 to begin or to continue an action, the court shall not grant leave in respect of the action unless, on evidence adduced by or on behalf of the claimant, it appears to the court that, if the action were brought forthwith or were continued, that evidence would, in the absence of any evidence to the contrary, be sufficient to establish the cause of action on which the action is to be or was founded apart from any defence based on a provision of this Act or of any other Act of the Legislature limiting the time for beginning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respect, I think this argument is misconceived. The issue before me is not the merits of an application made under s. 14, it is whether it is plain and obvious that a claim on behalf of the proposed Manitoba class members is bound to fail. The fact that an application that meets the requirements of s. 14 may be made under s. 14 means that typical discoverability (based on when the applicant knew or ought to have known all the material facts on which the action is based) applies to the statutory limitation period in Manitoba, notwithstanding the apparent four year limitation period in s. 2(1)(d)(ii). Therefore, it is not plain and obvious that the Manitoba class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discoverability rules apply to all of the Non-Residents, it follows that Facebook has not met the high threshold for refusing to amend the Certification Order on the basis that the Non-Residents have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reach this conclusion without considering the merits of Facebook's limitations arguments. Once Facebook has filed its response to civil claim, issues arising from any limitations defences may be decided. For the same reason, it is unnecessary to consider in this application the plaintiff's arguments based on fraudulent concealment.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Do the proposed amendments satisfy the requirements of commonality and preferability in ss. 4(1) (c) and (d)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Section 4(1)(c) of the Act states the following with respect to the common issue requirement:</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parties agree that discoverability cannot be determined on a class-wide basis. It is an individual issue and is therefore determined after the common issues trial and only if liability for the certified cause of action is found: Act, s. 27; </w:t>
      </w:r>
      <w:r>
        <w:rPr>
          <w:rFonts w:ascii="arial" w:eastAsia="arial" w:hAnsi="arial" w:cs="arial"/>
          <w:i/>
          <w:color w:val="000000"/>
          <w:sz w:val="20"/>
          <w:lang w:val="en-US" w:eastAsia="en-US" w:bidi="ar-SA"/>
        </w:rPr>
        <w:t>Chatfield v. Bell Mobility Inc.</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2016 SKQB 364</w:t>
        </w:r>
      </w:hyperlink>
      <w:r>
        <w:rPr>
          <w:rFonts w:ascii="arial" w:eastAsia="arial" w:hAnsi="arial" w:cs="arial"/>
          <w:color w:val="000000"/>
          <w:sz w:val="20"/>
          <w:lang w:val="en-US" w:eastAsia="en-US" w:bidi="ar-SA"/>
        </w:rPr>
        <w:t xml:space="preserve"> at para. 61, aff'd </w:t>
      </w:r>
      <w:hyperlink r:id="rId319" w:history="1">
        <w:r>
          <w:rPr>
            <w:rFonts w:ascii="arial" w:eastAsia="arial" w:hAnsi="arial" w:cs="arial"/>
            <w:i/>
            <w:color w:val="0077CC"/>
            <w:sz w:val="20"/>
            <w:u w:val="single"/>
            <w:shd w:val="clear" w:color="auto" w:fill="FFFFFF"/>
            <w:lang w:val="en-US" w:eastAsia="en-US" w:bidi="ar-SA"/>
          </w:rPr>
          <w:t>2017 SKCA 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 of Appeal has confirmed the common issues in this case. The proposed amendments simply add references to the privacy laws of each of Saskatchewan, Manitoba, and Newfoundland and Labrador to each of common issues 1, 3, 4 and 5. Facebook does not dispute that the privacy statutes of all four jurisdictions set out the same legal test with the same elements required to prove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light of this, the common issue requirement is clearly met. The real question is whether addition of the Non-Residents would turn the existing class proceeding from a preferable procedure within the meaning of s. 4(1)(d) into one that is not. If so, the proposed amendments relating to the Non-Residents should be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Section 4(2) directs the court to consider all relevant matters in in determining whether a class proceeding is the preferable procedure for resolving the common issues, including the following:</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Facebook argues, relying on </w:t>
      </w:r>
      <w:r>
        <w:rPr>
          <w:rFonts w:ascii="arial" w:eastAsia="arial" w:hAnsi="arial" w:cs="arial"/>
          <w:i/>
          <w:color w:val="000000"/>
          <w:sz w:val="20"/>
          <w:lang w:val="en-US" w:eastAsia="en-US" w:bidi="ar-SA"/>
        </w:rPr>
        <w:t>Jackson v. Canadian National Railway</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2012 ABQB 652</w:t>
        </w:r>
      </w:hyperlink>
      <w:r>
        <w:rPr>
          <w:rFonts w:ascii="arial" w:eastAsia="arial" w:hAnsi="arial" w:cs="arial"/>
          <w:color w:val="000000"/>
          <w:sz w:val="20"/>
          <w:lang w:val="en-US" w:eastAsia="en-US" w:bidi="ar-SA"/>
        </w:rPr>
        <w:t xml:space="preserve">, aff'd </w:t>
      </w:r>
      <w:hyperlink r:id="rId321" w:history="1">
        <w:r>
          <w:rPr>
            <w:rFonts w:ascii="arial" w:eastAsia="arial" w:hAnsi="arial" w:cs="arial"/>
            <w:i/>
            <w:color w:val="0077CC"/>
            <w:sz w:val="20"/>
            <w:u w:val="single"/>
            <w:shd w:val="clear" w:color="auto" w:fill="FFFFFF"/>
            <w:lang w:val="en-US" w:eastAsia="en-US" w:bidi="ar-SA"/>
          </w:rPr>
          <w:t>2013 ABCA 440</w:t>
        </w:r>
      </w:hyperlink>
      <w:r>
        <w:rPr>
          <w:rFonts w:ascii="arial" w:eastAsia="arial" w:hAnsi="arial" w:cs="arial"/>
          <w:color w:val="000000"/>
          <w:sz w:val="20"/>
          <w:lang w:val="en-US" w:eastAsia="en-US" w:bidi="ar-SA"/>
        </w:rPr>
        <w:t xml:space="preserve">, leave to appeal to SCC refused (2014), </w:t>
      </w:r>
      <w:hyperlink r:id="rId322" w:history="1">
        <w:r>
          <w:rPr>
            <w:rFonts w:ascii="arial" w:eastAsia="arial" w:hAnsi="arial" w:cs="arial"/>
            <w:i/>
            <w:color w:val="0077CC"/>
            <w:sz w:val="20"/>
            <w:u w:val="single"/>
            <w:shd w:val="clear" w:color="auto" w:fill="FFFFFF"/>
            <w:lang w:val="en-US" w:eastAsia="en-US" w:bidi="ar-SA"/>
          </w:rPr>
          <w:t>[2014] S.C.C.A. No. 57</w:t>
        </w:r>
      </w:hyperlink>
      <w:r>
        <w:rPr>
          <w:rFonts w:ascii="arial" w:eastAsia="arial" w:hAnsi="arial" w:cs="arial"/>
          <w:color w:val="000000"/>
          <w:sz w:val="20"/>
          <w:lang w:val="en-US" w:eastAsia="en-US" w:bidi="ar-SA"/>
        </w:rPr>
        <w:t>, 474 N.R. 398 (note), that the discoverability issues arising from the limitations defences it intends to plead renders the class proceeding no longer preferable. Facebook points out that the court would have to apply foreign laws (that is, the limitations laws of Saskatchewan, Manitoba, and Newfoundland and Labrador) to address the individual discoverability issues and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inconvenience of litigating an overwhelming number of mini-trials involving myriad non-resident witnesses undermines the preferability of advancing this class action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concerned an application for certification of a class proceeding seeking restitution on behalf of a class of grain farmers for allegedly excessive freight rates for carriage of grain by the defendant railway. Justice Martin (as she then was) denied certification primarily on the basis that there was no cause of action, and that conclusion was affirmed on appeal. However, Martin J. also considered the other requirements of s. 4(1). She determined that, while there was an identifiable class, the common issues requirement was not satisfied. It was in that context that she addressed the preferability requirement in relation to limitation defences: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It follows from my conclusion with respect to the absence of appropriately dispositive common issues that the individual determinations of liability required would be significant and in my view would overwhelm the common issues. It is appropriate at this stage to consider the further effect of the Railways' limitations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para. 95, Justice Martin cited a number of cases as authority for the proposition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limitations defence raises the prospect that the application of the principle of discoverability will require individual inquiries of each member of the class, the individual issues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be found to dominate and therefore function as a bar to certification...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These authorities do not support the proposition that the presence of discoverability issues means that a class action is not preferable. Preferability requires that a class action be the superior way of resolving the common issues. This entails an assessment of the importance of the common issues in relation to the whole claim, which includes the individual issues: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29-31; see also </w:t>
      </w:r>
      <w:r>
        <w:rPr>
          <w:rFonts w:ascii="arial" w:eastAsia="arial" w:hAnsi="arial" w:cs="arial"/>
          <w:i/>
          <w:color w:val="000000"/>
          <w:sz w:val="20"/>
          <w:lang w:val="en-US" w:eastAsia="en-US" w:bidi="ar-SA"/>
        </w:rPr>
        <w:t>Finkel v. Coast Capital Savings Credit Union</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2016 BCSC 561</w:t>
        </w:r>
      </w:hyperlink>
      <w:r>
        <w:rPr>
          <w:rFonts w:ascii="arial" w:eastAsia="arial" w:hAnsi="arial" w:cs="arial"/>
          <w:color w:val="000000"/>
          <w:sz w:val="20"/>
          <w:lang w:val="en-US" w:eastAsia="en-US" w:bidi="ar-SA"/>
        </w:rPr>
        <w:t xml:space="preserve">, aff'd </w:t>
      </w:r>
      <w:hyperlink r:id="rId324" w:history="1">
        <w:r>
          <w:rPr>
            <w:rFonts w:ascii="arial" w:eastAsia="arial" w:hAnsi="arial" w:cs="arial"/>
            <w:i/>
            <w:color w:val="0077CC"/>
            <w:sz w:val="20"/>
            <w:u w:val="single"/>
            <w:shd w:val="clear" w:color="auto" w:fill="FFFFFF"/>
            <w:lang w:val="en-US" w:eastAsia="en-US" w:bidi="ar-SA"/>
          </w:rPr>
          <w:t>2017 BCCA 361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is not particularly helpful because the court had already concluded that the common issues requirement had not been met. In that context, it was clear that the individual issues would predominate.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Here, the Certification Order was made after a determination that a class action proceeding was preferable. Does the potential for introduction of individual issues about discoverability arising from Facebook's anticipated limitations defences relating to the Non-Residents change this conclusion? In my view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core of the claim being advanced in this case is that Facebook breached the privacy of class members by using their names and profile pictures in its Sponsored Stories marketing campaign without their knowledge or consent. The issues particularized in the proposed amendments to common issues 1 (relating to consent), 3 (relating to Facebook's conduct), 4 (relating to the applicability of the various privacy statutes), and 5 (relating to whether proof of damages is required) can all be determined on a class-wide basis, without the need to consider any individual's particular circumstances. The fact that it is likely that many class members (both resident and non-resident) do not know that they have a claim because Facebook has not disclosed its use of their names and images strongly supports a class proceeding as the preferable procedure. Facebook's submission that the preferable procedure is for the Non-Residents to bring class or individual claims in their respective provinces is more theoretical than real if they do not know that they have potential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the fact that Facebook may have limitations defences to which some individuals may respond by raising discoverability does not alter Griffin J.'s conclusion that a class proceeding is preferable: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353 On all of the factors enumerated in s. 4(2), a class proceeding here is clearly preferable. There is no other realistic procedure available to class members to provide them with relief. They cannot bring Small Claims proceedings in Provincial Court, as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gives jurisdiction to this Court. There is no tribunal offering them relief. Their claims are most likely to be uneconomical to prosecute on their 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354 I find that the three goals of the class action regime, judicial economy, access to justice, and behaviour modification, as held in </w:t>
      </w:r>
      <w:r>
        <w:rPr>
          <w:rFonts w:ascii="arial" w:eastAsia="arial" w:hAnsi="arial" w:cs="arial"/>
          <w:i/>
          <w:color w:val="000000"/>
          <w:sz w:val="20"/>
          <w:u w:val="single"/>
          <w:lang w:val="en-US" w:eastAsia="en-US" w:bidi="ar-SA"/>
        </w:rPr>
        <w:t>Hollick</w:t>
      </w:r>
      <w:r>
        <w:rPr>
          <w:rFonts w:ascii="arial" w:eastAsia="arial" w:hAnsi="arial" w:cs="arial"/>
          <w:color w:val="000000"/>
          <w:sz w:val="20"/>
          <w:lang w:val="en-US" w:eastAsia="en-US" w:bidi="ar-SA"/>
        </w:rPr>
        <w:t xml:space="preserve"> and affirmed in </w:t>
      </w:r>
      <w:r>
        <w:rPr>
          <w:rFonts w:ascii="arial" w:eastAsia="arial" w:hAnsi="arial" w:cs="arial"/>
          <w:i/>
          <w:color w:val="000000"/>
          <w:sz w:val="20"/>
          <w:u w:val="single"/>
          <w:lang w:val="en-US" w:eastAsia="en-US" w:bidi="ar-SA"/>
        </w:rPr>
        <w:t>Pro-Sys</w:t>
      </w:r>
      <w:r>
        <w:rPr>
          <w:rFonts w:ascii="arial" w:eastAsia="arial" w:hAnsi="arial" w:cs="arial"/>
          <w:color w:val="000000"/>
          <w:sz w:val="20"/>
          <w:lang w:val="en-US" w:eastAsia="en-US" w:bidi="ar-SA"/>
        </w:rPr>
        <w:t xml:space="preserve"> at para. 137, all will be better served by certifying this proceeding as a class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355 I reject Facebook's argument that the case will be unmanageable and will inevitably break down into many individual issues, overwhelming any progress that might be made on common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356 I find that underlying the s. 3(2)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tort is the same public policy goal of behaviour modification as underlies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357 Here, the tort under s. 3(2)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seems tailor-made for class proceedings, where the alleged wrongful conduct was systemic and on a mass scale, and where proof of individual loss is not necessary or sought. Without the assistance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class action procedure, the plaintiff and proposed class members' claims based on s. 3(2)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would be unlikely to have access to justice. Furthermore, the sheer number of individual claims, given the reach of Facebook, would overwhelm the courts unless a class proceeding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also not clear at this point in the proceedings to what extent individual discoverability issues will arise. As I have said, liability must be proved first. If it is, the merits of Facebook's limitations defences will have to be decided along with the fraudulent concealment argument Ms. Douez intends to advance. Only if those issues are decided in a way that it is open to individuals to advance arguments based on discoverability will there be a need for any individual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For these reasons, I am satisfied that the proposed addition of the Non-Residents and consequential amendments to the common issues do not change the conclusion that a class proceeding is preferable.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Is Ms. Douez an appropriate representative plaintiff for the proposed non-resident subclasses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her notice of application, Ms. Douez proposes that the Non-Residents be added to the class without subdivision. However, she does not take issue with Facebook's position that, if the amendment is granted, the class should be divided into resident and non-resident subclasses.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Section 6 of the Act addresses subclassing and the appointment of a representative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(1) Despite section 4(1), if a class includes a subclass whose members have claims that raise common issues not shared by all the class members so that, in the opinion of the court, the protection of the interests of the subclass members requires that they be separately represented, the court must not certify the proceeding as a class proceeding unless there is, in addition to the representative plaintiff for the class, a representative plaintiff who</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subclass,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subclass and of notifying subclass members of the proceeding, and</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for the subclass, an interest that is in conflict with the interests of other subclass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Here, common issue 2 applies only to class members who reside in British Columbia. Non-Residents will very likely face limitation defences that do not apply to British Columbian class members. It is therefore appropriate to divide the class into resident and non-resident subclasses.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parties disagree about whether or not Ms. Douez is a fair and adequate representative of the non-resident subclass. Section 6 of the Act does not prohibit a single representative plaintiff representing both resident and non-resident subclasses as long as resident and non-resident sub-classes share the same common issues: </w:t>
      </w:r>
      <w:r>
        <w:rPr>
          <w:rFonts w:ascii="arial" w:eastAsia="arial" w:hAnsi="arial" w:cs="arial"/>
          <w:i/>
          <w:color w:val="000000"/>
          <w:sz w:val="20"/>
          <w:lang w:val="en-US" w:eastAsia="en-US" w:bidi="ar-SA"/>
        </w:rPr>
        <w:t>Jiang v. Peoples Trust Company</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2018 BCSC 299</w:t>
        </w:r>
      </w:hyperlink>
      <w:r>
        <w:rPr>
          <w:rFonts w:ascii="arial" w:eastAsia="arial" w:hAnsi="arial" w:cs="arial"/>
          <w:color w:val="000000"/>
          <w:sz w:val="20"/>
          <w:lang w:val="en-US" w:eastAsia="en-US" w:bidi="ar-SA"/>
        </w:rPr>
        <w:t xml:space="preserve"> at paras. 41-42.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Facebook argues that Ms. Douez cannot fairly and adequately represent the interests of the non-resident subclass as required by s. 6(1)(a) because class counsel did not seek certification on behalf of the non-resident subclass under the former opt-in regime, nor did she initiate class claims in Saskatchewan, Manitoba, or Newfoundland and Labrador.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basis of the claim is Facebook's alleged failure to inform Facebook members that it was using their names and images in Sponsored Stories. As stated in the amended notice of civil claim, Ms. Douez herself only discovered that her name and image had been used in Sponsored Stories because a friend happened to mention it to her. In these circumstances, an opt-in regime would be virtually futile. Ms. Douez's failure to include the Non-Residents in this way is not a basis for rejecting her as a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Ms. Douez could not have been a representative plaintiff in class claims filed in Saskatchewan or Newfoundland and Labrador because she is not a resident of those provinces: see s. 4(1) of the Saskatchewan </w:t>
      </w:r>
      <w:r>
        <w:rPr>
          <w:rFonts w:ascii="arial" w:eastAsia="arial" w:hAnsi="arial" w:cs="arial"/>
          <w:i/>
          <w:color w:val="000000"/>
          <w:sz w:val="20"/>
          <w:lang w:val="en-US" w:eastAsia="en-US" w:bidi="ar-SA"/>
        </w:rPr>
        <w:t>Class Actions Act</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S.S. 2001, c. C-12.01</w:t>
        </w:r>
      </w:hyperlink>
      <w:r>
        <w:rPr>
          <w:rFonts w:ascii="arial" w:eastAsia="arial" w:hAnsi="arial" w:cs="arial"/>
          <w:color w:val="000000"/>
          <w:sz w:val="20"/>
          <w:lang w:val="en-US" w:eastAsia="en-US" w:bidi="ar-SA"/>
        </w:rPr>
        <w:t xml:space="preserve">; s. 3(1) of the Newfoundland and Labrador </w:t>
      </w:r>
      <w:r>
        <w:rPr>
          <w:rFonts w:ascii="arial" w:eastAsia="arial" w:hAnsi="arial" w:cs="arial"/>
          <w:i/>
          <w:color w:val="000000"/>
          <w:sz w:val="20"/>
          <w:lang w:val="en-US" w:eastAsia="en-US" w:bidi="ar-SA"/>
        </w:rPr>
        <w:t>Class Actions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S.N.L. 2001, c. C-18.1</w:t>
      </w:r>
      <w:r>
        <w:rPr>
          <w:rFonts w:ascii="arial" w:eastAsia="arial" w:hAnsi="arial" w:cs="arial"/>
          <w:color w:val="000000"/>
          <w:sz w:val="20"/>
          <w:lang w:val="en-US" w:eastAsia="en-US" w:bidi="ar-SA"/>
        </w:rPr>
        <w:t>. Class counsel would have had to find representative plaintiffs in those provinces. For the reasons explained above, it would have been impracticable to do so. Ms. Douez's failure to initiate class proceedings in these two provinces does not make her an inadequate representative plaintiff of these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Turning to Manitoba, Facebook says Ms. Douez (on behalf of the British Columbia residents) is in a direct conflict with the Manitoba residents because under Manitoba's privacy statute, the onus is on the defendant to prove consent in defence to a breach of privacy claim whereas under British Columbia's statute, the plaintiff must prove lack of consent. Facebook says that Ms. Douez cannot advance the argument that the defendant must prove consent on behalf of the Manitoba residents, "as it would undermine her own case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do not agree. It is not clear who bears the onus of proof of consent under the British Columbia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In her certification decision, Griffin J. stated (at paras. 197-198):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197 There is one further point to address in relation to the Facebook argument. Facebook argues that the onus of proving a lack of consent will be on the plaintiff and class members as a necessary element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tort. I am not so sure. Facebook has no authority to support this position, other than its own interpretation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198 It may well be that the onus of proving an appropriation of personality will be on the plaintiff, but one possible interpretation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is that the onus will then shift to the defendant to affirmatively prove consent as a defence. Who has the onus of either proving a negative (a lack of consent) or an affirmative (consent) does not need to be decided on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Facebook did not cite any authority to me that the plaintiff bears the onus of proving non-consent under British Columbia's privacy statute. Thus, the two statutes may not differ at all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Second, the proposed amendment to common issue 1 requires the court to determine what online actions taken by a class member "would constitute express or implied consent," within the meaning of each of the four privacy statutes. There are variations in wording relating to consent among all four of the privacy statutes. These differences do not create a conflict. As long as Ms. Douez argues for the most privacy-protective interpretation of each statute - and I see no reason why she would not - she will advance the interests of all class members. It is far more likely that Facebook will argue that the British Columbia privacy law should be interpreted to put the onus of proof of consent on the plaintiff by contrasting it to the Manitoba statute, than it is that the plaintiff will argue that the Manitoba law should be read against the interests of Manitoba residents in order to somehow advance the British Columbia residents'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That leaves Ms. Douez's failure to commence class proceedings in Manitoba with herself as a representative plaintiff. This option was open to her because Manitoba's class actions statute does not have a residency requirement. Ms. Douez did not provide any explanation for this. I accept that Ms. Douez's decision not to launch class proceedings in Manitoba with herself as a representative plaintiff created a possible limitations bar and was therefore not in the best interests of the Manitoba 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However, the focus of the assessment is forward-looking: whether "the proposed representative </w:t>
      </w:r>
      <w:r>
        <w:rPr>
          <w:rFonts w:ascii="arial" w:eastAsia="arial" w:hAnsi="arial" w:cs="arial"/>
          <w:color w:val="000000"/>
          <w:sz w:val="20"/>
          <w:u w:val="single"/>
          <w:lang w:val="en-US" w:eastAsia="en-US" w:bidi="ar-SA"/>
        </w:rPr>
        <w:t>will</w:t>
      </w:r>
      <w:r>
        <w:rPr>
          <w:rFonts w:ascii="arial" w:eastAsia="arial" w:hAnsi="arial" w:cs="arial"/>
          <w:color w:val="000000"/>
          <w:sz w:val="20"/>
          <w:lang w:val="en-US" w:eastAsia="en-US" w:bidi="ar-SA"/>
        </w:rPr>
        <w:t xml:space="preserve"> vigorously and capably prosecute the interests of the class": </w:t>
      </w:r>
      <w:r>
        <w:rPr>
          <w:rFonts w:ascii="arial" w:eastAsia="arial" w:hAnsi="arial" w:cs="arial"/>
          <w:i/>
          <w:color w:val="000000"/>
          <w:sz w:val="20"/>
          <w:lang w:val="en-US" w:eastAsia="en-US" w:bidi="ar-SA"/>
        </w:rPr>
        <w:t>Miller v. Merck Frosst Canada Ltd.</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2015 BCCA 353</w:t>
        </w:r>
      </w:hyperlink>
      <w:r>
        <w:rPr>
          <w:rFonts w:ascii="arial" w:eastAsia="arial" w:hAnsi="arial" w:cs="arial"/>
          <w:color w:val="000000"/>
          <w:sz w:val="20"/>
          <w:lang w:val="en-US" w:eastAsia="en-US" w:bidi="ar-SA"/>
        </w:rPr>
        <w:t xml:space="preserve"> at para. 16, citing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41. The courts have not interpreted this as imposing onerous and stringent qualifications on class representatives: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at para. 21; Michael A. Eizenga et al., </w:t>
      </w:r>
      <w:r>
        <w:rPr>
          <w:rFonts w:ascii="arial" w:eastAsia="arial" w:hAnsi="arial" w:cs="arial"/>
          <w:i/>
          <w:color w:val="000000"/>
          <w:sz w:val="20"/>
          <w:lang w:val="en-US" w:eastAsia="en-US" w:bidi="ar-SA"/>
        </w:rPr>
        <w:t>Class Actions Law and Practice</w:t>
      </w:r>
      <w:r>
        <w:rPr>
          <w:rFonts w:ascii="arial" w:eastAsia="arial" w:hAnsi="arial" w:cs="arial"/>
          <w:color w:val="000000"/>
          <w:sz w:val="20"/>
          <w:lang w:val="en-US" w:eastAsia="en-US" w:bidi="ar-SA"/>
        </w:rPr>
        <w:t xml:space="preserve">, 2nd ed. (Toronto: LexisNexis, 2009) (loose-leaf), ch. 3 at 302; see also </w:t>
      </w:r>
      <w:r>
        <w:rPr>
          <w:rFonts w:ascii="arial" w:eastAsia="arial" w:hAnsi="arial" w:cs="arial"/>
          <w:i/>
          <w:color w:val="000000"/>
          <w:sz w:val="20"/>
          <w:lang w:val="en-US" w:eastAsia="en-US" w:bidi="ar-SA"/>
        </w:rPr>
        <w:t>Warner v. Smith &amp; Nephew Inc.</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2016 ABCA 223</w:t>
        </w:r>
      </w:hyperlink>
      <w:r>
        <w:rPr>
          <w:rFonts w:ascii="arial" w:eastAsia="arial" w:hAnsi="arial" w:cs="arial"/>
          <w:color w:val="000000"/>
          <w:sz w:val="20"/>
          <w:lang w:val="en-US" w:eastAsia="en-US" w:bidi="ar-SA"/>
        </w:rPr>
        <w:t>. At this point, denying the application to include Manitoba residents on the basis that Ms. Douez is not an adequate representative or adjourning that part of the application to allow time to find an appropriate representative would clearly prejudice the interests of the Manitoba residents. In part, this is because Facebook would not be required to disclose their identities. There is no other evidence to support a conclusion that Ms. Douez will not act in the Manitoba residents' best interests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Therefore, I conclude that Ms. Douez is an appropriate representative of the non-resident subclass.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Should a new common issue be added about disgorgement of profits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Douez seeks to add a new common issue about whether Facebook is required to account to the class for any profits it made in relation to the Sponsored Stories program arising from use of the class members' names and images: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defendant obligated to account to the plaintiff for any profits that accrued to the defendant by reason or in consequence of the unauthorized use of Class members' name and/or portraits, pursuant to (a) the common law or principles of equity applicable in British Columbia; (b) s. 4(1)(c) of the Manitoba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(c) s. 7(c) of the </w:t>
      </w:r>
      <w:r>
        <w:rPr>
          <w:rFonts w:ascii="arial" w:eastAsia="arial" w:hAnsi="arial" w:cs="arial"/>
          <w:i/>
          <w:color w:val="000000"/>
          <w:sz w:val="20"/>
          <w:lang w:val="en-US" w:eastAsia="en-US" w:bidi="ar-SA"/>
        </w:rPr>
        <w:t>Saskatchewan Privacy Act</w:t>
      </w:r>
      <w:r>
        <w:rPr>
          <w:rFonts w:ascii="arial" w:eastAsia="arial" w:hAnsi="arial" w:cs="arial"/>
          <w:color w:val="000000"/>
          <w:sz w:val="20"/>
          <w:lang w:val="en-US" w:eastAsia="en-US" w:bidi="ar-SA"/>
        </w:rPr>
        <w:t xml:space="preserve">, and (d) s. 6(1)(c) of the </w:t>
      </w:r>
      <w:r>
        <w:rPr>
          <w:rFonts w:ascii="arial" w:eastAsia="arial" w:hAnsi="arial" w:cs="arial"/>
          <w:i/>
          <w:color w:val="000000"/>
          <w:sz w:val="20"/>
          <w:lang w:val="en-US" w:eastAsia="en-US" w:bidi="ar-SA"/>
        </w:rPr>
        <w:t>Newfoundland 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Facebook argues that this proposed amendment constitutes a fundamental change to the action that has been certified and should be denied for that reason. It does not argue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there is no comprehensive judicial definition of "fundamental change," a number of Ontario cases illustrate the concept: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Proposed amendments fundamentally change the nature of the action where they:</w:t>
      </w:r>
    </w:p>
    <w:p>
      <w:pPr>
        <w:numPr>
          <w:numId w:val="2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reconsideration by the court of all the issues examined on the original application to certify the action (</w:t>
      </w:r>
      <w:r>
        <w:rPr>
          <w:rFonts w:ascii="arial" w:eastAsia="arial" w:hAnsi="arial" w:cs="arial"/>
          <w:i/>
          <w:color w:val="000000"/>
          <w:sz w:val="20"/>
          <w:lang w:val="en-US" w:eastAsia="en-US" w:bidi="ar-SA"/>
        </w:rPr>
        <w:t>Maxwell</w:t>
      </w:r>
      <w:r>
        <w:rPr>
          <w:rFonts w:ascii="arial" w:eastAsia="arial" w:hAnsi="arial" w:cs="arial"/>
          <w:color w:val="000000"/>
          <w:sz w:val="20"/>
          <w:lang w:val="en-US" w:eastAsia="en-US" w:bidi="ar-SA"/>
        </w:rPr>
        <w:t xml:space="preserve"> at para. 20)</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expand the scope, character, and theoretical basis for class recovery (</w:t>
      </w:r>
      <w:r>
        <w:rPr>
          <w:rFonts w:ascii="arial" w:eastAsia="arial" w:hAnsi="arial" w:cs="arial"/>
          <w:i/>
          <w:color w:val="000000"/>
          <w:sz w:val="20"/>
          <w:lang w:val="en-US" w:eastAsia="en-US" w:bidi="ar-SA"/>
        </w:rPr>
        <w:t>Andersen v. St. Jude Medical, Inc.</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2010 ONSC 77</w:t>
        </w:r>
      </w:hyperlink>
      <w:r>
        <w:rPr>
          <w:rFonts w:ascii="arial" w:eastAsia="arial" w:hAnsi="arial" w:cs="arial"/>
          <w:color w:val="000000"/>
          <w:sz w:val="20"/>
          <w:lang w:val="en-US" w:eastAsia="en-US" w:bidi="ar-SA"/>
        </w:rPr>
        <w:t xml:space="preserve"> at para. 10)</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recast the claim in a way that does not simply clarify the cause of action already pleaded or advance a different remedy for the same alleged cause of action (</w:t>
      </w:r>
      <w:r>
        <w:rPr>
          <w:rFonts w:ascii="arial" w:eastAsia="arial" w:hAnsi="arial" w:cs="arial"/>
          <w:i/>
          <w:color w:val="000000"/>
          <w:sz w:val="20"/>
          <w:lang w:val="en-US" w:eastAsia="en-US" w:bidi="ar-SA"/>
        </w:rPr>
        <w:t>Amyotrophic Lateral Sclerosis Society of Essex County v. Windsor (City)</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2017 ONCA 555</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ALSS"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Andersen</w:t>
      </w:r>
      <w:r>
        <w:rPr>
          <w:rFonts w:ascii="arial" w:eastAsia="arial" w:hAnsi="arial" w:cs="arial"/>
          <w:color w:val="000000"/>
          <w:sz w:val="20"/>
          <w:lang w:val="en-US" w:eastAsia="en-US" w:bidi="ar-SA"/>
        </w:rPr>
        <w:t xml:space="preserve">, the Ontario Superior Court of Justice considered an amendment to a medical products liability class action. The proposed amendment added a claim of waiver of tort as a cause of action or, alternatively, as a remedy. The court held, at para. 10, that the amendment would not fundamentally change the nature of the action. While waiver of tort could expand the basis for liability or remedy, or recognize new categories of wrongdoing, the court emphasized that the "action remains one where the plaintiffs must prove that the defendants' conduct was wrongful in order to establish liability whether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waiver of tort":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ALSS</w:t>
      </w:r>
      <w:r>
        <w:rPr>
          <w:rFonts w:ascii="arial" w:eastAsia="arial" w:hAnsi="arial" w:cs="arial"/>
          <w:color w:val="000000"/>
          <w:sz w:val="20"/>
          <w:lang w:val="en-US" w:eastAsia="en-US" w:bidi="ar-SA"/>
        </w:rPr>
        <w:t xml:space="preserve">, the remedies in the certified claim included declarations that the lottery licensing fees and administrative fees that the plaintiffs had paid to municipalities were taxes levied without legislative or constitutional authority, and for an accounting and restitution of the fees </w:t>
      </w:r>
      <w:r>
        <w:rPr>
          <w:rFonts w:ascii="arial" w:eastAsia="arial" w:hAnsi="arial" w:cs="arial"/>
          <w:color w:val="000000"/>
          <w:sz w:val="20"/>
          <w:u w:val="single"/>
          <w:lang w:val="en-US" w:eastAsia="en-US" w:bidi="ar-SA"/>
        </w:rPr>
        <w:t>paid by class members</w:t>
      </w:r>
      <w:r>
        <w:rPr>
          <w:rFonts w:ascii="arial" w:eastAsia="arial" w:hAnsi="arial" w:cs="arial"/>
          <w:color w:val="000000"/>
          <w:sz w:val="20"/>
          <w:lang w:val="en-US" w:eastAsia="en-US" w:bidi="ar-SA"/>
        </w:rPr>
        <w:t xml:space="preserve">. The proposed amendment sought an accounting and disgorgement of licensing and administrative fees </w:t>
      </w:r>
      <w:r>
        <w:rPr>
          <w:rFonts w:ascii="arial" w:eastAsia="arial" w:hAnsi="arial" w:cs="arial"/>
          <w:color w:val="000000"/>
          <w:sz w:val="20"/>
          <w:u w:val="single"/>
          <w:lang w:val="en-US" w:eastAsia="en-US" w:bidi="ar-SA"/>
        </w:rPr>
        <w:t>received by the municipalities</w:t>
      </w:r>
      <w:r>
        <w:rPr>
          <w:rFonts w:ascii="arial" w:eastAsia="arial" w:hAnsi="arial" w:cs="arial"/>
          <w:color w:val="000000"/>
          <w:sz w:val="20"/>
          <w:lang w:val="en-US" w:eastAsia="en-US" w:bidi="ar-SA"/>
        </w:rPr>
        <w:t xml:space="preserve"> that were found to be levied without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Ontario Court of Appeal found that this was a fundamental change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proposed amendments are not simply the clarification of a cause of action already pleaded, nor do they advance a different remedy for the same alleged cause of action or wrong. The amendments seek to recast the claim from one for the return of fees paid by class members to a claim for disgorgement of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allegedly illegal license and administrative fees for bingo operations paid to the respondent municipalities within the class period, including those not paid by members of the class. Accordingly, the acknowledgment that the claim, as originally pleaded, disclosed a cause of action does not assist the appellants in respect of amendments that seek to reconfigure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Here, the proposed amendment is analogous to the proposed amendment that was found not to constitute a fundamental change in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Disgorgement of profits is a statutory remedy under the privacy statutes of Saskatchewan, Manitoba, and Newfoundland and Labrador. Having decided that adding the non-resident subclass satisfies the requirements in s. 4 of the Act, this proposed amendment simply adds a remedy available for the accepted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With respect to British Columbia, the plaintiff simply pleads "principles of law and equity." The sufficiency of this pleading is not before me, nor am I deciding whether such a remedy is available to the resident subclass. I am only considering whether it constitutes a fundamental change. In my view it does not. As pleaded with respect to the resident subclass, it does not alter the cause of action in the way the proposed amendment in </w:t>
      </w:r>
      <w:r>
        <w:rPr>
          <w:rFonts w:ascii="arial" w:eastAsia="arial" w:hAnsi="arial" w:cs="arial"/>
          <w:i/>
          <w:color w:val="000000"/>
          <w:sz w:val="20"/>
          <w:lang w:val="en-US" w:eastAsia="en-US" w:bidi="ar-SA"/>
        </w:rPr>
        <w:t>ALSS</w:t>
      </w:r>
      <w:r>
        <w:rPr>
          <w:rFonts w:ascii="arial" w:eastAsia="arial" w:hAnsi="arial" w:cs="arial"/>
          <w:color w:val="000000"/>
          <w:sz w:val="20"/>
          <w:lang w:val="en-US" w:eastAsia="en-US" w:bidi="ar-SA"/>
        </w:rPr>
        <w:t xml:space="preserv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If the plaintiff were seeking actual damages, I would agree with Facebook that the amendment should be denied on the basis that the Court of Appeal's decision in the 2018 Appeal assumed that the plaintiff was not seeking any remedies that entailed individual inquiries. Justice Groberman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It seems to me that the plaintiff was entitled, in this case, to bring a claim for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damages on behalf of the class without also including a claim for actual loss or damage. Claimants may restrict the grounds on which they advance their case in order to make it more amenable to a class proceeding: see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1999 BCCA 689</w:t>
        </w:r>
      </w:hyperlink>
      <w:r>
        <w:rPr>
          <w:rFonts w:ascii="arial" w:eastAsia="arial" w:hAnsi="arial" w:cs="arial"/>
          <w:color w:val="000000"/>
          <w:sz w:val="20"/>
          <w:lang w:val="en-US" w:eastAsia="en-US" w:bidi="ar-SA"/>
        </w:rPr>
        <w:t xml:space="preserve"> at para. 19, aff'd </w:t>
      </w:r>
      <w:hyperlink r:id="rId333"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at para.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Clearly, if the claim is restricted in this manner, care will have to be taken to ensure that class members are aware of the limited scope of the lawsuit so that they may opt out of the claim under s. 16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in a timely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Alternatively, the plaintiff could bring a claim including a claim for compensatory damages, and produce a litigation plan that allows for individual loss assessments for those who have a genuine wish to pursue such damages. It would, of course, be up to the certification judge to determine the viability of such a litigation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The nature of the claim in this case makes it highly unlikely that any class member has suffered substantial damages. It seems probable, then, that a claim limited to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and punitive damages will satisfy the needs of virtually all class members. Still, individual class members must be allowed to make an informed choice as to whether they wish to opt out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proposed amendment to add disgorgement is a common issue. Although not contemplated by the Court of Appeal in the 2018 Appeal, the proposed amendment is consistent with Groberman J.A.'s reasoning and does not raise any of the concerns he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conclusion, I make the following orders:</w:t>
      </w:r>
      <w:r>
        <w:rPr>
          <w:rFonts w:ascii="arial" w:eastAsia="arial" w:hAnsi="arial" w:cs="arial"/>
          <w:sz w:val="20"/>
          <w:lang w:val="en-US" w:eastAsia="en-US" w:bidi="ar-SA"/>
        </w:rPr>
        <w:cr/>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definition is amended to define the class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British Columbia, Saskatchewan, Manitoba, Newfoundland and Labrador resident natural persons who were members of Facebook at any time in the period from January 1, 2011, to May 30, 2014, and:</w:t>
      </w:r>
    </w:p>
    <w:p>
      <w:pPr>
        <w:numPr>
          <w:numId w:val="3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who at any time during this period were registered with Facebook using their real name, or had a profile picture that included an identifiable self-image, or both; and</w:t>
      </w:r>
    </w:p>
    <w:p>
      <w:pPr>
        <w:numPr>
          <w:numId w:val="3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whose real name, identifiable portrait, or both were used by Facebook in a Sponsored Story.</w:t>
      </w:r>
    </w:p>
    <w:p>
      <w:pPr>
        <w:numPr>
          <w:numId w:val="3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is divided into a Resident Subclass consisting of members from British Columbia and a Non-Resident Subclass consisting of members from Saskatchewan, Manitoba, and Newfoundland and Labrador.</w:t>
      </w:r>
    </w:p>
    <w:p>
      <w:pPr>
        <w:numPr>
          <w:numId w:val="3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Ms. Douez is the representative plaintiff of both subclasses.</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issues are amended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common issues to be determined for the general class are as follows: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Issue 1</w:t>
      </w:r>
      <w:r>
        <w:rPr>
          <w:rFonts w:ascii="arial" w:eastAsia="arial" w:hAnsi="arial" w:cs="arial"/>
          <w:color w:val="000000"/>
          <w:sz w:val="20"/>
          <w:lang w:val="en-US" w:eastAsia="en-US" w:bidi="ar-SA"/>
        </w:rPr>
        <w:t>: What if any Online Actions taken by a Class Member on Facebook service would constitute express or implied consent to the Class Member's name or portrait being used in a Sponsored Story, such that it constitutes consent within the meaning of:</w:t>
      </w:r>
    </w:p>
    <w:p>
      <w:pPr>
        <w:numPr>
          <w:numId w:val="3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(the "British Columbia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section 3(2)?</w:t>
      </w:r>
    </w:p>
    <w:p>
      <w:pPr>
        <w:numPr>
          <w:numId w:val="3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R.S.S. 1978, c. P-24</w:t>
        </w:r>
      </w:hyperlink>
      <w:r>
        <w:rPr>
          <w:rFonts w:ascii="arial" w:eastAsia="arial" w:hAnsi="arial" w:cs="arial"/>
          <w:color w:val="000000"/>
          <w:sz w:val="20"/>
          <w:lang w:val="en-US" w:eastAsia="en-US" w:bidi="ar-SA"/>
        </w:rPr>
        <w:t xml:space="preserve"> (the "Saskatchewan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section 4(1)?</w:t>
      </w:r>
    </w:p>
    <w:p>
      <w:pPr>
        <w:numPr>
          <w:numId w:val="43"/>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C.C.S.M. c. P125</w:t>
        </w:r>
      </w:hyperlink>
      <w:r>
        <w:rPr>
          <w:rFonts w:ascii="arial" w:eastAsia="arial" w:hAnsi="arial" w:cs="arial"/>
          <w:color w:val="000000"/>
          <w:sz w:val="20"/>
          <w:lang w:val="en-US" w:eastAsia="en-US" w:bidi="ar-SA"/>
        </w:rPr>
        <w:t xml:space="preserve"> (the "Manitoba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section 5(a)?</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R.S.N.L. 1990, c. P-22</w:t>
      </w:r>
      <w:r>
        <w:rPr>
          <w:rFonts w:ascii="arial" w:eastAsia="arial" w:hAnsi="arial" w:cs="arial"/>
          <w:color w:val="000000"/>
          <w:sz w:val="20"/>
          <w:lang w:val="en-US" w:eastAsia="en-US" w:bidi="ar-SA"/>
        </w:rPr>
        <w:t xml:space="preserve"> (the "Newfoundland Privacy Act") section 5(1)(a)?</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Issue 2</w:t>
      </w:r>
      <w:r>
        <w:rPr>
          <w:rFonts w:ascii="arial" w:eastAsia="arial" w:hAnsi="arial" w:cs="arial"/>
          <w:color w:val="000000"/>
          <w:sz w:val="20"/>
          <w:lang w:val="en-US" w:eastAsia="en-US" w:bidi="ar-SA"/>
        </w:rPr>
        <w:t>: Were all or only some Sponsored Stories for the purpose of</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advertising or promotion within the meaning of s. 3(2) of the British Columbia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advertising or promoting the sale of, or any other trading in, any property or services, or for any other purposes of gain to the user within the meaning of section 3(c) of the Saskatchewan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advertising or promoting the sale of, or any other trading in, any property or services, or for any other purposes of gain to the user within the meaning of s. 3(c) of the Manitoba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advertising or promoting the sale of, or other trading in, property or services, or for other purposes of advantage to the user within the meaning of s. 4(c) of the Newfoundland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Issue 3</w:t>
      </w:r>
      <w:r>
        <w:rPr>
          <w:rFonts w:ascii="arial" w:eastAsia="arial" w:hAnsi="arial" w:cs="arial"/>
          <w:color w:val="000000"/>
          <w:sz w:val="20"/>
          <w:lang w:val="en-US" w:eastAsia="en-US" w:bidi="ar-SA"/>
        </w:rPr>
        <w: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British Columbia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apply to Facebook in relation to British Columbia residents who used Facebook's services?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Saskatchewan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apply to Facebook in relation to Saskatchewan residents who used Facebook's services?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Manitoba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apply to Facebook in relation to Manitoba residents who used Facebook's services?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Newfoundland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apply to Facebook in relation to Newfoundland and Labrador residents who used Facebook's services?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Issue 4</w:t>
      </w:r>
      <w:r>
        <w:rPr>
          <w:rFonts w:ascii="arial" w:eastAsia="arial" w:hAnsi="arial" w:cs="arial"/>
          <w:color w:val="000000"/>
          <w:sz w:val="20"/>
          <w:lang w:val="en-US" w:eastAsia="en-US" w:bidi="ar-SA"/>
        </w:rPr>
        <w:t>: Are Class Members entitled to damages without individual proof of damage pursuant to:</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 3(2) of the British Columbia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 2 of the Saskatchewan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 2(2) of the Manitoba's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 3(1) of the Newfoundland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Issue 5</w:t>
      </w:r>
      <w:r>
        <w:rPr>
          <w:rFonts w:ascii="arial" w:eastAsia="arial" w:hAnsi="arial" w:cs="arial"/>
          <w:color w:val="000000"/>
          <w:sz w:val="20"/>
          <w:lang w:val="en-US" w:eastAsia="en-US" w:bidi="ar-SA"/>
        </w:rPr>
        <w:t>: Can the amount of damages be determined on an aggregate basis; if so, in what amount?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Issue 6</w:t>
      </w:r>
      <w:r>
        <w:rPr>
          <w:rFonts w:ascii="arial" w:eastAsia="arial" w:hAnsi="arial" w:cs="arial"/>
          <w:color w:val="000000"/>
          <w:sz w:val="20"/>
          <w:lang w:val="en-US" w:eastAsia="en-US" w:bidi="ar-SA"/>
        </w:rPr>
        <w:t>: Does the Defendant's conduct justify an award of punitive damages in favour of the Class; if so, in what amount?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Issue 7</w:t>
      </w:r>
      <w:r>
        <w:rPr>
          <w:rFonts w:ascii="arial" w:eastAsia="arial" w:hAnsi="arial" w:cs="arial"/>
          <w:color w:val="000000"/>
          <w:sz w:val="20"/>
          <w:lang w:val="en-US" w:eastAsia="en-US" w:bidi="ar-SA"/>
        </w:rPr>
        <w:t xml:space="preserve">: Is the defendant obligated to account to the plaintiff for any profits that accrued to the defendant by reason or in consequence of the unauthorized use of Class members' name and/or portraits, pursuant to (a) the common law or principles of equity applicable in British Columbia; (b) s. 4(1)(c) of the Manitoba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(c) s. 7(c) of the Saskatchewan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and (d) s. 6(1)(c) of the Newfoundland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Issue 8</w:t>
      </w:r>
      <w:r>
        <w:rPr>
          <w:rFonts w:ascii="arial" w:eastAsia="arial" w:hAnsi="arial" w:cs="arial"/>
          <w:color w:val="000000"/>
          <w:sz w:val="20"/>
          <w:lang w:val="en-US" w:eastAsia="en-US" w:bidi="ar-SA"/>
        </w:rPr>
        <w:t xml:space="preserve">: Is the Defendant liable to pay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if so, in what amount?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issue to be determined for the Resident Subclass is as follows: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Issue 1</w:t>
      </w:r>
      <w:r>
        <w:rPr>
          <w:rFonts w:ascii="arial" w:eastAsia="arial" w:hAnsi="arial" w:cs="arial"/>
          <w:color w:val="000000"/>
          <w:sz w:val="20"/>
          <w:lang w:val="en-US" w:eastAsia="en-US" w:bidi="ar-SA"/>
        </w:rPr>
        <w:t xml:space="preserve">: Is a tort under s. 3(2) of the British Columbia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provable as an independent tort without regard to the elements of s. 1(2) and (3) of the British Columbia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IYER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4"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Edwards v. British Columbia, [2006] B.C.J. No. 992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Ballance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13, 2006.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3, 2006.</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S055377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992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710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40 C.C.L.T. (3d) 278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150 A.C.W.S. (3d) 108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CarswellBC 1073</w:t>
      </w:r>
    </w:p>
    <w:p>
      <w:pPr>
        <w:spacing w:before="120" w:line="260" w:lineRule="atLeast"/>
        <w:rPr>
          <w:lang w:val="en-US" w:eastAsia="en-US" w:bidi="ar-SA"/>
        </w:rPr>
      </w:pPr>
      <w:r>
        <w:rPr>
          <w:rFonts w:ascii="arial" w:eastAsia="arial" w:hAnsi="arial" w:cs="arial"/>
          <w:color w:val="000000"/>
          <w:sz w:val="20"/>
          <w:lang w:val="en-US" w:eastAsia="en-US" w:bidi="ar-SA"/>
        </w:rPr>
        <w:t>Between John Edwards, plaintiff, and Her Majesty the Queen in Right of the Province of British Columbia, Steve Mazur, Glen Davidson and Roy Simpson,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5" style="position:absolute;z-index:2516736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5" w:name="Keywords_14"/>
      <w:bookmarkEnd w:id="95"/>
      <w:r>
        <w:rPr>
          <w:rFonts w:ascii="arial" w:eastAsia="arial" w:hAnsi="arial" w:cs="arial"/>
          <w:b/>
          <w:color w:val="000000"/>
          <w:sz w:val="20"/>
          <w:lang w:val="en-US" w:eastAsia="en-US" w:bidi="ar-SA"/>
        </w:rPr>
        <w:t>Civil procedure — Parties — Government or Crown agents — Striking out parties — Application to strike claim against Crown employees dismissed — Crown immunity did not protect Crown servants from claims for torts committed by them — Crown's admission of vicarious liability did not negate actions against Crown servants.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Government law — Crown — Actions by and against Crown — Application to strike claim against Crown employees dismissed — Crown immunity did not protect Crown servants from claims for torts committed by them — Crown's admission of vicarious liability did not negate actions against Crown servants.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Tort law — Torts by the Crown — Liability of officials and employees — Application to strike claim against Crown employees dismissed — Crown immunity did not protect Crown servants from claims for torts committed by them — Crown's admission of vicarious liability did not negate actions against Crown servants.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Tort law — Vicarious liability — Application to strike claim against Crown employees dismissed — Crown immunity did not protect Crown servants from claims for torts committed by them — Crown's admission of vicarious liability did not negate actions against Crown servants.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6" w:name="Case Summary_13"/>
            <w:bookmarkEnd w:id="9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individual defendants to have the claim against them struck -- The individual defendants were all employees of the provincial Crown -- The plaintiff sued the Crown and the individual defendants for property damage resulting from a forest fire -- The individual defendants contended that since they were acting under statutory authority and within the course of their employment, they owed no independent duty to the plaintiff -- HELD: Application dismissed -- Crown immunity did not protect Crown servants in respect of tort claims for acts committed by them -- The Crown's admission of vicarious liability did not negate the action against the individual defendants. </w:t>
            </w:r>
            <w:r>
              <w:rPr>
                <w:lang w:val="en-US" w:eastAsia="en-US" w:bidi="ar-SA"/>
              </w:rPr>
              <w:cr/>
            </w:r>
          </w:p>
          <w:p>
            <w:pPr>
              <w:rPr>
                <w:lang w:val="en-US" w:eastAsia="en-US" w:bidi="ar-SA"/>
              </w:rPr>
            </w:pPr>
          </w:p>
        </w:tc>
      </w:tr>
    </w:tbl>
    <w:p>
      <w:pPr>
        <w:jc w:val="both"/>
        <w:rPr>
          <w:lang w:val="en-US" w:eastAsia="en-US" w:bidi="ar-SA"/>
        </w:rPr>
      </w:pPr>
      <w:bookmarkStart w:id="97" w:name="Legislation Cited_8"/>
      <w:bookmarkEnd w:id="9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96" style="position:absolute;z-index:2517248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Rules of Court, Rule 5, Rule 15(5)(a)(i), Rule 19(24)(a), Rule 19(24)(d)</w:t>
      </w:r>
      <w:r>
        <w:rPr>
          <w:lang w:val="en-US" w:eastAsia="en-US" w:bidi="ar-SA"/>
        </w:rPr>
        <w:cr/>
      </w:r>
    </w:p>
    <w:p>
      <w:pPr>
        <w:keepNext/>
        <w:spacing w:before="240" w:line="340" w:lineRule="atLeast"/>
        <w:rPr>
          <w:lang w:val="en-US" w:eastAsia="en-US" w:bidi="ar-SA"/>
        </w:rPr>
      </w:pPr>
      <w:bookmarkStart w:id="98" w:name="Counsel_14"/>
      <w:bookmarkEnd w:id="9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7" style="position:absolute;z-index:2517760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Robert J. McDonell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J. Douglas Eastwood -and- Karen Horsman</w:t>
      </w:r>
      <w:r>
        <w:rPr>
          <w:lang w:val="en-US" w:eastAsia="en-US" w:bidi="ar-SA"/>
        </w:rPr>
        <w:cr/>
      </w:r>
    </w:p>
    <w:p>
      <w:pPr>
        <w:spacing w:after="240"/>
        <w:rPr>
          <w:lang w:val="en-US" w:eastAsia="en-US" w:bidi="ar-SA"/>
        </w:rPr>
      </w:pPr>
      <w:bookmarkStart w:id="99" w:name="Judgment_14"/>
      <w:bookmarkEnd w:id="99"/>
      <w:r>
        <w:pict>
          <v:line id="_x0000_s1098" style="position:absolute;z-index:25182720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00" w:name="BALLANCE J."/>
            <w:bookmarkEnd w:id="100"/>
            <w:r>
              <w:rPr>
                <w:rFonts w:ascii="arial" w:eastAsia="arial" w:hAnsi="arial" w:cs="arial"/>
                <w:b/>
                <w:color w:val="000000"/>
                <w:sz w:val="30"/>
                <w:lang w:val="en-US" w:eastAsia="en-US" w:bidi="ar-SA"/>
              </w:rPr>
              <w:t>BALLANCE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lang w:val="en-US" w:eastAsia="en-US" w:bidi="ar-SA"/>
        </w:rPr>
        <w:t>I 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to have the action struck against the individual Crown employee defendants: Steve Mazur, Glen Davidson and Roy Simpson (the "Individual Defendants"), on the grounds articulated in Rules 19(24) (a) and (d)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In the alternative, they seek removal of the Individual Defendants pursuant to Rule 15(5)(a)(i).</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John Edwards, owns property at the south end of Lonesome Lake, British Columbia (the "Property"). The Property has been in the Edwards family for decades. It is surrounded by Tweedsmuir Provincial Park. In June 2004, a forest fire, ignited by a lightning strike, began in the south end of the park between Turner Lake and Lonesome Lake. By the end of July 2004, the fire had grown and eventually destroyed a large amount of forested park land as well as the Property. At the time, the Individual Defendants were all employees of Ministries of the province and participated in making decisions about how to respond to the fire.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Edwards commenced this action against the province and the Individual Defendants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nuisance and conduct in bad faith. The Crown concedes that at all material times the Individual Defendants were acting within the scope and course of their employment in relation to the events in issue.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DISCUSSION AND ANALYSIS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Should the claim against the Individual Defendants be struck out as disclosing no reasonable cause of action or as an abuse of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Individual Defendants contend that the claim against them should be struck out because they were, at all times, acting under statutory authority and within the course of their employment with the Crown, and that consequently, they owed no independent duty in their individual capacity to the plaintiff. They argue that from this it follows that the pleading discloses no reasonable claim against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Peter Hogg and Patrick Monahan examine the principle of personal liability of Crown servants in </w:t>
      </w:r>
      <w:r>
        <w:rPr>
          <w:rFonts w:ascii="arial" w:eastAsia="arial" w:hAnsi="arial" w:cs="arial"/>
          <w:i/>
          <w:color w:val="000000"/>
          <w:sz w:val="20"/>
          <w:lang w:val="en-US" w:eastAsia="en-US" w:bidi="ar-SA"/>
        </w:rPr>
        <w:t>Liability of the Crown</w:t>
      </w:r>
      <w:r>
        <w:rPr>
          <w:rFonts w:ascii="arial" w:eastAsia="arial" w:hAnsi="arial" w:cs="arial"/>
          <w:color w:val="000000"/>
          <w:sz w:val="20"/>
          <w:lang w:val="en-US" w:eastAsia="en-US" w:bidi="ar-SA"/>
        </w:rPr>
        <w:t>, 3rd ed. (Scarborough: Thomson Canada Limited, 2000). At 187 they state: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personal liability of Crown servants for torts committed by them has always been a feature of the common law and indeed Dicey regarded it as one of the tenets of his "rule of law'. Dicey overlooked the fact that, when he wrote in 1885, the Crown itself in England was not vicariously liable for the torts of its servants; but now that that immunity has been destroyed, it is broadly true to say that the ordinary rules governing liability for torts committed by servants apply to the Crown and its servants. </w:t>
      </w:r>
      <w:r>
        <w:rPr>
          <w:rFonts w:ascii="arial" w:eastAsia="arial" w:hAnsi="arial" w:cs="arial"/>
          <w:color w:val="000000"/>
          <w:sz w:val="20"/>
          <w:u w:val="single"/>
          <w:lang w:val="en-US" w:eastAsia="en-US" w:bidi="ar-SA"/>
        </w:rPr>
        <w:t>When a Crown servant commits a tort, the servant is personally liable; this is so even if the tort is committed in the course of employment, but in that case the Crown is liable as well</w:t>
      </w:r>
      <w:r>
        <w:rPr>
          <w:rFonts w:ascii="arial" w:eastAsia="arial" w:hAnsi="arial" w:cs="arial"/>
          <w:color w:val="000000"/>
          <w:sz w:val="20"/>
          <w:lang w:val="en-US" w:eastAsia="en-US" w:bidi="ar-SA"/>
        </w:rPr>
        <w:t>.</w:t>
      </w:r>
    </w:p>
    <w:p>
      <w:pPr>
        <w:spacing w:before="120" w:line="260" w:lineRule="atLeast"/>
        <w:ind w:left="2160"/>
        <w:rPr>
          <w:lang w:val="en-US" w:eastAsia="en-US" w:bidi="ar-SA"/>
        </w:rPr>
      </w:pPr>
      <w:r>
        <w:rPr>
          <w:rFonts w:ascii="arial" w:eastAsia="arial" w:hAnsi="arial" w:cs="arial"/>
          <w:color w:val="000000"/>
          <w:sz w:val="20"/>
          <w:lang w:val="en-US" w:eastAsia="en-US" w:bidi="ar-SA"/>
        </w:rPr>
        <w:t>[Emphasis added; footnotes omitted.]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proposition that Crown servants remain personally liable even where their tortious acts were committed in the proper course of employment is supported in the jurisprudence. In </w:t>
      </w:r>
      <w:r>
        <w:rPr>
          <w:rFonts w:ascii="arial" w:eastAsia="arial" w:hAnsi="arial" w:cs="arial"/>
          <w:b/>
          <w:i/>
          <w:color w:val="000000"/>
          <w:sz w:val="20"/>
          <w:lang w:val="en-US" w:eastAsia="en-US" w:bidi="ar-SA"/>
        </w:rPr>
        <w:t>Bank of British Columbia v. Canadian Broadcasting Corp.</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(1992), 64 B.C.L.R. (2d) 166</w:t>
        </w:r>
      </w:hyperlink>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[1992] 3 W.W.R. 183</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Bank of B.C.</w:t>
      </w:r>
      <w:r>
        <w:rPr>
          <w:rFonts w:ascii="arial" w:eastAsia="arial" w:hAnsi="arial" w:cs="arial"/>
          <w:color w:val="000000"/>
          <w:sz w:val="20"/>
          <w:lang w:val="en-US" w:eastAsia="en-US" w:bidi="ar-SA"/>
        </w:rPr>
        <w:t xml:space="preserve">], Taylor J.A., for the Court, referred to the decision of the Supreme Court of Canada in </w:t>
      </w:r>
      <w:r>
        <w:rPr>
          <w:rFonts w:ascii="arial" w:eastAsia="arial" w:hAnsi="arial" w:cs="arial"/>
          <w:b/>
          <w:i/>
          <w:color w:val="000000"/>
          <w:sz w:val="20"/>
          <w:lang w:val="en-US" w:eastAsia="en-US" w:bidi="ar-SA"/>
        </w:rPr>
        <w:t>National Harbours Board v. Langelier et al</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[1969] S.C.R. 60</w:t>
        </w:r>
      </w:hyperlink>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 D.L.R. (3d) 81</w:t>
        </w:r>
      </w:hyperlink>
      <w:r>
        <w:rPr>
          <w:rFonts w:ascii="arial" w:eastAsia="arial" w:hAnsi="arial" w:cs="arial"/>
          <w:color w:val="000000"/>
          <w:sz w:val="20"/>
          <w:lang w:val="en-US" w:eastAsia="en-US" w:bidi="ar-SA"/>
        </w:rPr>
        <w:t>, where Mr. Justice Martland had concluded that a Crown servant who commits a wrong is personally liable to the person injured. With respect to the liability of Crown servants at common law for actions founded in tort, Taylor J.A. remarked, at para. 15: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decision in Langelier finally established that in this country, as in the United Kingdom, Crown privilege or immunity, while it protects the Crown and property and revenues of the Crown, does not at common law protect Crown servants, or individual or corporate agents of the Crown, in respect of claims in tort for acts committed by them, even though committed in the course of carrying out their functions. Legislation or executive dispensation may be needed in order to reach the Crown and its assets in respect of the torts of its agents or servants committed in the course of their duties, or in respect of breaches of contracts made by them on behalf of the Crown, but no such authority is necessary in order to bring action in tort against such servants or agents themselves.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Alberta Court of Appeal recently faced the issue in </w:t>
      </w:r>
      <w:r>
        <w:rPr>
          <w:rFonts w:ascii="arial" w:eastAsia="arial" w:hAnsi="arial" w:cs="arial"/>
          <w:b/>
          <w:i/>
          <w:color w:val="000000"/>
          <w:sz w:val="20"/>
          <w:lang w:val="en-US" w:eastAsia="en-US" w:bidi="ar-SA"/>
        </w:rPr>
        <w:t>Decock v. Alberta</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(2000), 186 D.L.R. (4th) 265</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2000 ABCA 122</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79 Alta. L.R. (3d) 11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Decock</w:t>
      </w:r>
      <w:r>
        <w:rPr>
          <w:rFonts w:ascii="arial" w:eastAsia="arial" w:hAnsi="arial" w:cs="arial"/>
          <w:color w:val="000000"/>
          <w:sz w:val="20"/>
          <w:lang w:val="en-US" w:eastAsia="en-US" w:bidi="ar-SA"/>
        </w:rPr>
        <w:t>]. In that case, the majority held, at para. 2, that it is not an error to name a Crown official personally because, in accordance with the principle of individual responsibility, liability should fall first upon the individual tortfeasor. At para. 22, Russell J.A.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a well-established principle of tort law that liability is, firstly, personal ... Thus, in determining the liability of a Crown servant or officer, no distinction should be drawn between the individual's "official" versus "unofficial" actions. No matter the role of the tortfeasor, liability will always fall "first and foremost" personally upon that individual.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learned Justice went on to quote Professor Hogg in an earlier version of his above-referenced text and then stated at para. 24: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principle of individual responsibility militates in favour of naming defendants personally. After all, it is the person who is alleged to have committed the tort. That said, since the function conferred or performed at the time of the commission of the alleged tort is essential to the determination of whether the Crown will also be liable, the official or office should be readily identified in the body of the pleadings.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Decock</w:t>
      </w:r>
      <w:r>
        <w:rPr>
          <w:rFonts w:ascii="arial" w:eastAsia="arial" w:hAnsi="arial" w:cs="arial"/>
          <w:color w:val="000000"/>
          <w:sz w:val="20"/>
          <w:lang w:val="en-US" w:eastAsia="en-US" w:bidi="ar-SA"/>
        </w:rPr>
        <w:t xml:space="preserve"> has been criticized for failing to determine whether a duty of care had been properly plead, but its findings with respect to the liability of Crown servants have not been. Leave to appeal to the Supreme Court of Canada was granted, </w:t>
      </w:r>
      <w:hyperlink r:id="rId346" w:history="1">
        <w:r>
          <w:rPr>
            <w:rFonts w:ascii="arial" w:eastAsia="arial" w:hAnsi="arial" w:cs="arial"/>
            <w:i/>
            <w:color w:val="0077CC"/>
            <w:sz w:val="20"/>
            <w:u w:val="single"/>
            <w:shd w:val="clear" w:color="auto" w:fill="FFFFFF"/>
            <w:lang w:val="en-US" w:eastAsia="en-US" w:bidi="ar-SA"/>
          </w:rPr>
          <w:t>[2000] S.C.C.A. No. 301</w:t>
        </w:r>
      </w:hyperlink>
      <w:r>
        <w:rPr>
          <w:rFonts w:ascii="arial" w:eastAsia="arial" w:hAnsi="arial" w:cs="arial"/>
          <w:color w:val="000000"/>
          <w:sz w:val="20"/>
          <w:lang w:val="en-US" w:eastAsia="en-US" w:bidi="ar-SA"/>
        </w:rPr>
        <w:t>, but the appeal was discontinued.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rely largely upon </w:t>
      </w:r>
      <w:r>
        <w:rPr>
          <w:rFonts w:ascii="arial" w:eastAsia="arial" w:hAnsi="arial" w:cs="arial"/>
          <w:b/>
          <w:i/>
          <w:color w:val="000000"/>
          <w:sz w:val="20"/>
          <w:lang w:val="en-US" w:eastAsia="en-US" w:bidi="ar-SA"/>
        </w:rPr>
        <w:t>Morriss v. British Columbia</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[2001] B.C.J. No. 369</w:t>
        </w:r>
      </w:hyperlink>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2001 BCSC 281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Morriss</w:t>
      </w:r>
      <w:r>
        <w:rPr>
          <w:rFonts w:ascii="arial" w:eastAsia="arial" w:hAnsi="arial" w:cs="arial"/>
          <w:color w:val="000000"/>
          <w:sz w:val="20"/>
          <w:lang w:val="en-US" w:eastAsia="en-US" w:bidi="ar-SA"/>
        </w:rPr>
        <w:t>], to support their position. In that case, Master Groves (as he was then) struck out the action against various individual defendants, including some ministers of the government. Master Groves likened the liability of governmental ministers and Crown employees to that of employees of a corporation. At paras. 12-13, he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Like a corporation, government acts only through its ministers, somewhat akin to the officers and directors of a corporation, or its employees. As suggested by counsel for the defendants, the province is incapable of action other than through its employees, or its ministers, the members of the provincial cabinet. That similarity being established, unless the plaintiff can show through facts pleaded that any of the </w:t>
      </w:r>
      <w:r>
        <w:rPr>
          <w:rFonts w:ascii="arial" w:eastAsia="arial" w:hAnsi="arial" w:cs="arial"/>
          <w:color w:val="000000"/>
          <w:sz w:val="20"/>
          <w:u w:val="single"/>
          <w:lang w:val="en-US" w:eastAsia="en-US" w:bidi="ar-SA"/>
        </w:rPr>
        <w:t>individual defendants in this case acted in such a way so that their actions themselves are a tort, or exhibit a separate identity and interest from that of government</w:t>
      </w:r>
      <w:r>
        <w:rPr>
          <w:rFonts w:ascii="arial" w:eastAsia="arial" w:hAnsi="arial" w:cs="arial"/>
          <w:color w:val="000000"/>
          <w:sz w:val="20"/>
          <w:lang w:val="en-US" w:eastAsia="en-US" w:bidi="ar-SA"/>
        </w:rPr>
        <w:t>, so as to make their actions or their conduct complained of their own, then in my view the claim against the individual defendants must fail.</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Having reviewed the amended statement of claim at length, I note that other than the identification of the individual defendants in paragraphs 3, 4, 5, 6, and 7 and the reference to a certain conversation involving the Defendant Jack Ebbels, identified as "Deputy of Mines", </w:t>
      </w:r>
      <w:r>
        <w:rPr>
          <w:rFonts w:ascii="arial" w:eastAsia="arial" w:hAnsi="arial" w:cs="arial"/>
          <w:color w:val="000000"/>
          <w:sz w:val="20"/>
          <w:u w:val="single"/>
          <w:lang w:val="en-US" w:eastAsia="en-US" w:bidi="ar-SA"/>
        </w:rPr>
        <w:t>there is no reference in the pleadings which in anyway suggests that there are actions of these individuals which are in themselves tortuous [sic] or exhibit a separate interest, a separate act, or separate conduct, which is so different from the interest of the defendant Province so as to make acts complained of their own</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Counsel for the Individual Defendants contend that </w:t>
      </w:r>
      <w:r>
        <w:rPr>
          <w:rFonts w:ascii="arial" w:eastAsia="arial" w:hAnsi="arial" w:cs="arial"/>
          <w:b/>
          <w:i/>
          <w:color w:val="000000"/>
          <w:sz w:val="20"/>
          <w:lang w:val="en-US" w:eastAsia="en-US" w:bidi="ar-SA"/>
        </w:rPr>
        <w:t>Morriss</w:t>
      </w:r>
      <w:r>
        <w:rPr>
          <w:rFonts w:ascii="arial" w:eastAsia="arial" w:hAnsi="arial" w:cs="arial"/>
          <w:color w:val="000000"/>
          <w:sz w:val="20"/>
          <w:lang w:val="en-US" w:eastAsia="en-US" w:bidi="ar-SA"/>
        </w:rPr>
        <w:t xml:space="preserve"> stands for the proposition that a Crown servant cannot be personally liable even in tort unless their conduct exhibits an identity or interest separate from the Crown such that the act(s) complained of can be characterized as being the servant's own. That contention stems from a misreading of </w:t>
      </w:r>
      <w:r>
        <w:rPr>
          <w:rFonts w:ascii="arial" w:eastAsia="arial" w:hAnsi="arial" w:cs="arial"/>
          <w:b/>
          <w:i/>
          <w:color w:val="000000"/>
          <w:sz w:val="20"/>
          <w:lang w:val="en-US" w:eastAsia="en-US" w:bidi="ar-SA"/>
        </w:rPr>
        <w:t>Morriss</w:t>
      </w:r>
      <w:r>
        <w:rPr>
          <w:rFonts w:ascii="arial" w:eastAsia="arial" w:hAnsi="arial" w:cs="arial"/>
          <w:color w:val="000000"/>
          <w:sz w:val="20"/>
          <w:lang w:val="en-US" w:eastAsia="en-US" w:bidi="ar-SA"/>
        </w:rPr>
        <w:t xml:space="preserve">. In my view, a proper reading of </w:t>
      </w:r>
      <w:r>
        <w:rPr>
          <w:rFonts w:ascii="arial" w:eastAsia="arial" w:hAnsi="arial" w:cs="arial"/>
          <w:b/>
          <w:i/>
          <w:color w:val="000000"/>
          <w:sz w:val="20"/>
          <w:lang w:val="en-US" w:eastAsia="en-US" w:bidi="ar-SA"/>
        </w:rPr>
        <w:t>Morriss</w:t>
      </w:r>
      <w:r>
        <w:rPr>
          <w:rFonts w:ascii="arial" w:eastAsia="arial" w:hAnsi="arial" w:cs="arial"/>
          <w:color w:val="000000"/>
          <w:sz w:val="20"/>
          <w:lang w:val="en-US" w:eastAsia="en-US" w:bidi="ar-SA"/>
        </w:rPr>
        <w:t xml:space="preserve"> in fact supports the plaintiff's position. Having found that the statement of claim disclosed neither individually tortious conduct, </w:t>
      </w:r>
      <w:r>
        <w:rPr>
          <w:rFonts w:ascii="arial" w:eastAsia="arial" w:hAnsi="arial" w:cs="arial"/>
          <w:color w:val="000000"/>
          <w:sz w:val="20"/>
          <w:u w:val="single"/>
          <w:lang w:val="en-US" w:eastAsia="en-US" w:bidi="ar-SA"/>
        </w:rPr>
        <w:t>nor</w:t>
      </w:r>
      <w:r>
        <w:rPr>
          <w:rFonts w:ascii="arial" w:eastAsia="arial" w:hAnsi="arial" w:cs="arial"/>
          <w:color w:val="000000"/>
          <w:sz w:val="20"/>
          <w:lang w:val="en-US" w:eastAsia="en-US" w:bidi="ar-SA"/>
        </w:rPr>
        <w:t xml:space="preserve"> conduct which suggested that the actions exhibited a separate identity, Master Groves dismissed the application. Had the statement of claim contained allegations that the individual defendants' conduct was itself tortious then, on my reading of </w:t>
      </w:r>
      <w:r>
        <w:rPr>
          <w:rFonts w:ascii="arial" w:eastAsia="arial" w:hAnsi="arial" w:cs="arial"/>
          <w:b/>
          <w:i/>
          <w:color w:val="000000"/>
          <w:sz w:val="20"/>
          <w:lang w:val="en-US" w:eastAsia="en-US" w:bidi="ar-SA"/>
        </w:rPr>
        <w:t>Morriss</w:t>
      </w:r>
      <w:r>
        <w:rPr>
          <w:rFonts w:ascii="arial" w:eastAsia="arial" w:hAnsi="arial" w:cs="arial"/>
          <w:color w:val="000000"/>
          <w:sz w:val="20"/>
          <w:lang w:val="en-US" w:eastAsia="en-US" w:bidi="ar-SA"/>
        </w:rPr>
        <w:t xml:space="preserve">, the claim would not have been dismissed even if such conduct did not exhibit an identity that was separate from those tortfeasors' roles as Crown servants. As an aside, I note that in any event Master Groves did not have the benefit of the </w:t>
      </w:r>
      <w:r>
        <w:rPr>
          <w:rFonts w:ascii="arial" w:eastAsia="arial" w:hAnsi="arial" w:cs="arial"/>
          <w:b/>
          <w:i/>
          <w:color w:val="000000"/>
          <w:sz w:val="20"/>
          <w:lang w:val="en-US" w:eastAsia="en-US" w:bidi="ar-SA"/>
        </w:rPr>
        <w:t>Bank of B.C.</w:t>
      </w:r>
      <w:r>
        <w:rPr>
          <w:rFonts w:ascii="arial" w:eastAsia="arial" w:hAnsi="arial" w:cs="arial"/>
          <w:color w:val="000000"/>
          <w:sz w:val="20"/>
          <w:lang w:val="en-US" w:eastAsia="en-US" w:bidi="ar-SA"/>
        </w:rPr>
        <w:t xml:space="preserve"> case when he decided </w:t>
      </w:r>
      <w:r>
        <w:rPr>
          <w:rFonts w:ascii="arial" w:eastAsia="arial" w:hAnsi="arial" w:cs="arial"/>
          <w:b/>
          <w:i/>
          <w:color w:val="000000"/>
          <w:sz w:val="20"/>
          <w:lang w:val="en-US" w:eastAsia="en-US" w:bidi="ar-SA"/>
        </w:rPr>
        <w:t>Morriss</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statement of claim here alleges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and strict liability against the Individual Defendants. In particular, paragraph 24 alleges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based on a recognized category of proximity and foreseeablity, that being the duty not to cause physical harm to the plaintiff or his Property (see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96 B.C.L.R. (3d) 36</w:t>
        </w:r>
      </w:hyperlink>
      <w:r>
        <w:rPr>
          <w:rFonts w:ascii="arial" w:eastAsia="arial" w:hAnsi="arial" w:cs="arial"/>
          <w:color w:val="000000"/>
          <w:sz w:val="20"/>
          <w:lang w:val="en-US" w:eastAsia="en-US" w:bidi="ar-SA"/>
        </w:rPr>
        <w:t xml:space="preserve"> at para. 36). It is by no means plain and obvious that the claim against the Individual Defendants is bound to fail in accordance with the test set out in </w:t>
      </w:r>
      <w:r>
        <w:rPr>
          <w:rFonts w:ascii="arial" w:eastAsia="arial" w:hAnsi="arial" w:cs="arial"/>
          <w:b/>
          <w:i/>
          <w:color w:val="000000"/>
          <w:sz w:val="20"/>
          <w:lang w:val="en-US" w:eastAsia="en-US" w:bidi="ar-SA"/>
        </w:rPr>
        <w:t>Hunt v. T&amp;N plc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 B.C.L.R. (2d) 273</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my opinion, it is appropriate that the Individual Defendants be named as defendants in this case, even though it is conceded that they were at all times acting within the course of their employment. Additionally, there is no basis to characterize the claim as an abuse of process; in fact, I am unable to conceive of the underlying rationale in founding an application on so baseless a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Should the Individual Defendants be removed as parties pursuant to Rule 15(5)(a)(i)?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Individual Defendants take the position that because the Crown has conceded vicarious liability in the event that the claims against the Individual Defendants are proved, it is neither proper nor necessary that they remain as parties to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very little case authority on the removal of a party under Rule 15(5)(a)(i). It has been observed that the law concerning the removal of a party is similar, but not identical, to the law for adding a party (</w:t>
      </w:r>
      <w:r>
        <w:rPr>
          <w:rFonts w:ascii="arial" w:eastAsia="arial" w:hAnsi="arial" w:cs="arial"/>
          <w:b/>
          <w:i/>
          <w:color w:val="000000"/>
          <w:sz w:val="20"/>
          <w:lang w:val="en-US" w:eastAsia="en-US" w:bidi="ar-SA"/>
        </w:rPr>
        <w:t>Small v. National Life Assurance Co. of Canada</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(1992), 64 B.C.L.R. (2d) 325</w:t>
        </w:r>
      </w:hyperlink>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6 C.C.L.I (2d) 311</w:t>
        </w:r>
      </w:hyperlink>
      <w:r>
        <w:rPr>
          <w:rFonts w:ascii="arial" w:eastAsia="arial" w:hAnsi="arial" w:cs="arial"/>
          <w:color w:val="000000"/>
          <w:sz w:val="20"/>
          <w:lang w:val="en-US" w:eastAsia="en-US" w:bidi="ar-SA"/>
        </w:rPr>
        <w:t xml:space="preserve"> (S.C.). I recognize there are common elements in the tests and endorse that broadly stated approach. I would add, however, that the intended application of Rule 15(5)(a)(i) is also informed by reference to Rule 5 which articulates fundamental joinder principles.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Decock</w:t>
      </w:r>
      <w:r>
        <w:rPr>
          <w:rFonts w:ascii="arial" w:eastAsia="arial" w:hAnsi="arial" w:cs="arial"/>
          <w:color w:val="000000"/>
          <w:sz w:val="20"/>
          <w:lang w:val="en-US" w:eastAsia="en-US" w:bidi="ar-SA"/>
        </w:rPr>
        <w:t xml:space="preserve">, the court makes reference to scholars who are of the opinion that the vicarious liability of the Crown obviates the need for the individual Crown servants to be named as defendants. Russell J.A. then goes on at para. 38 to conclude that the intricacies of determining vicarious liability often necessitate that the individuals be personally named. In </w:t>
      </w:r>
      <w:r>
        <w:rPr>
          <w:rFonts w:ascii="arial" w:eastAsia="arial" w:hAnsi="arial" w:cs="arial"/>
          <w:b/>
          <w:i/>
          <w:color w:val="000000"/>
          <w:sz w:val="20"/>
          <w:lang w:val="en-US" w:eastAsia="en-US" w:bidi="ar-SA"/>
        </w:rPr>
        <w:t>Decock</w:t>
      </w:r>
      <w:r>
        <w:rPr>
          <w:rFonts w:ascii="arial" w:eastAsia="arial" w:hAnsi="arial" w:cs="arial"/>
          <w:color w:val="000000"/>
          <w:sz w:val="20"/>
          <w:lang w:val="en-US" w:eastAsia="en-US" w:bidi="ar-SA"/>
        </w:rPr>
        <w:t>, unlike the case at hand, the Crown had not admitted vicarious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their text, Hogg and Monahan canvass the reasons why it may be considered necessary to name an individual Crown servant as a defendant in cases where the Crown is also a defendant. The ability to conduct proper examinations for discovery is identified as one of them, at 191: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Now that the Crown itself is liable vicariously for the torts of its servants, the risk of personal liability of Crown servants is much diminished. In practice, a plaintiff will want to sue the Crown with its deep pockets, rather than an individual who may be unable to satisfy a judgment. The plaintiff will normally be interested in establishing the liability of the servant only in order to fasten vicarious liability on the Crown. The servant need not be named as defendant at all. In many cases, however, it is prudent for the plaintiff to join the responsible servant as co-defendant. There may be some doubt as to whether the servant was acting in the course of employment when the tort was committed, or there may be doubt as to whether the Crown, if it were the only defendant, would tender the appropriate person to be examined on discovery. These are among the reasons why individual Crown servants are still apt to be sued in tort.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After quoting this passage, the majority in </w:t>
      </w:r>
      <w:r>
        <w:rPr>
          <w:rFonts w:ascii="arial" w:eastAsia="arial" w:hAnsi="arial" w:cs="arial"/>
          <w:b/>
          <w:i/>
          <w:color w:val="000000"/>
          <w:sz w:val="20"/>
          <w:lang w:val="en-US" w:eastAsia="en-US" w:bidi="ar-SA"/>
        </w:rPr>
        <w:t>Decock</w:t>
      </w:r>
      <w:r>
        <w:rPr>
          <w:rFonts w:ascii="arial" w:eastAsia="arial" w:hAnsi="arial" w:cs="arial"/>
          <w:color w:val="000000"/>
          <w:sz w:val="20"/>
          <w:lang w:val="en-US" w:eastAsia="en-US" w:bidi="ar-SA"/>
        </w:rPr>
        <w:t xml:space="preserve"> notes, at para. 34, that legislation in Alberta stipulates that a minister (which the individual defendants in that case were) may be examined for discovery if he is the person best informed of the issues, regardless of whether or not he is named as a party. Accordingly, whether or not the Crown would tender the appropriate person for discovery was not much of an issue in that case. Even so, the majority suggested that concerns pertaining to Crown individuals being available for examination for discovery are valid and could support retaining an individually named Crown servant as a defendant. It seems to me that the Court should not lightly deprive a plaintiff of its entitlement to conduct discovery against agents of the Crown who are alleged to be liable in tort, simply because the Crown has conceded vicarious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Individual Defendants place considerable reliance on </w:t>
      </w:r>
      <w:r>
        <w:rPr>
          <w:rFonts w:ascii="arial" w:eastAsia="arial" w:hAnsi="arial" w:cs="arial"/>
          <w:b/>
          <w:i/>
          <w:color w:val="000000"/>
          <w:sz w:val="20"/>
          <w:lang w:val="en-US" w:eastAsia="en-US" w:bidi="ar-SA"/>
        </w:rPr>
        <w:t>Grey v. College of the Rockies</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[2005] B.C.J. No. 863</w:t>
        </w:r>
      </w:hyperlink>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2005 BCSC 575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Grey</w:t>
      </w:r>
      <w:r>
        <w:rPr>
          <w:rFonts w:ascii="arial" w:eastAsia="arial" w:hAnsi="arial" w:cs="arial"/>
          <w:color w:val="000000"/>
          <w:sz w:val="20"/>
          <w:lang w:val="en-US" w:eastAsia="en-US" w:bidi="ar-SA"/>
        </w:rPr>
        <w:t xml:space="preserve">] in support of their removal application. In that case, the Master dismissed the plaintiff's application to add certain individuals as defendants more than three years after the occurrence of the incident that gave rise to the action because there was nothing which indicated that those individuals had conducted themselves in a manner that would not have been covered by the vicarious liability of the employer college. Of note in </w:t>
      </w:r>
      <w:r>
        <w:rPr>
          <w:rFonts w:ascii="arial" w:eastAsia="arial" w:hAnsi="arial" w:cs="arial"/>
          <w:b/>
          <w:i/>
          <w:color w:val="000000"/>
          <w:sz w:val="20"/>
          <w:lang w:val="en-US" w:eastAsia="en-US" w:bidi="ar-SA"/>
        </w:rPr>
        <w:t>Grey</w:t>
      </w:r>
      <w:r>
        <w:rPr>
          <w:rFonts w:ascii="arial" w:eastAsia="arial" w:hAnsi="arial" w:cs="arial"/>
          <w:color w:val="000000"/>
          <w:sz w:val="20"/>
          <w:lang w:val="en-US" w:eastAsia="en-US" w:bidi="ar-SA"/>
        </w:rPr>
        <w:t xml:space="preserve">, was that one of the individuals whom the plaintiff sought to add had already been examined for discovery and was going to be called as a witness at trial; the other had provided an affidavit stating that he had not been in the province at the time of the accident. To my mind, </w:t>
      </w:r>
      <w:r>
        <w:rPr>
          <w:rFonts w:ascii="arial" w:eastAsia="arial" w:hAnsi="arial" w:cs="arial"/>
          <w:b/>
          <w:i/>
          <w:color w:val="000000"/>
          <w:sz w:val="20"/>
          <w:lang w:val="en-US" w:eastAsia="en-US" w:bidi="ar-SA"/>
        </w:rPr>
        <w:t>Grey</w:t>
      </w:r>
      <w:r>
        <w:rPr>
          <w:rFonts w:ascii="arial" w:eastAsia="arial" w:hAnsi="arial" w:cs="arial"/>
          <w:color w:val="000000"/>
          <w:sz w:val="20"/>
          <w:lang w:val="en-US" w:eastAsia="en-US" w:bidi="ar-SA"/>
        </w:rPr>
        <w:t xml:space="preserve"> is of no assistance to the Individual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material facts as plead in this case establish a reasonable cause of action against the Individual Defendants. It is clear they were properly named as parties at the outset. Although the Crown concedes vicarious liability, the liability of the Individual Defendants is denied. An admission of vicarious liability does not negate the action against the Individual Defendants and nor does it amount to a compelling rationale justifying the removal of the Individual Defendants as parties. The Individual Defendants' participation in this proceeding is essential for the resolution of the issues. It would be a rare and peculiar case indeed for a defendant to be found to have ceased to be a proper or necessary party as contemplated by Rule 15(5)(a)(i), where a </w:t>
      </w:r>
      <w:r>
        <w:rPr>
          <w:rFonts w:ascii="arial" w:eastAsia="arial" w:hAnsi="arial" w:cs="arial"/>
          <w:i/>
          <w:color w:val="000000"/>
          <w:sz w:val="20"/>
          <w:lang w:val="en-US" w:eastAsia="en-US" w:bidi="ar-SA"/>
        </w:rPr>
        <w:t>prima face</w:t>
      </w:r>
      <w:r>
        <w:rPr>
          <w:rFonts w:ascii="arial" w:eastAsia="arial" w:hAnsi="arial" w:cs="arial"/>
          <w:color w:val="000000"/>
          <w:sz w:val="20"/>
          <w:lang w:val="en-US" w:eastAsia="en-US" w:bidi="ar-SA"/>
        </w:rPr>
        <w:t xml:space="preserve"> cause of action in tort is plead against that individual.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fact that no examinations for discovery of the Individual Defendants have taken place and no undertaking given by the Crown that any of the Individual Defendants will be tendered for discovery fortifies, but is not determinative of, my conclusion that it cannot be legitimately said that, in all the circumstances in the case at hand, the Individual Defendants have ceased to be proper or necessary parties.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Individual Defendants' application is dismissed. Costs to the plaintiff at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BALLANCE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Forget v. MacCarthy, [2002] B.C.J. No. 1308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13 and 14,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M004197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1308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892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233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Monika Lily Forget, plaintiff, and Kevin Parker MacCarthy and Jim McEwan Motors (Terrace)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0"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1" w:name="Keywords_15"/>
      <w:bookmarkEnd w:id="10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passengers — Damage awards — Injury and death — Body injuries — Chest (incl. lungs and ribs) — Special damage awards — Loss of income of self-employed — General damage awards — Pain and suffering, loss of amenities and other nonpecuniary damages — Damages — Assessment.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2" w:name="Case Summary_14"/>
            <w:bookmarkEnd w:id="1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victim, Forget, against the tortfeasor, MacCarthy, for damages for injuries suffered as a result of a motor vehicle accident. Forget was a strong and robust 34-year-old woman. She earned income by baking bread and selling it to local farmers, as well as assisting her husband in building houses. A vehicle driven by MacCarthy struck her husband's vehicle in the rear while she was a passenger in its front seat. Forget's head snapped back and she felt dizzy. Initially she was very stiff and experienced headaches, neck and shoulder pain and pain to the left of her ribs. According to a nurse at the scene of the accident, Forget indicated that the pain on her left side was not new. Forget's headaches abated, but she continued to experience neck, shoulder and rib pain. Her physician reported that she suffered from rib injury, which he considered to be a permanent problem. Forget instituted proceedings against MacCarthy for damages. Liability was not an issue in the case. Forget testified that the accident affected her by reducing her ability to do heavy work. Her annual income in the two years following the accident diminished by $2,000. Forget currently lived with her family on a boat. She sought non-pecuniary damages, damages for loss of income and loss of future earning capacity.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3" w:name="Holdings of Court_11"/>
            <w:bookmarkEnd w:id="10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Forget suffered a left side rib injury that was caused or became symptomatic as a result of the accident. She was a credible witness who did not appear to exaggerate her symptoms or their effect upon her life. However, her condition was not permanent and the evidence demonstrated that she has not taken all of the necessary steps to properly diagnose or treat her condition, including surgery. Forget was awarded $3,000 for past loss of income. Given her current living arrangements and the uncertainty of her diagnosis and prognosis, it was difficult to assess future loss of income. Further, her robustness and resourcefulness did not establish that her ability to earn income would be permanently affected or that it had an immediate effect upon her current circumstances. Forget was awarded $45,000 for pain and suffering since the effects of the accident have not been insignificant. Finally, the nurse's notes were not admissible as proof of the truth of the contents of the assertion since Forget did not distinctly admit to making the statement and the nurse's affidavit did not constitute direct evidence that she made the statement. Further, Forget's testimony that she did not complain of any injury or pain to her left side rib area prior to the accident to any medical professional was unchallenged.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4" w:name="Legislation Cited_9"/>
      <w:bookmarkEnd w:id="1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1"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Canada Evidence Act, </w:t>
      </w:r>
      <w:hyperlink r:id="rId358" w:history="1">
        <w:r>
          <w:rPr>
            <w:rFonts w:ascii="arial" w:eastAsia="arial" w:hAnsi="arial" w:cs="arial"/>
            <w:i/>
            <w:color w:val="0077CC"/>
            <w:sz w:val="20"/>
            <w:u w:val="single"/>
            <w:shd w:val="clear" w:color="auto" w:fill="FFFFFF"/>
            <w:lang w:val="en-US" w:eastAsia="en-US" w:bidi="ar-SA"/>
          </w:rPr>
          <w:t>R.S.C. 1985, c. C-5, ss. 9</w:t>
        </w:r>
      </w:hyperlink>
      <w:r>
        <w:rPr>
          <w:rFonts w:ascii="arial" w:eastAsia="arial" w:hAnsi="arial" w:cs="arial"/>
          <w:color w:val="000000"/>
          <w:sz w:val="20"/>
          <w:lang w:val="en-US" w:eastAsia="en-US" w:bidi="ar-SA"/>
        </w:rPr>
        <w:t>(2), 10(1), 13, 14, 42.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5" w:name="Counsel_15"/>
      <w:bookmarkEnd w:id="1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2"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J.F.R. Chouinard,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S.J. Morris,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15"/>
      <w:bookmarkEnd w:id="106"/>
      <w:r>
        <w:pict>
          <v:line id="_x0000_s1103"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CULLEN J."/>
            <w:bookmarkEnd w:id="107"/>
            <w:r>
              <w:rPr>
                <w:rFonts w:ascii="arial" w:eastAsia="arial" w:hAnsi="arial" w:cs="arial"/>
                <w:b/>
                <w:color w:val="000000"/>
                <w:sz w:val="30"/>
                <w:lang w:val="en-US" w:eastAsia="en-US" w:bidi="ar-SA"/>
              </w:rPr>
              <w:t>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Monika Forget is 34 years old, married to Robert Forget and the mother of 12 year old Joy. Ms. Forget was sitting in the right front passenger seat of the family vehicle, a 1982 Volkswagen Golf, being driven by her husband on May 26, 1999 around 4:00 p.m. when it was struck in the rear by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not the issue in this case; it is the nature and extent of the injuries suffered by Ms. Forget and what damages they attract.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on McBride Street in Prince Rupert. The Forget vehicle had come to a stop when the defendant's vehicle ran into its rear. Ms. Forget testified that at the moment her vehicle was struck she had turned her head to the left in response to a warning shout given by her husband and that on impact she "flew into her seatbelt really hard and her head snapped back." She testified that she immediately felt dizzy but did now know what was going on, although she was able to get out of the vehicle to help her daughter, Joy, who was seated in the back seat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Photographs of the Forget vehicle after impact were exhibited at the trial. They reveal significant damage to the rear bumper and confirm Ms. Forget's testimony that the impact prevented the vehicle doors from closing properly. Ms. Forget testified that the vehicle was written-off by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testified she was initially very stiff and her head hurt. She was taken to the Prince Rupert Regional Hospital by ambulance, where, according to hospital records, she was admitted at 4:29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several medical records relating to the plaintiff which were admitted in evidence at the trial. They include the ambulance attendant's crew report dated May 26, 1999; a Prince Rupert Regional Hospital ("PRRH") out-patient emergency record dated May 26, 1999 at 4:29 p.m.; a PRRH out-patient emergency record dated May 28, 1999 at 11:40 a.m.; a PRRH out-patient/emergency record dated May 29, 1999 at 12:33 p.m.; a PRRH out-patient emergency record dated June 3, 1999 at 5:15 p.m.; and a PRRH out-patient/emergency record dated June 14, 1999 at 11:59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relation to the hospital visits following May 26th, Ms. Forget testified that she had no Prince Rupert doctor at the time and they were too busy to take on new patients so she used the PRRH emergency department in order to seek ongoing treatment of her injuries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Forget testified that she suffered from neck and shoulder pain, headaches, pain to the left side of her ribs and numbness to the right side of her tongue as a result of the accident. She testified she still has the neck and shoulder pain and the rib pain as of the trial date but that the headaches abated by May 2001 and the numbness to her tongue resolved some eight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testified that she is limited in what she can presently do as her neck, shoulder and rib injuries cause her pain when she does any significant lifting or is working with her arms above her head. She testified that she still occasionally gets headaches but expressed some doubt that they were connected to the accident as they appear different from the ones she associated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Overall, she testified the accident affected her by reducing her ability to be "rough" as she was before in terms of her work and activities. She testified that she had to be careful as to how she moved and what she did and that because her injuries are to her left side that they tend to limit her because she is left-handed. She testified that she is currently living with her family on a 32 foot sail boat and that her ability to do some of the work associated with living and sailing on the boat is limited by the need to avoid heavy lifting or strenuous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testified that sometimes the pain in her left rib comes around to her sternum and that she can put her neck out for up to two - three weeks just by shaking her head to flip her hair out of her face. She testified that as far as she was aware she had no head injury beyond the headaches and the numbness to the right side of her tongue.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Prior to the accident the plaintiff saw Dr. Lee, a family physician located in New Hazelton, an approximately two hour drive from Prince Rupert. She did not continue to see Dr. Lee post accident because of the lengthy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eventually began seeing Dr. Smit, a Prince Rupert based family physician, in late November or December of 2000. According to her testimony, he ordered a chest X-ray to investigate her left side rib injury, and informed her that there was no evidence of a fracture, but that sometimes such fractures do not show up on X-rays. She testified he told her of an operation to "disconnect a nerve" to avoid the pain she was feeling in her left side but as she was unwilling to undergo that procedure he recommended acupuncture and physiotherapy which she undertook in December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No medical report was obtained from Dr. Smits.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the plaintiff's contention that she has suffered a complex of injuries arising from the accident some of which, the neck, shoulder and left rib injuries, are ongoing and permanent in nature. She argues that in addition to non-pecuniary damages, she is entitled to damages for loss of income flowing from her reduced circumstances to the time of trial and loss of future earning capacity similarly resulting from the limitations placed on her by her current and ongoing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testified that she has been in Canada for 15 years and married to her husband for that same length of time. She testified that until the summer of 2001, she had not worked for any employer save her husband and herself. She detailed the nature of her employment starting in 1993 when she and her husband lived in Seton Portage. At that time, the couple lived in a rented house and land and grew organic tomatoes in order to process them and sell them as sun-dried tomatoes. She said she and her husband worked at that endeavour for three seasons but it ultimately was not successful as they needed money to invest in the operation and did not have it at hand. She said while living in Seton Portage she began making bread and took it to the local farmers' market to sell and testified that her bread sales became very successful and that eventually it overtook the sun-dried tomato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testified that her bread was different from many commercial kinds of bread because she did not use machines to knead it and testified that it was of a better quality and it gave her an edge on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said that from Seton Portage the family then moved to the Queen Charlotte Islands and at that time she did some window cleaning and she and her husband started building a house for another person. She said her husband was a carpenter and she did a lot of the heavy lifting work that was involved in the house building. She also did some shake block cutting.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Queen Charlotte Islands, the family moved to Kitwanga, located between Prince Rupert and New Hazelton, and at that time she once again started making bread for the farmers' market in Terrace. She testified that she sold the bread every weekend at the farmers' market and she could sell as much as she could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testified that she attempted to cook and sell bread after the accident a few times and that she did bake for a season but that she was compelled to keep the amounts she baked much lower and took pain-killers to deal with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year before the accident, 1998, according to her income tax returns Ms. Forget earned $6,150 from the sale of bread. In 1999 she earned $4,860 again from the sale of bread. In 2000 she earned a total of $4,350 all from the sale of bread and in 2001 she earned $5,875.92, $930 of which she received for painting, yard work and gardening for "an older lady" and the balance of which she earned as seasonal employee for a salmon processing plant in Prince Rupert.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testified that at the seafood plant she worked whatever hours she was called upon to work. She testified that she had found some jobs harder to do than others and was given some accommodation from her foreman but ultimately had to rotate through the various jobs as did the other employees. She said, however, that the main job involved collecting salmon roe which weighed about a pound and then putting it on a conveyor belt. She testified that some of the activities required by the job were painful and that the cold in the plant made her sore but she nevertheless stayed there for that season. She testified, however, that she did not work following the salmon season although she had an opportunity to do so because of the discomfort it caused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testified that she had no pain in the left lateral rib area prior to the accident, and gave evidence that was not challenged that she made no complaint of any such pain to any medical professional prior to the accident, including Dr. Lee, her family physician in New Hazelton. In addition, the plaintiff called as a witness Ms. Wong-Adams, a friend of hers who lived in Terrace and knew her from approximately 1998 onwards. Ms. Wong-Adams testified that both she and her husband became friendly with Ms. Forget and her husband and in the course of their friendship they would, from time to time, give each other a hug. She testified that prior to the accident she noticed no tenderness or difficulty which the plaintiff experienced to her left side when she would hug her. She also described seeing her husband give the plaintiff a bear hug on occasions prior to the accident and noticed no reaction consistent with any injury or tenderness to her chest or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Wong-Adams also testified that after the accident she was aware that the plaintiff complained of pain in the rib area and that it hurt a lot when touched. Ms. Wong-Adams testified that she had inadvertently hurt the plaintiff when she hugged her after the motor vehicle accident and that that was the first time she had ever heard a complaint about the rib cage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January 11, 2002 the plaintiff saw Dr. David Beaver, a family physician, on Galiano Island. He produced a medical report which was admitted as evidence and he gave evidence via deposition, a transcript of which was similarly admitted as evidence in the trial. Dr. Beaver's report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letter dated February 1st, 2002, which I received February 4th,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 general medical practitioner working in family practice on Galiano Island. My qualifications are MA, MB BS, MRCGP, LMCC. The fact and assumptions of my medical report are based on one consultation.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Monika Forget on January the 11th 2002 at 14:15 hours. She reported that she had been a passenger in a motor vehicle accident some 3 years prior to consultation. She told me that litigation was pending surrounding the accident and that she needed to see me to provide a progress report. I had never met or examined Monika Forget prior to this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Monika Forget told me that following the accident she developed a swelling in her chest in the left posterior axillary line. This is roughly in the area of a line drawn vertically down from the fold of skin which makes up the back portion of the armpit. She told me that this swelling was very painful. She told me that as the pain was still present a year later, she had physiotherapy and acupuncture as forms of treatment. She thought the acupuncture might have been some help. She told me that the area continues to be tender and is painful when knocked. She also gets pain in the front of the chest (the xiphisternum) when the ribs are compressed.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examined her there was a firm tender swelling probably on the eighth or ninth rib in the posterior axillary 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opinion is that this swelling represents an old fracture in the area. This is despite having had negative x-rays. It is possible that there maybe some intercostal nerve entrapment causing the pain, which radiates around to the front of her chest. These opinions are purely speculative and are not based on any investigations. Neither do I plan any investigations or referrals.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This 34 years old woman reports to have been involved in motor vehicle accident in 1999. She suffered an injury to her left chest wall which continues to be painful. There is a visible and palpable swelling at the site of the pain. I speculate that this swelling represents a bony mass secondary to a rib fracture. Given the persistent nature of the pain and swelling, I would consider that this is a permanent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deposition Dr. Beaver testified to the following questions with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agree that a healed fracture will leave signs on the bone which can be detected by x-rays?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Generally, yes. Specifically, here, no. Rib x-rays are notoriously poor at detecting fractures, I understand that they are notoriously poor.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then diagnosis a rib fracture without relying on an x-ray, what other indicators would you rely upon?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Acutely, as in immediately, after the accident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you would rely on a knowledge of the mechanism of the injury, a report of pain from the patient, possibly difficulty breathing and symptoms and signs. Signs would be tenderness on palpation. That means when you feel the area and also if you spring the chest, which means you push from the back, generally push the ribs, you can press on one area of the rib that perhaps isn't damaged, you get pain in the area that's damaged.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mentioned a number of things; difficulty breathing and tenderness on palpation?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certainly complaints of pain?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would expect to see these, these signs within hours of a rib fracture?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Immediately, usually.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would expect to see such complaints from a patient who had suffered a fractured rib over a subsequent day or two after the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about over the following three weeks after the trauma occurred, would you expect to still hear complaints of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Sorry, I interrupted.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Complaints which are consistent with having suffered a rib fracture?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upon hearing such complaints from a patient, such as problems with breathing, acute pain in the rib area upon palpation, would the possible diagnosis of rib fracture occur to you?</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would you request an x-ray be taken?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would depend on the state of the patient. Yes, I might.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if the patient were still mobile, walked into your office with these complaints, you would then consider having the patient attend at a clinic for an x-ray?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they were stable and had no complaints apart from pain, and when I examined them had no signs of underlying lung trauma, such as pneumothorax, I would not expose them to radiation.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your report of February 11, you conclude that the swelling represents a bony mass secondary to a rib fracture. Did you consider any other possible diagnosis?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Such as what?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Other possible diagnoses are that this is a tender condroma, which is a tumor of cartilage. It could be a fibrous tumor of the soft tissue surrounding the rib. There are other possibilities but, in this case, given the history, they are unlikely. The other possibilities are things like cancer, secondary cancer and osteomylitis, infection of the bone.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led to the conclusion that you arrived at that it was secondary to a rib fracture based on the history you were given when you were, when you met with 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2002?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Subsequently, now that you have learned that the plaintiff had pre-existing left lateral rib complaints, do you question your diagnosis?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now consider as a diagnosis for Mrs. Forget's continuing complaint in the left lateral rib cage area?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the same differential that I've just given you, so its is either a chronic problem from a fracture or a tumor such as condroma, or fibrous tissue tumour.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my friend has asked you whether this condition is permanent, and you wrote that it was permanent?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wrote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given that it's possible that this condition pre-existed the accident it is even more likely that it is permanent, is that correct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to assume?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evidence Dr. Beaver amended his report by referring to the injury to the left chest wall as a permanent "problem" rather than as a permanent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the plaintiff submitted that the evidence supported a loss of income of $4,500 per year due to the plaintiff's inability to continue with her bread making activity which would justify damages in the amount of $13,500 under that head. On the issue of future loss of earning capacity, counsel for the plaintiff submitted that the plaintiff had approximately 30 years of working life left and that the injuries made her less ready, willing and able to work in the sort of jobs that she was qualified to work in which largely involved physical activities. He submitted that the permanent nature of her injury constituted a diminution of the plaintiff's earning capacity and she should be compensated for it. In his submission, the plaintiff's loss of income earning capacity should be valued at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relation to her non-pecuniary damages, counsel for the plaintiff submitted an award in the range of $55,000 is appropriate and he cited Barabanoff v. Reibin, </w:t>
      </w:r>
      <w:hyperlink r:id="rId359" w:history="1">
        <w:r>
          <w:rPr>
            <w:rFonts w:ascii="arial" w:eastAsia="arial" w:hAnsi="arial" w:cs="arial"/>
            <w:i/>
            <w:color w:val="0077CC"/>
            <w:sz w:val="20"/>
            <w:u w:val="single"/>
            <w:shd w:val="clear" w:color="auto" w:fill="FFFFFF"/>
            <w:lang w:val="en-US" w:eastAsia="en-US" w:bidi="ar-SA"/>
          </w:rPr>
          <w:t>[1994] B.C.J. No. 872</w:t>
        </w:r>
      </w:hyperlink>
      <w:r>
        <w:rPr>
          <w:rFonts w:ascii="arial" w:eastAsia="arial" w:hAnsi="arial" w:cs="arial"/>
          <w:color w:val="000000"/>
          <w:sz w:val="20"/>
          <w:lang w:val="en-US" w:eastAsia="en-US" w:bidi="ar-SA"/>
        </w:rPr>
        <w:t xml:space="preserve"> (S.C.) and Barta v. Sandhu, </w:t>
      </w:r>
      <w:hyperlink r:id="rId360" w:history="1">
        <w:r>
          <w:rPr>
            <w:rFonts w:ascii="arial" w:eastAsia="arial" w:hAnsi="arial" w:cs="arial"/>
            <w:i/>
            <w:color w:val="0077CC"/>
            <w:sz w:val="20"/>
            <w:u w:val="single"/>
            <w:shd w:val="clear" w:color="auto" w:fill="FFFFFF"/>
            <w:lang w:val="en-US" w:eastAsia="en-US" w:bidi="ar-SA"/>
          </w:rPr>
          <w:t>[1997] B.C.J. No. 2719</w:t>
        </w:r>
      </w:hyperlink>
      <w:r>
        <w:rPr>
          <w:rFonts w:ascii="arial" w:eastAsia="arial" w:hAnsi="arial" w:cs="arial"/>
          <w:color w:val="000000"/>
          <w:sz w:val="20"/>
          <w:lang w:val="en-US" w:eastAsia="en-US" w:bidi="ar-SA"/>
        </w:rPr>
        <w:t xml:space="preserve"> (S.C.) as decisions based on facts similar to those in the case at bar. Counsel for the plaintiff submitted that what the plaintiff has suffered to date and will probably continue to suffer for an indefinite period of time justifies an award in that range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challenges the nature and extent of the plaintiff's injuries on the basis of the contents of the PRRH medical records, on the basis of the plaintiff's post-accident activities and employment, and on the basis of Dr. Beaver's evidence concerning the symptomology of a rib fracture and its apparent difference from the plaintiff's contemporary complaints.</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Contents of the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first medical record was that of the ambulance crew report who arrived on the scene of the accident at 4:23 p.m. on May 26th. They noted the plaintiff to be anxious and alert and have lower neck and tooth pain, noting that she had a dental appointment earlier that morning. They also noted with respect to her abdomen that she had pain with palpation and that she felt stiffness between her shoulder blades. Her chief complaint was characterized as neck/upper back pain, stiffness between shoulder blades. Her history was noted as passenger with shoulder belt front seat, was rear-ended by car travelling unknown speed, zero loss of consciousness. Felt neck snap back, no pain initially, on route to hospital felt neck upper back pain/stiffness. Under the category for relevant past history the ambulance crew noted "stress-related abdominal pain" and "dentist's appointment this a.m.". The ambulance crew noted that the plaintiff denied any allergies but indicated that she suffered from hay fever.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second report was the May 26th PRRH record from 4:29 p.m. In the section devoted to nursing assessment the following is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Passenger, front seat, wearing shoulder/lap belt. no LOC [loss of consciousness]. Felt head snap back. Pain (L) lateral rib not new. Pain between shoulder blades and neck. - neuros stable no numbness or tingling of extremities. OE &amp; 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Under the section reserved for the patient's history and physical examination the notes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MVA Front passenger, VW Golf, SB on - 0 head injury, 0 LOC, Pain in neck, 0 paresthesis 0 paresthesia - C - spine x-ray - neg - CNS orientated - T-PP.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Under "Diagnosis" the record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 spine strain secondary to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nurse who completed the nursing assessment, Jacqueline Wilson, swore an affidavit which was tendered by the defendant and admitted in part. The admissible portion reads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26th day of May 1999 I was working at the Prince Rupert Regional Hospital in the City of Prince Rupert in the emergency ward.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to my affidavit as exhibit "A" is an outpatient emergency record from Prince Rupert Regional Hospital prepared on May 26 1999.</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no longer have any specific recall of the events of May 26 1999.</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recognize my handwriting on exhibit "A" which was prepared as a result of the patient Monika Forget attending at the Prince Rupert Regional Hospital.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said date it was my job to record in the said exhibit "A" the history provided by patients in emergency.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My handwriting on exhibit "A" indicates to me that I spoke with the Monika Forget who provided me the information I recorded.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My handwriting on the right side in the middle of exhibit "A" says "passenger front seat wearing shoulder lap belt. No loss of consciousness. Felt head snap back. Pain left lateral rib not new. Pain between shoulder blades and neck. Neurological stable and no numbness or tingling of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case at bar the plaintiff does not admit that she told the nurse that the pain associated to her left lateral side was "not new". In fact she testified that the pain did not exist prior to the accident and she in effect denies saying anything else to the nurse although she can't remember the specific conversation that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third PRRH record of May 28th at 11:40 a.m. under the history and physical examination the notes read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neck and headache.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upper T spine.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Parasthesia right side of tongue on examination range of movement neck, tender muscle +++ tongue involvement, tingly if right neck palpated.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further diagnosis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May 29th at 12:33 the plaintiff was admitted to the PRRH emergency department again. The nature of the visit was related to "left side pain" and the nursing assessment noted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car accident 3 days ago, war rear-ended by another car. Now feels shooting stabbing pain on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Under history and physical the report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MVA 3 days ago, rear-ended was leaning forward in seat at moment of impact. Sneezed today, sudden sharp pain lower left lateral chest. On examination acute local tenderness, lower ribs on palpation.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diagnosis was MVA back and chest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the next visit which was June 3rd at 5:15 p.m. the nature of the visit was related to the plaintiff "feeling worse as time passes". Under history and physical it was noted that "pain continues in all muscle groups. Headaches, fatigue, dizziness, parasthesia right tongue, nausea ++ doesn't recall head injury, 0 visual disturbance". On the final visit to the emergency department on June 14 at 11:59 a.m. the nursing assessment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Rear-end in vehicle, stopped, this happened May 26. Tongue numb, severe headache and fatigue. Told to come back for recheck, unable to come last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Under history and physical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Tongue still numb on the one side, Concerned that CT scan is radioactive. Examination:numbness right tongue.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Under "Diagnosis" is the note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It is the defendant's submission that two matters of significance emerge from the review of the contents of the medical records. First, he points to the nursing assessment on the May 26th record characterising the pain associated to the left lateral rib area as "not new". He submits that note is admissible under s. 42 and s. 13 of the Evidence Act,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the defendant's submission that the assertion that the pain associated to the left side was "not new" is admissible both as proof of the truth of the assertion and also as evidence of a prior statement made by the plaintiff inconsistent with her current testimony that the left lateral rib pain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also relies on the fact that the plaintiff only mentioned the left rib injury on one other visit to the emergency ward on May 29th when she complained of the pain after having sneezed. He points out that in none of the other out-patient emergency records is there any mention made by the plaintiff of any ongoing pain to the left rib area. He submits that this puts the intensity and cause of the injury at issue.</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Activity and Employment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also relies on the evidence of the plaintiff's employment and activities since the accident. He points out that she continued to engage in bread baking and did not earn substantially less in 1999 or 2000 from that endeavour. He also pointed to the plaintiff's evidence that she and her husband bought a 32 foot boat that needed to be completely cleaned out and refitted and that she was involved in various parts of that. He also pointed to the fact that the continued to walk and to ride her bike and that she was employed gardening and doing painting touch-ups on another person's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Most significantly of all, in the defendant's submission is the fact that in the year 2001 for the fishing season during July and August the plaintiff worked long hours at a physically demanding job in a seafood plant working a total of 305 hours during that period and on one occasion even working a 12 hour shift. He submits that that fact in juxtaposition with the plaintiff's assertion during her examination for discovery in May of 2001 that she simply wasn't able to take on a job of that sort demonstrates a tendency to exaggerate the nature and extent of her injury and underestimate her current physical ability.</w:t>
      </w:r>
      <w:r>
        <w:rPr>
          <w:rFonts w:ascii="arial" w:eastAsia="arial" w:hAnsi="arial" w:cs="arial"/>
          <w:sz w:val="20"/>
          <w:lang w:val="en-US" w:eastAsia="en-US" w:bidi="ar-SA"/>
        </w:rPr>
        <w:cr/>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Beaver's Evidence of the Symptomology Associated with a Fractured Rib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Finally, it is the defendant's submission that the plaintiff's contemporaneous account of her left side rib injury is inconsistent with the symptomology described by Dr. Beaver in his deposition which would be associated with a fractured rib. He would expect chest tenderness pain complaints and difficulty breathing. Counsel for the defendant contrasts those symptoms with what the plaintiff reported and when she reported it and submits the difference render her version of the events improbable. He also submits that the plaintiff's failure to follow-up with any meaningful treatment over the three years following from the accident and the difference between why she testified she went to see Dr. Beaver in January of 2002 and why Dr. Beaver attested she went to see him reveals that she is less concerned with the progress and treatment of her injuries than she is with obtaining a medical report to facilitate a successful resolution of her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relevant portions of s. 42 of the Evidence Act read as follows:</w:t>
      </w:r>
      <w:r>
        <w:rPr>
          <w:rFonts w:ascii="arial" w:eastAsia="arial" w:hAnsi="arial" w:cs="arial"/>
          <w:sz w:val="20"/>
          <w:lang w:val="en-US" w:eastAsia="en-US" w:bidi="ar-SA"/>
        </w:rPr>
        <w:cr/>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"business" includes every kind of business, profession, occupation, calling, operation or activity, whether carried on for profit or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"document" includes any device by means of which information is recorded or stored;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"statement" includes any representation of fact, whether made in words or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In proceedings in which direct oral evidence of a fact would be admissible, a statement of fact in a document is admissible as evidence of the fact if</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 was made or kept in the usual and ordinary course of business, and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in the usual and ordinary course of the business to record in that document a statement of the fact at the time it occurredor within a reasonable time after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Subject to subsection (4), the circumstances of the making of the statement, including lack of personal knowledge by the person who made the statement, may be shown to affect the statement's weight but not its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Section 13 of the Evidence Act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(1) Subject to subsection (2), a witness may be cross examined as to previous statements made by that witness in writing, or reduced into writing, relative to the subject matter of the proceedings, without the writing being shown to that witness.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If it is intended to contradict the witness by the writing referred to in subsection (1), the attention of the witness must, before the contradictory proof can be given, be called to those parts of the writing that are to be used for contradicting the witness.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At any time during the proceedings, the judge or person presiding over the proceedings may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the production of the writing referred to in this section for his or her inspection,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that, make use of the writing for the proceedings as he or she thinks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my view, there is some doubt whether, in the circumstances of the present case, the assertion in the nursing notes that the rib injury was "not new" is admissible as proof of the truth of the contents of that assertion: See Calvert v. Gauthier, </w:t>
      </w:r>
      <w:hyperlink r:id="rId361" w:history="1">
        <w:r>
          <w:rPr>
            <w:rFonts w:ascii="arial" w:eastAsia="arial" w:hAnsi="arial" w:cs="arial"/>
            <w:i/>
            <w:color w:val="0077CC"/>
            <w:sz w:val="20"/>
            <w:u w:val="single"/>
            <w:shd w:val="clear" w:color="auto" w:fill="FFFFFF"/>
            <w:lang w:val="en-US" w:eastAsia="en-US" w:bidi="ar-SA"/>
          </w:rPr>
          <w:t>[1991] B.C.J. No. 150</w:t>
        </w:r>
      </w:hyperlink>
      <w:r>
        <w:rPr>
          <w:rFonts w:ascii="arial" w:eastAsia="arial" w:hAnsi="arial" w:cs="arial"/>
          <w:color w:val="000000"/>
          <w:sz w:val="20"/>
          <w:lang w:val="en-US" w:eastAsia="en-US" w:bidi="ar-SA"/>
        </w:rPr>
        <w:t xml:space="preserve"> (S.C.); Olynyk v. Yeo </w:t>
      </w:r>
      <w:hyperlink r:id="rId362" w:history="1">
        <w:r>
          <w:rPr>
            <w:rFonts w:ascii="arial" w:eastAsia="arial" w:hAnsi="arial" w:cs="arial"/>
            <w:i/>
            <w:color w:val="0077CC"/>
            <w:sz w:val="20"/>
            <w:u w:val="single"/>
            <w:shd w:val="clear" w:color="auto" w:fill="FFFFFF"/>
            <w:lang w:val="en-US" w:eastAsia="en-US" w:bidi="ar-SA"/>
          </w:rPr>
          <w:t>(1988), 33 B.C.L.R. (2d) 247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admission of the record as a prior inconsistent statement pursuant to s. 13 of the Evidence Act, as submitted by counsel for the defendant, is proscribed because the statement at issue cannot be regarded as one that is "in writing, or reduced into writing, relative to the subject-matter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Section 9(2) and s. 10(1) of the Canada Evidence Act, </w:t>
      </w:r>
      <w:hyperlink r:id="rId363" w:history="1">
        <w:r>
          <w:rPr>
            <w:rFonts w:ascii="arial" w:eastAsia="arial" w:hAnsi="arial" w:cs="arial"/>
            <w:i/>
            <w:color w:val="0077CC"/>
            <w:sz w:val="20"/>
            <w:u w:val="single"/>
            <w:shd w:val="clear" w:color="auto" w:fill="FFFFFF"/>
            <w:lang w:val="en-US" w:eastAsia="en-US" w:bidi="ar-SA"/>
          </w:rPr>
          <w:t>R.S.C. 1985, c. C-5</w:t>
        </w:r>
      </w:hyperlink>
      <w:r>
        <w:rPr>
          <w:rFonts w:ascii="arial" w:eastAsia="arial" w:hAnsi="arial" w:cs="arial"/>
          <w:color w:val="000000"/>
          <w:sz w:val="20"/>
          <w:lang w:val="en-US" w:eastAsia="en-US" w:bidi="ar-SA"/>
        </w:rPr>
        <w:t xml:space="preserve"> similarly provide for cross-examination of witnesses on previous statements "made in writing" or that have been reduced to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the context of those sections, notes taken by a police officer from a witness but never confirmed prior to testifying have been held not to constitute a statement in writing or reduced to writing within the meaning of those sections: See R. v. Handy </w:t>
      </w:r>
      <w:hyperlink r:id="rId364" w:history="1">
        <w:r>
          <w:rPr>
            <w:rFonts w:ascii="arial" w:eastAsia="arial" w:hAnsi="arial" w:cs="arial"/>
            <w:i/>
            <w:color w:val="0077CC"/>
            <w:sz w:val="20"/>
            <w:u w:val="single"/>
            <w:shd w:val="clear" w:color="auto" w:fill="FFFFFF"/>
            <w:lang w:val="en-US" w:eastAsia="en-US" w:bidi="ar-SA"/>
          </w:rPr>
          <w:t>(1978), 45 C.C.C. (2d) 232</w:t>
        </w:r>
      </w:hyperlink>
      <w:r>
        <w:rPr>
          <w:rFonts w:ascii="arial" w:eastAsia="arial" w:hAnsi="arial" w:cs="arial"/>
          <w:color w:val="000000"/>
          <w:sz w:val="20"/>
          <w:lang w:val="en-US" w:eastAsia="en-US" w:bidi="ar-SA"/>
        </w:rPr>
        <w:t xml:space="preserve"> (B.C.C.A.); R. v. Cherpak </w:t>
      </w:r>
      <w:hyperlink r:id="rId365" w:history="1">
        <w:r>
          <w:rPr>
            <w:rFonts w:ascii="arial" w:eastAsia="arial" w:hAnsi="arial" w:cs="arial"/>
            <w:i/>
            <w:color w:val="0077CC"/>
            <w:sz w:val="20"/>
            <w:u w:val="single"/>
            <w:shd w:val="clear" w:color="auto" w:fill="FFFFFF"/>
            <w:lang w:val="en-US" w:eastAsia="en-US" w:bidi="ar-SA"/>
          </w:rPr>
          <w:t>(1978), 42 C.C.C. (2d) 166</w:t>
        </w:r>
      </w:hyperlink>
      <w:r>
        <w:rPr>
          <w:rFonts w:ascii="arial" w:eastAsia="arial" w:hAnsi="arial" w:cs="arial"/>
          <w:color w:val="000000"/>
          <w:sz w:val="20"/>
          <w:lang w:val="en-US" w:eastAsia="en-US" w:bidi="ar-SA"/>
        </w:rPr>
        <w:t xml:space="preserve"> (Alta.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view the same reasoning applies in the case at bar. Notes relating to a statement never confirmed by a witness prior to testifying do not constitute a statement in writing or reduced to writing under s. 13 of the Evidence Act. It follows that the witness cannot be contradicted by the notes unless proof is given under s. 14 of the Evidence Act that the witness did in fact make the statement asserted to be inconsistent with her present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case at bar, the plaintiff did not, in accordance with s. 14, "distinctly admit to making the statement" and the affidavit of Jacqueline Wilson constitutes no direct evidence that she did make that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my view, even if the notes could be regarded as evidence of the truth of what they assert under s. 42, or as evidence of a prior inconsistent statement under s. 14, the evidence falls short in both cases of satisfying me that the plaintiff did make such a statement or that it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testimony that she made no complaint of any injury or pain to her left side rib area prior to the accident to any medical professional was unchallenged. Similarly, the evidence of Ms. Wong-Adams to the effect that the plaintiff showed no sensitivity to the left side or chest area when hugged prior to the accident but did so after the accident was essentially unchallenged. Furthermore, there is evidence in the medical records that at the time of the accident the plaintiff complained of "stress related abdominal pain" and that her abdomen was tender to palpation. She testified that this pain related to an ulcer-like condition which she was diagnosed with back in 1993 and which recurred when she was under stress. In my view, in all the circumstances, any reference to "not new" pain was probably related to this condition and not the left side rib injury which the preponderance of evidence establishes occurred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Although the plaintiff did not complain of her left side rib injury on each occasion when she attended the emergency department of the Prince Rupert Regional Hospital, I accept her explanation that when she went to the hospital she focussed her complaints on the specific condition that at the time she felt required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I take account of the defendant's submissions with respect to the differences between what the plaintiff described experiencing insofar as her left rib is concerned and Dr. Beaver's description of the symptoms that would lead him to diagnose a rib fracture, I do not regard the difference as being telling against the plaintiff. The plaintiff was dealing with a complex of injuries of varying concern to her and it appears that the rib injury did not become of dominant concern until several days after the accident when the pain became intense after a sneeze. On all the evidence I am satisfied that the plaintiff has suffered a left side rib injury of some description and that it was caused or became symptomatic as a result of the accident which is the subject of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respect to the issue of the intensity and duration of the pain and suffering experienced by the plaintiff as a result of this accident, I found her generally to be a credible witness who did not appear to exaggerate her symptoms or their effect upon her life. The plaintiff readily admitted that she was able to walk and ride her bicycle. She acknowledged that she worked at a number of jobs that required physical exertion including painting, gardening, baking bread, and working in a fish plant since the accident. She also testified that she worked with her husband in cleaning up the boat that she and her family now live on but testified that some of her physical activities are limited by the effects of the accident, including lifting heavy things, spending long hours baking bread for sale at the market, and not being able to be as "rough" as she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the basis of the evidence before me, I am satisfied that the plaintiff does experience some ongoing pain to her left shoulder, neck and rib area and that that condition does place some limits upon her. At the same time, the plaintiff appears to me to be a robust woman who does not allow her current condition to prevent her from engaging in physical activity. Although I accept that the plaintiff's condition is ongoing as of the date of trial and may continue into the future, I am not satisfied on all of the evidence that her condition is necessarily permanent. The plaintiff has not taken all the necessary steps to properly diagnose or treat her condition. At most, as Dr. Beaver readily concedes his diagnosis and hence his prognosis of her condition is provisional and somewhat speculative. There may well be courses of treatment or surgery available to the plaintiff that she has not yet explored which may ameliorate her symptoms and foreclose the prospect of a permanent condition or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Insofar as her past loss of income is concerned, while I accept that in the two years following the accident, that is, in 1999 and 2000 she earned less from the baking and sale of bread than she otherwise could have as a result of her injury, it appears that in 2001 by working in the fish plant and at other odd jobs her income returned to approximately the level it was prior to the accident. I would award her the sum of $3,000 for past loss of income as a result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Insofar as her future loss of earning capacity is concerned, assessing that is somewhat difficult because, as I have said, given the plaintiff's character, current plan, which is to sail to the South Seas with her family, and the uncertainty of her diagnosis and prognosis, it is difficult to assess the probabilities of the plaintiff's future loss of income. The plaintiff struck me as a person of some resourcefulness and, as I have said, some robustness. Her past work history has largely involved assisting her husband in his contracting business and working at her own businesses such as baking, painting and gardening. In my view, although the plaintiff's condition may continue to affect her for an indeterminate time, the evidence before me does not establish the probability that her ability to earn income will be permanently affected, or that it will have any immediate effect upon her given her current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my opinion therefore that there should be no award for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Insofar as general damages are concerned, in my view, the sum of $45,000 represents the loss to the plaintiff due to pain and suffering. As I have indicated, the impact of the accident was a significant one both in the immediate sense and in terms of an effect upon the plaintiff. She suffered shoulder and neck pain, headaches, pain to the left lateral rib and the sternum, parasthesia on the right side of her tongue for a period of six to eight months and significant headaches. Her neck, shoulder and rib continue to bother her to the date of trial and may continue into the future and cause her pain and discomfort as she engages in physical activities. While there is some difficulty in pinning down a prognosis for the plaintiff, I am satisfied that the effects of the accident upon her have been not insignificant. It follows therefore that I award damages to the plaintiff in the sum of $48,000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4"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Harrison v. Afexa Life Sciences Inc., [2016] B.C.J. No. 2373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4-8,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S140954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2373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2123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 Harrison, Plaintiff, and Afexa Life Sciences Inc. and Valeant Pharmaceuticals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5"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8" w:name="Keywords_16"/>
      <w:bookmarkEnd w:id="108"/>
      <w:r>
        <w:rPr>
          <w:rFonts w:ascii="arial" w:eastAsia="arial" w:hAnsi="arial" w:cs="arial"/>
          <w:b/>
          <w:color w:val="000000"/>
          <w:sz w:val="20"/>
          <w:lang w:val="en-US" w:eastAsia="en-US" w:bidi="ar-SA"/>
        </w:rPr>
        <w:t>Civil litigation — Civil procedure — Parties — Class or representative actions — Certification — Common interests and issues — Definition of class — Procedure — Representative plaintiff — Application by plaintiff for certification of class proceeding dismissed — Plaintiff sued manufacturers of Cold-Fx health product alleging product's claim of immediate relief of cold and flu symptoms constituted fraud, deceit, fraudulent misrepresentation, breached Competition Act, and resulted in unjust enrichment through waiver of tort — Certification was refused due to failure to establish factual basis for existence of identifiable class, that claims raised common issues, or existence of adequate representative plaintiff or litigation plan — There was no evidential link between any actual class member and proposed representations, or any objective process for determining such link.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9" w:name="Case Summary_15"/>
            <w:bookmarkEnd w:id="1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Harrison, for certification of his action against the defendants, Afexa Life Sciences and Valeant Pharmaceuticals, as a class proceeding. The plaintiff alleged that the labelling, packaging, and advertising of the health product, Cold-Fx, constituted fraud, deceit, fraudulent misrepresentation, breached the Competition Act, and resulted in unjust enrichment through waiver of tort. In particular, the plaintiff took issue with the product's claim that it provided immediate relief of cold and flu symptoms if taken according to directions at the first sign of illness. The plaintiff sought to certify a class action on behalf of all British Columbia residents who purchased Cold-Fx between 2002 and 2012. Several of the plaintiff's claims were struck at the pleading stage. A case management conference resulted in a consent order whereby the plaintiff abandoned claims based upon television advertising and agreed to forego claims for damages beyond the payment of monies for the product. The defendants opposed certification.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0" w:name="Holdings of Court_12"/>
            <w:bookmarkEnd w:id="11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prior hearing addressed the issue of whether the pleadings disclosed a cause of action. The plaintiff failed to show a basis in fact for the existence of an identifiable class, that the claims of class members raised common issues, or that there was an adequate representative plaintiff or litigation plan. Neither the plaintiff, nor anybody else identified in the claim, stated why they purchased the product, whether they had read or were aware of the product's representations, or whether they believed the product worked for its stated purpose. There was no evidential link between any proposed class member and a complaint based upon the alleged misrepresentations. There was no objective process for identifying purchasers based upon misrepresentations. The plaintiff failed to establish any basis in fact for his own complaint against the defendants. The failure to update his litigation plan and vigorously prosecute the case over the previous four years suggested he was not a genuine plaintiff who would protect class interests.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1" w:name="Legislation Cited_10"/>
      <w:bookmarkEnd w:id="1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6"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Practices and Consumer Protection Act, </w:t>
      </w:r>
      <w:hyperlink r:id="rId373" w:history="1">
        <w:r>
          <w:rPr>
            <w:rFonts w:ascii="arial" w:eastAsia="arial" w:hAnsi="arial" w:cs="arial"/>
            <w:i/>
            <w:color w:val="0077CC"/>
            <w:sz w:val="20"/>
            <w:u w:val="single"/>
            <w:shd w:val="clear" w:color="auto" w:fill="FFFFFF"/>
            <w:lang w:val="en-US" w:eastAsia="en-US" w:bidi="ar-SA"/>
          </w:rPr>
          <w:t>S.B.C. 2004, c. 2, s. 172</w:t>
        </w:r>
      </w:hyperlink>
      <w:r>
        <w:rPr>
          <w:rFonts w:ascii="arial" w:eastAsia="arial" w:hAnsi="arial" w:cs="arial"/>
          <w:color w:val="000000"/>
          <w:sz w:val="20"/>
          <w:lang w:val="en-US" w:eastAsia="en-US" w:bidi="ar-SA"/>
        </w:rPr>
        <w:t>(3)(a)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374"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(1), s. 4(1) (a), s. 4(1)(b), s. 4(1)(c), s. 4(1)(d), s. 4(1)(e), s. 4(1) (e)(ii), s.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Competition Act, </w:t>
      </w:r>
      <w:hyperlink r:id="rId375" w:history="1">
        <w:r>
          <w:rPr>
            <w:rFonts w:ascii="arial" w:eastAsia="arial" w:hAnsi="arial" w:cs="arial"/>
            <w:i/>
            <w:color w:val="0077CC"/>
            <w:sz w:val="20"/>
            <w:u w:val="single"/>
            <w:shd w:val="clear" w:color="auto" w:fill="FFFFFF"/>
            <w:lang w:val="en-US" w:eastAsia="en-US" w:bidi="ar-SA"/>
          </w:rPr>
          <w:t>R.S.C. 1985, c. C-34, s. 36</w:t>
        </w:r>
      </w:hyperlink>
      <w:r>
        <w:rPr>
          <w:rFonts w:ascii="arial" w:eastAsia="arial" w:hAnsi="arial" w:cs="arial"/>
          <w:color w:val="000000"/>
          <w:sz w:val="20"/>
          <w:lang w:val="en-US" w:eastAsia="en-US" w:bidi="ar-SA"/>
        </w:rPr>
        <w:t>(1), s. 36(4), s. 52, s. 52(1), s. 52(1.1), s. 52(2)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Food and Drugs Act, </w:t>
      </w:r>
      <w:hyperlink r:id="rId376" w:history="1">
        <w:r>
          <w:rPr>
            <w:rFonts w:ascii="arial" w:eastAsia="arial" w:hAnsi="arial" w:cs="arial"/>
            <w:i/>
            <w:color w:val="0077CC"/>
            <w:sz w:val="20"/>
            <w:u w:val="single"/>
            <w:shd w:val="clear" w:color="auto" w:fill="FFFFFF"/>
            <w:lang w:val="en-US" w:eastAsia="en-US" w:bidi="ar-SA"/>
          </w:rPr>
          <w:t>R.S.C. 1985, c. F-27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Natural Health Products Regulations, </w:t>
      </w:r>
      <w:hyperlink r:id="rId377" w:history="1">
        <w:r>
          <w:rPr>
            <w:rFonts w:ascii="arial" w:eastAsia="arial" w:hAnsi="arial" w:cs="arial"/>
            <w:i/>
            <w:color w:val="0077CC"/>
            <w:sz w:val="20"/>
            <w:u w:val="single"/>
            <w:shd w:val="clear" w:color="auto" w:fill="FFFFFF"/>
            <w:lang w:val="en-US" w:eastAsia="en-US" w:bidi="ar-SA"/>
          </w:rPr>
          <w:t>SOR/2003-196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2" w:name="Counsel_16"/>
      <w:bookmarkEnd w:id="1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7"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Green, J. Hanson.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 Zacher, A. D'Silva, S. Hosseini.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16"/>
      <w:bookmarkEnd w:id="113"/>
      <w:r>
        <w:pict>
          <v:line id="_x0000_s1108"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J.R. DILLON J."/>
            <w:bookmarkEnd w:id="114"/>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Don Harrison ("Harrison"), has applied for certification of the action as set out in the 2nd Amended Notice of Civil Claim as a class proceeding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on his own behalf and on behalf of all persons resident in British Columbia who purchased "Cold-Fx" between March 9, 2002 to July 16,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basic claim is that the defendant's labelling, packaging, and advertising of the product Cold-Fx stating that it provided immediate relief of cold and flu symptoms if taken according to directions at the first signs of cold or flu, constituted fraud, deceit and fraudulent misrepresentation, breach of s. 52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and unjust enrichment through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first certification hearing, based upon the original Notice of Civil Claim filed March 9, 2012, commenced on September 3, 2013, but became a quagmire of pleadings issues ultimately involving applications to further amend. A 2nd Amended Notice of Civil Claim was proposed in December 2014. The defendants brought an application to strike which was heard on February 4, 2015. Justice Truscott issued reasons on April 23, 2015 (</w:t>
      </w:r>
      <w:r>
        <w:rPr>
          <w:rFonts w:ascii="arial" w:eastAsia="arial" w:hAnsi="arial" w:cs="arial"/>
          <w:i/>
          <w:color w:val="000000"/>
          <w:sz w:val="20"/>
          <w:lang w:val="en-US" w:eastAsia="en-US" w:bidi="ar-SA"/>
        </w:rPr>
        <w:t>Harrison v. Afexa Life Sciences Inc.</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2015 BCSC 638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Harrison No.1</w:t>
      </w:r>
      <w:r>
        <w:rPr>
          <w:rFonts w:ascii="arial" w:eastAsia="arial" w:hAnsi="arial" w:cs="arial"/>
          <w:color w:val="000000"/>
          <w:sz w:val="20"/>
          <w:lang w:val="en-US" w:eastAsia="en-US" w:bidi="ar-SA"/>
        </w:rPr>
        <w:t>)) in which certain claims were struck, others were disallowed in part, and particulars were ordered for others. A proposed further 2nd Amended Notice of Civil Claim was the subject of a case conference and then a hearing on June 23, 2015. At that hearing, the plaintiff again proposed a further amended Notice of Civil Claim (the sixth proposed amendment). Reasons for judgment of January 21, 2016 (</w:t>
      </w:r>
      <w:r>
        <w:rPr>
          <w:rFonts w:ascii="arial" w:eastAsia="arial" w:hAnsi="arial" w:cs="arial"/>
          <w:i/>
          <w:color w:val="000000"/>
          <w:sz w:val="20"/>
          <w:lang w:val="en-US" w:eastAsia="en-US" w:bidi="ar-SA"/>
        </w:rPr>
        <w:t>Harrison v. Afexa Life Sciences Inc.</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2016 BCSC 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Harrison No.2</w:t>
      </w:r>
      <w:r>
        <w:rPr>
          <w:rFonts w:ascii="arial" w:eastAsia="arial" w:hAnsi="arial" w:cs="arial"/>
          <w:color w:val="000000"/>
          <w:sz w:val="20"/>
          <w:lang w:val="en-US" w:eastAsia="en-US" w:bidi="ar-SA"/>
        </w:rPr>
        <w:t>)) dealt with the pleadings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As a result of these proceedings, the following actions were either struck or abandoned: breach of the </w:t>
      </w:r>
      <w:r>
        <w:rPr>
          <w:rFonts w:ascii="arial" w:eastAsia="arial" w:hAnsi="arial" w:cs="arial"/>
          <w:i/>
          <w:color w:val="000000"/>
          <w:sz w:val="20"/>
          <w:lang w:val="en-US" w:eastAsia="en-US" w:bidi="ar-SA"/>
        </w:rPr>
        <w:t>Food and Drugs Act</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R.S.C. 1985, c. F-27</w:t>
        </w:r>
      </w:hyperlink>
      <w:r>
        <w:rPr>
          <w:rFonts w:ascii="arial" w:eastAsia="arial" w:hAnsi="arial" w:cs="arial"/>
          <w:color w:val="000000"/>
          <w:sz w:val="20"/>
          <w:lang w:val="en-US" w:eastAsia="en-US" w:bidi="ar-SA"/>
        </w:rPr>
        <w:t xml:space="preserve">; restitutionary relief based on alleged breaches of the </w:t>
      </w:r>
      <w:r>
        <w:rPr>
          <w:rFonts w:ascii="arial" w:eastAsia="arial" w:hAnsi="arial" w:cs="arial"/>
          <w:i/>
          <w:color w:val="000000"/>
          <w:sz w:val="20"/>
          <w:lang w:val="en-US" w:eastAsia="en-US" w:bidi="ar-SA"/>
        </w:rPr>
        <w:t>Food and Drugs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breach of collateral contract and contractual duty of good faith/honest performance; unlawful interference with economic relations/unlawful means; and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failed to provide particulars as ordered with respect to certain actions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did not pursue claims under this legislation at the continuation of the certification hearing. The parties agreed that Truscott J. had decided the requirements of s. 4(1)(a)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with respect to all pleaded causes of action in </w:t>
      </w:r>
      <w:r>
        <w:rPr>
          <w:rFonts w:ascii="arial" w:eastAsia="arial" w:hAnsi="arial" w:cs="arial"/>
          <w:i/>
          <w:color w:val="000000"/>
          <w:sz w:val="20"/>
          <w:lang w:val="en-US" w:eastAsia="en-US" w:bidi="ar-SA"/>
        </w:rPr>
        <w:t>Harrison No. 1</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Harrison No.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a case management conference of March 8, 2016, it was ordered by consent that, among other matters, the plaintiff abandon claims for fraud, deceit, and fraudulent misrepresentation based upon television advertising, and that the plaintiff forego any claims for damages beyond the payment of monies for the Cold-Fx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certification hearing that had begun in September 2013 then re-commenced in April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has not filed a Response to Civil Claim, but opposes the plaintiff's application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named defendant, Valeant Pharmaceuticals Inc., actually Valeant Pharmaceuticals International, Inc. ("Valeant"), is a Canadian company that acquired the defendant, Afexa Life Sciences Inc. ("Afexa"), in 2011 and amalgamated in 2012. Afexa introduced the product Cold-Fx to the Canadian market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Cold-Fx is a natural health product made from the ginseng extract CVT-E002(R). It is used to strengthen the immune system and to prevent and relieve colds and flu. It is not a drug but, as a natural health product, has been licensed since 2007 by Health Canada pursuant to the </w:t>
      </w:r>
      <w:r>
        <w:rPr>
          <w:rFonts w:ascii="arial" w:eastAsia="arial" w:hAnsi="arial" w:cs="arial"/>
          <w:i/>
          <w:color w:val="000000"/>
          <w:sz w:val="20"/>
          <w:lang w:val="en-US" w:eastAsia="en-US" w:bidi="ar-SA"/>
        </w:rPr>
        <w:t>Natural Health Products Regulations</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SOR/2003-196</w:t>
        </w:r>
      </w:hyperlink>
      <w:r>
        <w:rPr>
          <w:rFonts w:ascii="arial" w:eastAsia="arial" w:hAnsi="arial" w:cs="arial"/>
          <w:color w:val="000000"/>
          <w:sz w:val="20"/>
          <w:lang w:val="en-US" w:eastAsia="en-US" w:bidi="ar-SA"/>
        </w:rPr>
        <w:t xml:space="preserve"> enacted under the </w:t>
      </w:r>
      <w:r>
        <w:rPr>
          <w:rFonts w:ascii="arial" w:eastAsia="arial" w:hAnsi="arial" w:cs="arial"/>
          <w:i/>
          <w:color w:val="000000"/>
          <w:sz w:val="20"/>
          <w:lang w:val="en-US" w:eastAsia="en-US" w:bidi="ar-SA"/>
        </w:rPr>
        <w:t>Food and Drugs Act</w:t>
      </w:r>
      <w:r>
        <w:rPr>
          <w:rFonts w:ascii="arial" w:eastAsia="arial" w:hAnsi="arial" w:cs="arial"/>
          <w:color w:val="000000"/>
          <w:sz w:val="20"/>
          <w:lang w:val="en-US" w:eastAsia="en-US" w:bidi="ar-SA"/>
        </w:rPr>
        <w:t>. The Health Canada product information from 2011 recommends the use of Cold-Fx to boost the immune system, thereby helping to reduce the frequency, severity, and duration of cold and flu symptoms. Valeant manufactures two formulations of Cold-Fx: regular strength containing 200 mg of CVT-E002(R) ("regular") and extra strength containing 300 mg of CVT-E002(R) ("extra strength"). Health Canada approved both formulations in 2007, with a recommended dose of one capsule twice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Upon first approval of Cold-Fx by Health Canada, Afexa, then called CV Technologies Inc., issued a news release stating that Health Canada had given approval for Cold-Fx both on a preventative basis and for immediate short term relief of colds and flu. Afexa said that the low dosage as approved was not associated with a specific duration of use and approval of higher doses for short term use for immediate relief was still being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says that the claim that Cold-Fx provides immediate short term relief of colds and flu is unfounded and unapproved. The basis of the plaintiff's claim in fraudulent misrepresentation is that the labelling or advertising of Cold-Fx, as providing immediate relief of cold and flu symptoms if taken at the first signs of cold or flu, was false and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Valeant says that Cold-Fx is not marketed as an after the fact cold remedy, but is a preventative immune boosting product. The parties generally agreed on when and where the alleged representations appeared on Cold-Fx products and advertising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During the proposed class period from 2002 to 2012 ("relevant time"), Valeant packaged Cold-FX Regular and Cold-Fx Extra in a variety of forms and sizes including bottles, cartons, and blister packages with sizes ranging from 12 capsules to as many as 225 capsules. There were ten products of regular strength and four products of extra strength introduced to the Canadian market during this period. The images, product descriptions, and wording appearing on the packaging for each of these products varied and changed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agrees that not all of these products are subject to this action because not all of the products contained labelling or packaging that included the offending words that are the subject of the misrepresentations. There are 27 alleged misrepresentations; however, the plaintiff did not isolate in pleading or generally which particular product, identified through a UPC number, used packaging or labelling containing an offending representation. Both for packaging and for advertising, the plaintiff provided samples of the use of some, but not all, of the offending words. From a review of the evidence, it is apparent that not all of the packaging contained all of the offending words during the relevant time. Rather, some of the packaging contained some of the words for some, but not all, of the relevant time. None of the alleged representations appeared on the front of the label or packaging of any of the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Valeant engaged in extensive marketing for Cold-Fx over the relevant time. This included print advertisements, a Brand Ambassador programme, direct mailing initiatives, retail displays, brochures, sponsorships, and website advertising. Not all of the advertising for Cold-Fx contained the offending words. Print advertising for Cold-Fx varied over the years and, similar to the packaging, did not contain the same representations throughout the relevant time. The plaintiff did not identify in pleading or generally which advertising contained the offending words, although samples were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example, the plaintiff alleges that packaging stated that Cold-Fx was capable of providing "immediate relief of cold and flu" and "immediate relief of cold and flu symptoms". However, there were no labels or packaging that contained the latter words and the phrase "immediate relief" never appeared on the front of a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words, "recommended dose for immediate relief", did appear as part of the dosing recommendation in smaller font on the back of the label or packaging. This wording contained in the dose recommendation appeared on regular 18 and 20 blister packs from 2004 to 2006 and from 2007 to 2011, on the 150 capsule bottle from 2004 to 2007, and on the 180 capsule bottle from 2005 to 2006. It appeared on the extra strength 12 blister packs from 2007 to 2008, on the 100 capsule bottle from 2007 to 2008, and on the 45 capsule carton in 2007. The dose recommendation containing the words "immediate relief" did not appear after 2009 on any extra strength packaging and after 2011 on any product packaging. The product labels that contained the dose recommendation with the words "immediate relief" accounted for approximately 30% of Cold-Fx volume shipped between 2004 and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alleges that the defendants labelled, packaged, or advertised that Cold-Fx should be taken, "at the first sign of cold or flu symptoms", or "at the first sign of symptoms for optimal results", or "at the first sign of a cold or flu", or "at the first sign of symptoms". However, the phrase "at the first sign of cold or flu symptoms" did not appear on any packaging printed during the relevant time. The words "first sign" appeared on certain extra strength packages in different forms from 2008 to 2009 and 2011 to 2012, but never appeared on regular packaging. When the words did appear on the back of the extra strength package or label, they were included in a phrase related to obtaining best or optimal results, or boosting the immune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alleges that a three successive day dosing recommendation that appeared on packaging was stated as being "effective in treating the cold or flu". This appeared on the back of certain, but not all, packaging and for some portion, but not all, of the relevant time. The plaintiff argues that the wording saying that the recommended dosage should start at the first signs of cold or flu implied that the product would deliver immediate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alleges that certain representations were made in the context of a dosage or duration of use that was "not in accordance with the Health Canada Monograph or product license for Cold-Fx". The defendant clarified that there is no product monograph issued by Health Canada for Cold-Fx because a monograph would only be issued for an active ingredient and not for a specific product. The plaintiff's point, however, was that the statements and recommended dose as they appear on the product do not correlate to what Health Canada approved according to the Health Canada issued licencing product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also claims that representations of dosage, recommended use, or duration of use as being "clinically proven", or having "undergone rigorous scientific evaluation", or supported by "more than 10 clinical trials" were false. However, the words "clinically proven" did not appear on any packaging before 2012, and the plaintiff has not identified where the other representations 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Similarly, the alleged representation that taking a three day dosing regimen as early as possible to enhance immune function was "backed by science" did not appear on product packaging. It was, however, contained in certain brochures in 2005 and 2006, and then in a Rexall drug store flyer in 2011. Typically, these brochures have a short duration and flyers last one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Similar circumstances continue throughout the evidence of the history of the alleged misrepresentations. Certain alleged statements were never included on packaging (effective in treating the "onset" of cold or flu, "as soon as I sense a cold coming on I reach for the bottle of Cold-Fx", "take Cold-Fx as early as possible", "Extra 'works'", and "backed by science"). Some of the representations that were not on packaging were included in consumer brochures or handouts in limited years ("onset" of cold or flu in 2005 and 2006, and "take Cold-Fx as early as possible" in 2005 and 2006). These brochures and handouts would typically only have been used for short duration. Some of the statements were included as a quotation from a user on the Cold-Fx website for a limited time ("as soon as I sense a cold coming on I reach for the bottle of Cold-Fx").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2nd Amended Notice of Civil Claim states that the plaintiff, Harrison, purchased Cold-Fx for personal use from a Costco store in February of 2011. It states that Harrison reviewed the packaging before paying and then used the product as directed. The pleading continues to state: "[w]ritten on the package was the [word] "Extra", and instructions indicating the ingestion of a 3-day dose of Cold-Fx could help relieve him of the cold or flu symptoms he was experiencing. He experienced no relief of his symptoms". In a prior 2nd Amended Notice of Civil Claim, the plaintiff had alleged that in the period prior to purchasing Cold-Fx, he had seen television advertising which led him to believe that the product could help relieve his cold or flu symptoms. Rather than provide particulars, as ordered, of this claim related to television advertising, the plaintiff decided to forego any claim in relation to television advertising.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Harrison swore an affidavit in support of the certification application on July 10, 2012. He said that he purchased "one bottle of Cold-Fx in or about February 2011". Harrison stated that full details of material facts were as set out in the original Notice of Civil Claim attached to his affidavit. Paragraph 2 of that original Notice of Civil Claim simply stated that Harrison purchased Cold-Fx for personal use in February 2011. Despite argument at multiple hearings now, Harrison has not updated his affidavit. Much of the affidavit as it relates to the litigation plan and common issues are outdated by amendments to the pleadings and a change of law firm by plaintiff's counsel. More significantly, there is no evidence as to what specific product Harrison purchased, why Harrison purchased Cold-Fx, whether he read or relied upon any or a certain representation, whether he used the product, or whether he thought that it worked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evidence established that Harrison wrote a letter to the editor of the </w:t>
      </w:r>
      <w:r>
        <w:rPr>
          <w:rFonts w:ascii="arial" w:eastAsia="arial" w:hAnsi="arial" w:cs="arial"/>
          <w:i/>
          <w:color w:val="000000"/>
          <w:sz w:val="20"/>
          <w:lang w:val="en-US" w:eastAsia="en-US" w:bidi="ar-SA"/>
        </w:rPr>
        <w:t>Ladysmith Chemainus Chronicle</w:t>
      </w:r>
      <w:r>
        <w:rPr>
          <w:rFonts w:ascii="arial" w:eastAsia="arial" w:hAnsi="arial" w:cs="arial"/>
          <w:color w:val="000000"/>
          <w:sz w:val="20"/>
          <w:lang w:val="en-US" w:eastAsia="en-US" w:bidi="ar-SA"/>
        </w:rPr>
        <w:t xml:space="preserve"> on February 14, 2012 after watching a television documentary about Cold-Fx. He complained that Cold-Fx "was a colossal scam and contains no ingredients which would do anything to supress a common cold", that it was manufactured offshore under substandard conditions, and that Health Canada should recall the product. Following this letter, plaintiff's counsel contacted Harrison to ask that he act as the representative plaintiff in this lawsuit. The action was commenced in March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Harrison gave the names and addresses of four persons whom he stated were "interested in seeing certification of this class action". A lawyer, formerly associated with plaintiff's counsel, swore in June 2012 that he had been informed by those same four people that they were interested in the class proceeding and that they had purchased Cold-Fx during the relevant time. None of those persons nor anybody other than Harrison has provided an affidavit as a purchaser in support of certification. In particular, neither Harrison nor anybody else has said that they used Cold-Fx, that they were exposed to certain representations which influenced their purchases, or that they were dissatisfied with the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From evidence adduced by the defendants, it appears that two of the four persons identified by Harrison either work or have worked for plaintiff's counsel's former law firm and a third resides at the same address as one of the others. In the four years since the action was commenced, plaintiff's counsel has advertised the class action on his website and intervened in online discussions to disparage the product and to encourage more participants to engage in the lawsuit. Plaintiff's counsel has suggested, in online commentary and without evidential foundation, that the defendant has paid people to endorse Cold-Fx on social media.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evidence of the defendant was that some Cold-Fx purchasers would not have read the representations, or that if they did, they may have interpreted it differently. Not all would have purchased the product for short term relief. Most Cold-Fx users have not complained about the product. There have been few requests for refunds which are available if a consumer is dissatisfied with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alleges that the representations were false or misleading, that Cold-Fx was not effective in treating the cold or flu if taken according to the recommended dose and duration, and that the defendants made the representations knowingly or recklessly. Further, the plaintiff alleges that the defendants supressed their own study which established that the product was ineffective.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support of these allegations, the plaintiff presented the expert evidence of Dr. Adil Virani, a clinical pharmacist, who was asked to determine, among other things, whether it could be ascertained whether Cold-Fx was effective in providing "immediate relief" of colds and flu, and then whether the doctor himself was of the opinion that Cold-Fx was effective in providing "immediate relief" of cold and flu. To answer these and other questions, Dr. Virani reviewed the studies that the defendants had placed on the Cold-Fx website, in addition to a study not released publicly. It is not necessary here to detail Dr. Virani's assessment of these studies. He came to the opinion that none of the studies that he reviewed supported the claim that Cold-Fx was effective for providing "immediate relief" of colds and flu, mainly because none of the published trials utilized a design where Cold-Fx was given shortly after the onset of cold or flu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should be stated here that the gist of the plaintiff's claim is not that Cold-Fx is worthless for its stated purpose as a preventative measure to prevent or fight off cold or flu. The claim is that purchasers of Cold-Fx bought the product for short term relief because of certain representations contained on the labels or in the marketing of the product, and that those representations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provided the expert opinion of Professor Michael Mulvey, a professor of marketing, to address issues related to consumer decision making and buyer behaviour. He provided information about consumer behaviour, including how decisions to purchase are made. Without delving substantially here into this multi-faceted issue, the conclusions of Professor Mulvey were that there are many different types of consumers with many different buying patterns. Consumers of Cold-Fx exhibit varied patterns of motivating conditions, information source exposure, preference, and use. Also, information sources may affect different purchasers in different ways. He said that it was "not possible to generalize that the buying pattern of a single consumer is representative of all others in the marketplace" and that not all consumers rely upon package labels or marketing, or believe those claims, or are influenced by them. He said that there was no methodology for identifying which purchasers actually purchased Cold-Fx because of the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Legislative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requirements for certification as a class action are found in s. 4(1)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Class certification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The court must certify a proceeding as a class proceeding on an application under section 2 or 3 if all of the following requirements are met: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Relevant factors to consider in determining whether a class proceeding is the preferable procedure for resolution of the common issues are set out in s. 4(2)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relevant provisions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Recovery of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36 (1)</w:t>
      </w:r>
      <w:r>
        <w:rPr>
          <w:rFonts w:ascii="arial" w:eastAsia="arial" w:hAnsi="arial" w:cs="arial"/>
          <w:color w:val="000000"/>
          <w:sz w:val="20"/>
          <w:lang w:val="en-US" w:eastAsia="en-US" w:bidi="ar-SA"/>
        </w:rPr>
        <w:t xml:space="preserve"> Any person who has suffered loss or damage as a result of</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conduct that is contrary to any provision of Part VI, or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the failure of any person to comply with an order of the Tribunal or another court under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in any court of competent jurisdiction, sue for and recover from the person who engaged in the conduct or failed to comply with the order an amount equal to the loss or damage proved to have been suffered by him, together with any additional amount that the court may allow not exceeding the full cost to him of any investigation in connection with the matter and of proceedings under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No action may be brought under subsection (1),</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in the case of an action based on conduct that is contrary to any provision of Part VI, after two years from</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a day on which the conduct was engaged in, or</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the day on which any criminal proceedings relating thereto were finally disposed 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whichever is the later;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in the case of an action based on the failure of any person to comply with an order of the Tribunal or another court, after two years from</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a day on which the order of the Tribunal or court was contravened, or</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the day on which any criminal proceedings relating thereto were finally disposed 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whichever is the later.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False or misleading representations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52 (1)</w:t>
      </w:r>
      <w:r>
        <w:rPr>
          <w:rFonts w:ascii="arial" w:eastAsia="arial" w:hAnsi="arial" w:cs="arial"/>
          <w:color w:val="000000"/>
          <w:sz w:val="20"/>
          <w:lang w:val="en-US" w:eastAsia="en-US" w:bidi="ar-SA"/>
        </w:rPr>
        <w:t xml:space="preserve"> No person shall, for the purpose of promoting, directly or indirectly, the supply or use of a product or for the purpose of promoting, directly or indirectly, any business interest, by any means whatever, knowingly or recklessly make a representation to the public that is false or misleading in a material respect.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Proof of certain matters not required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For greater certainty, in establishing that subsection (1) was contravened, it is not necessary to prove that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any person was deceived or misled;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Representations accompanying products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For the purposes of this section, a representation that is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expressed on an article offered or displayed for sale or its wrapper or container,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expressed on anything attached to, inserted in or accompanying an article offered or displayed for sale, its wrapper or container, or anything on which the article is mounted for display or sale,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expressed on an in-store or other point-of-purchase display,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made in the course of in-store or door-to-door selling to a person as ultimate user, or by communicating orally by any means of telecommunication to a person as ultimate user, or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contained in or on anything that is sold, sent, delivered, transmitted or made available in any other manner to a member of the public,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deemed to be made to the public by and only by the person who causes the representation to be so expressed, made or contained, subject to subsection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objects of a class action are the promotion of access to justice, judicial economy, and behaviour modification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paras. 26-29; </w:t>
      </w:r>
      <w:r>
        <w:rPr>
          <w:rFonts w:ascii="arial" w:eastAsia="arial" w:hAnsi="arial" w:cs="arial"/>
          <w:i/>
          <w:color w:val="000000"/>
          <w:sz w:val="20"/>
          <w:lang w:val="en-US" w:eastAsia="en-US" w:bidi="ar-SA"/>
        </w:rPr>
        <w:t>Lee v. Georgia Properties Partnership</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2012 BCSC 1484</w:t>
        </w:r>
      </w:hyperlink>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Sun-Rype Products Ltd. v. Archer Daniels Midland Company</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2013 SCC 58</w:t>
        </w:r>
      </w:hyperlink>
      <w:r>
        <w:rPr>
          <w:rFonts w:ascii="arial" w:eastAsia="arial" w:hAnsi="arial" w:cs="arial"/>
          <w:color w:val="000000"/>
          <w:sz w:val="20"/>
          <w:lang w:val="en-US" w:eastAsia="en-US" w:bidi="ar-SA"/>
        </w:rPr>
        <w:t xml:space="preserve"> at paras. 77-79 (</w:t>
      </w:r>
      <w:r>
        <w:rPr>
          <w:rFonts w:ascii="arial" w:eastAsia="arial" w:hAnsi="arial" w:cs="arial"/>
          <w:i/>
          <w:color w:val="000000"/>
          <w:sz w:val="20"/>
          <w:lang w:val="en-US" w:eastAsia="en-US" w:bidi="ar-SA"/>
        </w:rPr>
        <w:t>Sun-Rype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Finkel v. Coast Capital Savings Credit Union</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2016 BCSC 561</w:t>
        </w:r>
      </w:hyperlink>
      <w:r>
        <w:rPr>
          <w:rFonts w:ascii="arial" w:eastAsia="arial" w:hAnsi="arial" w:cs="arial"/>
          <w:color w:val="000000"/>
          <w:sz w:val="20"/>
          <w:lang w:val="en-US" w:eastAsia="en-US" w:bidi="ar-SA"/>
        </w:rPr>
        <w:t xml:space="preserve"> at para. 37). The broad purpose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to provide an effective means of resolving situations where two or more people have the same or similar complaints (</w:t>
      </w:r>
      <w:r>
        <w:rPr>
          <w:rFonts w:ascii="arial" w:eastAsia="arial" w:hAnsi="arial" w:cs="arial"/>
          <w:i/>
          <w:color w:val="000000"/>
          <w:sz w:val="20"/>
          <w:lang w:val="en-US" w:eastAsia="en-US" w:bidi="ar-SA"/>
        </w:rPr>
        <w:t>Chartrand v. General Motors Corporation</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2008 BCSC 1781</w:t>
        </w:r>
      </w:hyperlink>
      <w:r>
        <w:rPr>
          <w:rFonts w:ascii="arial" w:eastAsia="arial" w:hAnsi="arial" w:cs="arial"/>
          <w:color w:val="000000"/>
          <w:sz w:val="20"/>
          <w:lang w:val="en-US" w:eastAsia="en-US" w:bidi="ar-SA"/>
        </w:rPr>
        <w:t xml:space="preserve"> at para. 46). It is not intended to create complaints where none exist (</w:t>
      </w:r>
      <w:r>
        <w:rPr>
          <w:rFonts w:ascii="arial" w:eastAsia="arial" w:hAnsi="arial" w:cs="arial"/>
          <w:i/>
          <w:color w:val="000000"/>
          <w:sz w:val="20"/>
          <w:lang w:val="en-US" w:eastAsia="en-US" w:bidi="ar-SA"/>
        </w:rPr>
        <w:t>Chartrand</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to be interpreted generously towards the plaintiff with the key question being whether the suit is appropriate for a trial of common issues (</w:t>
      </w:r>
      <w:r>
        <w:rPr>
          <w:rFonts w:ascii="arial" w:eastAsia="arial" w:hAnsi="arial" w:cs="arial"/>
          <w:i/>
          <w:color w:val="000000"/>
          <w:sz w:val="20"/>
          <w:lang w:val="en-US" w:eastAsia="en-US" w:bidi="ar-SA"/>
        </w:rPr>
        <w:t>Knight v. Imperial Tobacco Canada Limited</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2006 BCCA 235</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standard of proof to be applied to the certification requirements is that the plaintiff must show that there is "some basis in fact" for each of the certification requirements, with the exception of s. 4(1)(a). Section 4(1)(a) is subject to the rule that pleadings should only be struck if it is "plain and obvious" that no claim exists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at para. 99 (</w:t>
      </w:r>
      <w:r>
        <w:rPr>
          <w:rFonts w:ascii="arial" w:eastAsia="arial" w:hAnsi="arial" w:cs="arial"/>
          <w:i/>
          <w:color w:val="000000"/>
          <w:sz w:val="20"/>
          <w:lang w:val="en-US" w:eastAsia="en-US" w:bidi="ar-SA"/>
        </w:rPr>
        <w:t>Pro-Sys SCC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Charlton v. Abbott Laboratories, Ltd.,</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2015 BCCA 26</w:t>
        </w:r>
      </w:hyperlink>
      <w:r>
        <w:rPr>
          <w:rFonts w:ascii="arial" w:eastAsia="arial" w:hAnsi="arial" w:cs="arial"/>
          <w:color w:val="000000"/>
          <w:sz w:val="20"/>
          <w:lang w:val="en-US" w:eastAsia="en-US" w:bidi="ar-SA"/>
        </w:rPr>
        <w:t xml:space="preserve"> at paras. 81-82). This hearing is not meant to test the merits of the action, but the class representative does have to establish an evidentiary basis for each of the certification requirements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Pro-Sys SCC</w:t>
      </w:r>
      <w:r>
        <w:rPr>
          <w:rFonts w:ascii="arial" w:eastAsia="arial" w:hAnsi="arial" w:cs="arial"/>
          <w:color w:val="000000"/>
          <w:sz w:val="20"/>
          <w:lang w:val="en-US" w:eastAsia="en-US" w:bidi="ar-SA"/>
        </w:rPr>
        <w:t xml:space="preserve"> at paras. 99-100). The requirement to show some basis in fact does not require the court to resolve conflicting facts and evidence; rather, it asks the court to focus on the form of the action to determine whether it can appropriately go forward as a class action (</w:t>
      </w:r>
      <w:r>
        <w:rPr>
          <w:rFonts w:ascii="arial" w:eastAsia="arial" w:hAnsi="arial" w:cs="arial"/>
          <w:i/>
          <w:color w:val="000000"/>
          <w:sz w:val="20"/>
          <w:lang w:val="en-US" w:eastAsia="en-US" w:bidi="ar-SA"/>
        </w:rPr>
        <w:t>Pro-Sys SCC</w:t>
      </w:r>
      <w:r>
        <w:rPr>
          <w:rFonts w:ascii="arial" w:eastAsia="arial" w:hAnsi="arial" w:cs="arial"/>
          <w:color w:val="000000"/>
          <w:sz w:val="20"/>
          <w:lang w:val="en-US" w:eastAsia="en-US" w:bidi="ar-SA"/>
        </w:rPr>
        <w:t xml:space="preserve"> at paras. 99, 102). Each case is to be decided on its own facts with sufficient facts established to satisfy the court that the conditions for certification have been met to the degree that the matter should be allowed to proceed on a class basis (</w:t>
      </w:r>
      <w:r>
        <w:rPr>
          <w:rFonts w:ascii="arial" w:eastAsia="arial" w:hAnsi="arial" w:cs="arial"/>
          <w:i/>
          <w:color w:val="000000"/>
          <w:sz w:val="20"/>
          <w:lang w:val="en-US" w:eastAsia="en-US" w:bidi="ar-SA"/>
        </w:rPr>
        <w:t>Pro-Sys SCC</w:t>
      </w:r>
      <w:r>
        <w:rPr>
          <w:rFonts w:ascii="arial" w:eastAsia="arial" w:hAnsi="arial" w:cs="arial"/>
          <w:color w:val="000000"/>
          <w:sz w:val="20"/>
          <w:lang w:val="en-US" w:eastAsia="en-US" w:bidi="ar-SA"/>
        </w:rPr>
        <w:t xml:space="preserve"> at para. 104).</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first certification requirement of s. 4(1)(a)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was decided by Truscott J. in </w:t>
      </w:r>
      <w:r>
        <w:rPr>
          <w:rFonts w:ascii="arial" w:eastAsia="arial" w:hAnsi="arial" w:cs="arial"/>
          <w:i/>
          <w:color w:val="000000"/>
          <w:sz w:val="20"/>
          <w:lang w:val="en-US" w:eastAsia="en-US" w:bidi="ar-SA"/>
        </w:rPr>
        <w:t>Harrison No. 1</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Harrison No. 2.</w:t>
      </w:r>
      <w:r>
        <w:rPr>
          <w:rFonts w:ascii="arial" w:eastAsia="arial" w:hAnsi="arial" w:cs="arial"/>
          <w:color w:val="000000"/>
          <w:sz w:val="20"/>
          <w:lang w:val="en-US" w:eastAsia="en-US" w:bidi="ar-SA"/>
        </w:rPr>
        <w:t xml:space="preserve"> The remaining causes of action are: (a) fraud, deceit, and fraudulent misrepresentation; (b) damages pursuant to s. 36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and (c) unjust enrichment and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should be noted that the fraud, deceit, and fraudulent misrepresentation claim was first proposed in December 2014 and was not included in causes of action in the original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 did not comply with the order for particulars related to a claim under s. 172 (3)(a)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that cause of action is not, therefore, allowed to proceed (</w:t>
      </w:r>
      <w:r>
        <w:rPr>
          <w:rFonts w:ascii="arial" w:eastAsia="arial" w:hAnsi="arial" w:cs="arial"/>
          <w:i/>
          <w:color w:val="000000"/>
          <w:sz w:val="20"/>
          <w:lang w:val="en-US" w:eastAsia="en-US" w:bidi="ar-SA"/>
        </w:rPr>
        <w:t>Harrison No. 2</w:t>
      </w:r>
      <w:r>
        <w:rPr>
          <w:rFonts w:ascii="arial" w:eastAsia="arial" w:hAnsi="arial" w:cs="arial"/>
          <w:color w:val="000000"/>
          <w:sz w:val="20"/>
          <w:lang w:val="en-US" w:eastAsia="en-US" w:bidi="ar-SA"/>
        </w:rPr>
        <w:t xml:space="preserve">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Is there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has proposed that the class consists of "all persons resident in British Columbia who purchased Cold-Fx, supplied, offered for sale, advertised, or promoted by the Defendants between March 9, 2002 to present". Although only Harrison is named as a plaintiff and only Harrison filed an affidavit to state that he purchased "one bottle of Cold-Fx in or about February 2011", a lawyer formerly associated with plaintiff's counsel swore an affidavit in 2012 that there were four other persons who had informed him that they were interested in the class proceeding and that they had purchased Cold-Fx during the relevant time. The plaintiff has argued that this is sufficient to establish an identifiable class of two or more persons based upon the decision in </w:t>
      </w:r>
      <w:r>
        <w:rPr>
          <w:rFonts w:ascii="arial" w:eastAsia="arial" w:hAnsi="arial" w:cs="arial"/>
          <w:i/>
          <w:color w:val="000000"/>
          <w:sz w:val="20"/>
          <w:lang w:val="en-US" w:eastAsia="en-US" w:bidi="ar-SA"/>
        </w:rPr>
        <w:t>Wakelam v. Wyeth Consumer Healthcare/Wyeth Soins de Sante Inc.</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2014 BCCA 36</w:t>
        </w:r>
      </w:hyperlink>
      <w:r>
        <w:rPr>
          <w:rFonts w:ascii="arial" w:eastAsia="arial" w:hAnsi="arial" w:cs="arial"/>
          <w:color w:val="000000"/>
          <w:sz w:val="20"/>
          <w:lang w:val="en-US" w:eastAsia="en-US" w:bidi="ar-SA"/>
        </w:rPr>
        <w:t xml:space="preserve"> at paras. 98-100, 105, leave to appeal ref'd </w:t>
      </w:r>
      <w:hyperlink r:id="rId387" w:history="1">
        <w:r>
          <w:rPr>
            <w:rFonts w:ascii="arial" w:eastAsia="arial" w:hAnsi="arial" w:cs="arial"/>
            <w:i/>
            <w:color w:val="0077CC"/>
            <w:sz w:val="20"/>
            <w:u w:val="single"/>
            <w:shd w:val="clear" w:color="auto" w:fill="FFFFFF"/>
            <w:lang w:val="en-US" w:eastAsia="en-US" w:bidi="ar-SA"/>
          </w:rPr>
          <w:t>[2014] S.C.C.A. No. 125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 has argued that there is no genuine plaintiff here and there is no evidence to show that either Harrison or anybody else has real complaints. The defendant contends that the plaintiff has failed to show some basis in fact to demonstrate that there is a link between the claim and two or more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claimants. The defendant also says that the proposed class is overly broad, not rationally connected to the alleged common issues, and the plaintiff has not proposed a methodology to appropriately narrow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critical that the class be defined clearly at the outset and that a particular person's claim to membership be determinable by stated, objective criteria (</w:t>
      </w:r>
      <w:r>
        <w:rPr>
          <w:rFonts w:ascii="arial" w:eastAsia="arial" w:hAnsi="arial" w:cs="arial"/>
          <w:i/>
          <w:color w:val="000000"/>
          <w:sz w:val="20"/>
          <w:lang w:val="en-US" w:eastAsia="en-US" w:bidi="ar-SA"/>
        </w:rPr>
        <w:t>Western Canadian Shopping Centres Inc.</w:t>
      </w:r>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Sun-Rype</w:t>
      </w:r>
      <w:r>
        <w:rPr>
          <w:rFonts w:ascii="arial" w:eastAsia="arial" w:hAnsi="arial" w:cs="arial"/>
          <w:color w:val="000000"/>
          <w:sz w:val="20"/>
          <w:lang w:val="en-US" w:eastAsia="en-US" w:bidi="ar-SA"/>
        </w:rPr>
        <w:t xml:space="preserve"> at para. 57; </w:t>
      </w:r>
      <w:r>
        <w:rPr>
          <w:rFonts w:ascii="arial" w:eastAsia="arial" w:hAnsi="arial" w:cs="arial"/>
          <w:i/>
          <w:color w:val="000000"/>
          <w:sz w:val="20"/>
          <w:lang w:val="en-US" w:eastAsia="en-US" w:bidi="ar-SA"/>
        </w:rPr>
        <w:t>Ileman v. Rogers Communications Inc.,</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2014 BCSC 1002</w:t>
        </w:r>
      </w:hyperlink>
      <w:r>
        <w:rPr>
          <w:rFonts w:ascii="arial" w:eastAsia="arial" w:hAnsi="arial" w:cs="arial"/>
          <w:color w:val="000000"/>
          <w:sz w:val="20"/>
          <w:lang w:val="en-US" w:eastAsia="en-US" w:bidi="ar-SA"/>
        </w:rPr>
        <w:t xml:space="preserve"> at para. 122, aff'd </w:t>
      </w:r>
      <w:hyperlink r:id="rId389" w:history="1">
        <w:r>
          <w:rPr>
            <w:rFonts w:ascii="arial" w:eastAsia="arial" w:hAnsi="arial" w:cs="arial"/>
            <w:i/>
            <w:color w:val="0077CC"/>
            <w:sz w:val="20"/>
            <w:u w:val="single"/>
            <w:shd w:val="clear" w:color="auto" w:fill="FFFFFF"/>
            <w:lang w:val="en-US" w:eastAsia="en-US" w:bidi="ar-SA"/>
          </w:rPr>
          <w:t>2015 BCCA 260</w:t>
        </w:r>
      </w:hyperlink>
      <w:r>
        <w:rPr>
          <w:rFonts w:ascii="arial" w:eastAsia="arial" w:hAnsi="arial" w:cs="arial"/>
          <w:color w:val="000000"/>
          <w:sz w:val="20"/>
          <w:lang w:val="en-US" w:eastAsia="en-US" w:bidi="ar-SA"/>
        </w:rPr>
        <w:t xml:space="preserve">, leave to appeal ref'd </w:t>
      </w:r>
      <w:hyperlink r:id="rId390" w:history="1">
        <w:r>
          <w:rPr>
            <w:rFonts w:ascii="arial" w:eastAsia="arial" w:hAnsi="arial" w:cs="arial"/>
            <w:i/>
            <w:color w:val="0077CC"/>
            <w:sz w:val="20"/>
            <w:u w:val="single"/>
            <w:shd w:val="clear" w:color="auto" w:fill="FFFFFF"/>
            <w:lang w:val="en-US" w:eastAsia="en-US" w:bidi="ar-SA"/>
          </w:rPr>
          <w:t>[2015] S.C.C.A. No. 342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Seidel v. Telus Communications Inc.</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2016 BCSC 114</w:t>
        </w:r>
      </w:hyperlink>
      <w:r>
        <w:rPr>
          <w:rFonts w:ascii="arial" w:eastAsia="arial" w:hAnsi="arial" w:cs="arial"/>
          <w:color w:val="000000"/>
          <w:sz w:val="20"/>
          <w:lang w:val="en-US" w:eastAsia="en-US" w:bidi="ar-SA"/>
        </w:rPr>
        <w:t xml:space="preserve"> at paras. 125-127). In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the inability to resolve objectively the identity of the persons who met the definition of the class meant that the case was not amenable to a class proceeding.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[125] However, the proposed class definition is problematic in terms of identifying the persons who have a potential claim for relief against the Defendants. In order to establish that an individual is in the class, an investigation is required regarding whether the individual purchased the cellular telephone services for primarily personal, family or household purposes. In other words, although it is possible to </w:t>
      </w:r>
      <w:r>
        <w:rPr>
          <w:rFonts w:ascii="arial" w:eastAsia="arial" w:hAnsi="arial" w:cs="arial"/>
          <w:i/>
          <w:color w:val="000000"/>
          <w:sz w:val="20"/>
          <w:lang w:val="en-US" w:eastAsia="en-US" w:bidi="ar-SA"/>
        </w:rPr>
        <w:t>define</w:t>
      </w:r>
      <w:r>
        <w:rPr>
          <w:rFonts w:ascii="arial" w:eastAsia="arial" w:hAnsi="arial" w:cs="arial"/>
          <w:color w:val="000000"/>
          <w:sz w:val="20"/>
          <w:lang w:val="en-US" w:eastAsia="en-US" w:bidi="ar-SA"/>
        </w:rPr>
        <w:t xml:space="preserve"> the class, it is not possible to objectively identify the persons who meet the definition. The Defendants will be entitled to cross-examine anyone purporting to meet the definition.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must be an evidentiary basis to support an assertion of an identifiable class (</w:t>
      </w:r>
      <w:r>
        <w:rPr>
          <w:rFonts w:ascii="arial" w:eastAsia="arial" w:hAnsi="arial" w:cs="arial"/>
          <w:i/>
          <w:color w:val="000000"/>
          <w:sz w:val="20"/>
          <w:lang w:val="en-US" w:eastAsia="en-US" w:bidi="ar-SA"/>
        </w:rPr>
        <w:t>Chartrand</w:t>
      </w:r>
      <w:r>
        <w:rPr>
          <w:rFonts w:ascii="arial" w:eastAsia="arial" w:hAnsi="arial" w:cs="arial"/>
          <w:color w:val="000000"/>
          <w:sz w:val="20"/>
          <w:lang w:val="en-US" w:eastAsia="en-US" w:bidi="ar-SA"/>
        </w:rPr>
        <w:t xml:space="preserve"> at para. 52; </w:t>
      </w:r>
      <w:r>
        <w:rPr>
          <w:rFonts w:ascii="arial" w:eastAsia="arial" w:hAnsi="arial" w:cs="arial"/>
          <w:i/>
          <w:color w:val="000000"/>
          <w:sz w:val="20"/>
          <w:lang w:val="en-US" w:eastAsia="en-US" w:bidi="ar-SA"/>
        </w:rPr>
        <w:t>Sun-Rype</w:t>
      </w:r>
      <w:r>
        <w:rPr>
          <w:rFonts w:ascii="arial" w:eastAsia="arial" w:hAnsi="arial" w:cs="arial"/>
          <w:color w:val="000000"/>
          <w:sz w:val="20"/>
          <w:lang w:val="en-US" w:eastAsia="en-US" w:bidi="ar-SA"/>
        </w:rPr>
        <w:t xml:space="preserve"> at para. 52; </w:t>
      </w:r>
      <w:r>
        <w:rPr>
          <w:rFonts w:ascii="arial" w:eastAsia="arial" w:hAnsi="arial" w:cs="arial"/>
          <w:i/>
          <w:color w:val="000000"/>
          <w:sz w:val="20"/>
          <w:lang w:val="en-US" w:eastAsia="en-US" w:bidi="ar-SA"/>
        </w:rPr>
        <w:t>Singer v. Schering-Plough Canada Inc.</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2010 ONSC 42</w:t>
        </w:r>
      </w:hyperlink>
      <w:r>
        <w:rPr>
          <w:rFonts w:ascii="arial" w:eastAsia="arial" w:hAnsi="arial" w:cs="arial"/>
          <w:color w:val="000000"/>
          <w:sz w:val="20"/>
          <w:lang w:val="en-US" w:eastAsia="en-US" w:bidi="ar-SA"/>
        </w:rPr>
        <w:t xml:space="preserve"> at paras. 129-130).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must be more than one person in the proposed class with a complaint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at para. 43). It is not enough to say that others have been in contact with counsel if there is no evidence to show that any of these people desire their common complaint to be determined through a class action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at para. 42). There must be evidence to show some basis in fact that two or more persons will be able to determine if they are in fact a member of the class (</w:t>
      </w:r>
      <w:r>
        <w:rPr>
          <w:rFonts w:ascii="arial" w:eastAsia="arial" w:hAnsi="arial" w:cs="arial"/>
          <w:i/>
          <w:color w:val="000000"/>
          <w:sz w:val="20"/>
          <w:lang w:val="en-US" w:eastAsia="en-US" w:bidi="ar-SA"/>
        </w:rPr>
        <w:t>Sun-Rype</w:t>
      </w:r>
      <w:r>
        <w:rPr>
          <w:rFonts w:ascii="arial" w:eastAsia="arial" w:hAnsi="arial" w:cs="arial"/>
          <w:color w:val="000000"/>
          <w:sz w:val="20"/>
          <w:lang w:val="en-US" w:eastAsia="en-US" w:bidi="ar-SA"/>
        </w:rPr>
        <w:t xml:space="preserve"> at para. 58). There must be a basis in fact to demonstrate that a member of the putative class possesses the information necessary to determine class membership (</w:t>
      </w:r>
      <w:r>
        <w:rPr>
          <w:rFonts w:ascii="arial" w:eastAsia="arial" w:hAnsi="arial" w:cs="arial"/>
          <w:i/>
          <w:color w:val="000000"/>
          <w:sz w:val="20"/>
          <w:lang w:val="en-US" w:eastAsia="en-US" w:bidi="ar-SA"/>
        </w:rPr>
        <w:t>Sun-Rype</w:t>
      </w:r>
      <w:r>
        <w:rPr>
          <w:rFonts w:ascii="arial" w:eastAsia="arial" w:hAnsi="arial" w:cs="arial"/>
          <w:color w:val="000000"/>
          <w:sz w:val="20"/>
          <w:lang w:val="en-US" w:eastAsia="en-US" w:bidi="ar-SA"/>
        </w:rPr>
        <w:t xml:space="preserve">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problem in </w:t>
      </w:r>
      <w:r>
        <w:rPr>
          <w:rFonts w:ascii="arial" w:eastAsia="arial" w:hAnsi="arial" w:cs="arial"/>
          <w:i/>
          <w:color w:val="000000"/>
          <w:sz w:val="20"/>
          <w:lang w:val="en-US" w:eastAsia="en-US" w:bidi="ar-SA"/>
        </w:rPr>
        <w:t>Sun-Rype</w:t>
      </w:r>
      <w:r>
        <w:rPr>
          <w:rFonts w:ascii="arial" w:eastAsia="arial" w:hAnsi="arial" w:cs="arial"/>
          <w:color w:val="000000"/>
          <w:sz w:val="20"/>
          <w:lang w:val="en-US" w:eastAsia="en-US" w:bidi="ar-SA"/>
        </w:rPr>
        <w:t xml:space="preserve"> was that indirect purchasers, even knowing the names of the products in issue, would not be able to know whether the particular product that they purchased contained the particular sweetener that was at issue and the plaintiffs had not offered evidence that could help to overcome the problem of identifying which product contained the offensive sweetener. There must be some evidence to show that there is some basis in fact for the class member to be able to determine which product she purchased that contained the offensive sweetener (</w:t>
      </w:r>
      <w:r>
        <w:rPr>
          <w:rFonts w:ascii="arial" w:eastAsia="arial" w:hAnsi="arial" w:cs="arial"/>
          <w:i/>
          <w:color w:val="000000"/>
          <w:sz w:val="20"/>
          <w:lang w:val="en-US" w:eastAsia="en-US" w:bidi="ar-SA"/>
        </w:rPr>
        <w:t>Sun-Rype</w:t>
      </w:r>
      <w:r>
        <w:rPr>
          <w:rFonts w:ascii="arial" w:eastAsia="arial" w:hAnsi="arial" w:cs="arial"/>
          <w:color w:val="000000"/>
          <w:sz w:val="20"/>
          <w:lang w:val="en-US" w:eastAsia="en-US" w:bidi="ar-SA"/>
        </w:rPr>
        <w:t xml:space="preserve"> at paras. 65-66). Justice Rothstein, writing for a majority of the Court,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The appellants' claim that "although some class members may not be able to self-identify, class membership is determinable by reference to the nature of the purchases made by each individual and the quantity of HFCS in the products purchased" (response factum, at para. 71). However, this is no answer to the self-identification problem. While there may have been indirect purchasers who were harmed by the alleged price-fixing, they cannot self-identify using the proposed definition. Allowing a class proceeding to go forward without identifying two or more persons who will be able to demonstrate that they have suffered loss at the hands of the alleged overchargers subverts the purpose of class proceedings, which is to provide a more efficient means of recovery for plaintiffs </w:t>
      </w:r>
      <w:r>
        <w:rPr>
          <w:rFonts w:ascii="arial" w:eastAsia="arial" w:hAnsi="arial" w:cs="arial"/>
          <w:i/>
          <w:color w:val="000000"/>
          <w:sz w:val="20"/>
          <w:lang w:val="en-US" w:eastAsia="en-US" w:bidi="ar-SA"/>
        </w:rPr>
        <w:t>who have suffered harm</w:t>
      </w:r>
      <w:r>
        <w:rPr>
          <w:rFonts w:ascii="arial" w:eastAsia="arial" w:hAnsi="arial" w:cs="arial"/>
          <w:color w:val="000000"/>
          <w:sz w:val="20"/>
          <w:lang w:val="en-US" w:eastAsia="en-US" w:bidi="ar-SA"/>
        </w:rPr>
        <w:t xml:space="preserve"> but for whom it would be impractical or unaffordable to bring a claim individually. In this case, class membership is not determinable.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Justice Rothstein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A key component in any class action is that two or more persons fit within the class definition. If, as in this case, there is no basis in fact to show that at least someone can prove they fit within the class definition, the class cannot be certified because the criteria of "an identifiable class of 2 or more persons" is not met. No amount of expert evidence establishing that the defendants have harmed the class as a whole does away with this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Chartrand,</w:t>
      </w:r>
      <w:r>
        <w:rPr>
          <w:rFonts w:ascii="arial" w:eastAsia="arial" w:hAnsi="arial" w:cs="arial"/>
          <w:color w:val="000000"/>
          <w:sz w:val="20"/>
          <w:lang w:val="en-US" w:eastAsia="en-US" w:bidi="ar-SA"/>
        </w:rPr>
        <w:t xml:space="preserve"> the plaintiff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unjust enrichment against the manufacturer of certain vehicles and sought to define the class as all owners of specific vehicles that had been originally equipped with an automatic transmission and a certain type of braking system. The manufacturer had the contact information for all of the original purchasers, but argued that there was no air of reality to the commonality of the proposed claims and no evidence to support an air of reality to the proposition that there was a class of persons who shared the same safety concerns as the plaintiff. In rejecting the argument that there was an identifiable class, the court said that it was not enough to point to a group of people in British Columbia who were owners of the specific vehicles without evidence that two or more people had a complaint against the manufacturer for a dangerously defective product or that the manufacturer was unjustly enriched at their expense (</w:t>
      </w:r>
      <w:r>
        <w:rPr>
          <w:rFonts w:ascii="arial" w:eastAsia="arial" w:hAnsi="arial" w:cs="arial"/>
          <w:i/>
          <w:color w:val="000000"/>
          <w:sz w:val="20"/>
          <w:lang w:val="en-US" w:eastAsia="en-US" w:bidi="ar-SA"/>
        </w:rPr>
        <w:t>Chartrand</w:t>
      </w:r>
      <w:r>
        <w:rPr>
          <w:rFonts w:ascii="arial" w:eastAsia="arial" w:hAnsi="arial" w:cs="arial"/>
          <w:color w:val="000000"/>
          <w:sz w:val="20"/>
          <w:lang w:val="en-US" w:eastAsia="en-US" w:bidi="ar-SA"/>
        </w:rPr>
        <w:t xml:space="preserve"> at para. 53; </w:t>
      </w:r>
      <w:r>
        <w:rPr>
          <w:rFonts w:ascii="arial" w:eastAsia="arial" w:hAnsi="arial" w:cs="arial"/>
          <w:i/>
          <w:color w:val="000000"/>
          <w:sz w:val="20"/>
          <w:lang w:val="en-US" w:eastAsia="en-US" w:bidi="ar-SA"/>
        </w:rPr>
        <w:t>Singer</w:t>
      </w:r>
      <w:r>
        <w:rPr>
          <w:rFonts w:ascii="arial" w:eastAsia="arial" w:hAnsi="arial" w:cs="arial"/>
          <w:color w:val="000000"/>
          <w:sz w:val="20"/>
          <w:lang w:val="en-US" w:eastAsia="en-US" w:bidi="ar-SA"/>
        </w:rPr>
        <w:t xml:space="preserve"> at para. 131). There had to be some rational relationship between the class and the proposed common issues, an air of reality testing the linkage between the plaintiff's claim and the proposed class, so that the class was not unnecessarily broad (</w:t>
      </w:r>
      <w:r>
        <w:rPr>
          <w:rFonts w:ascii="arial" w:eastAsia="arial" w:hAnsi="arial" w:cs="arial"/>
          <w:i/>
          <w:color w:val="000000"/>
          <w:sz w:val="20"/>
          <w:lang w:val="en-US" w:eastAsia="en-US" w:bidi="ar-SA"/>
        </w:rPr>
        <w:t>Chartrand</w:t>
      </w:r>
      <w:r>
        <w:rPr>
          <w:rFonts w:ascii="arial" w:eastAsia="arial" w:hAnsi="arial" w:cs="arial"/>
          <w:color w:val="000000"/>
          <w:sz w:val="20"/>
          <w:lang w:val="en-US" w:eastAsia="en-US" w:bidi="ar-SA"/>
        </w:rPr>
        <w:t xml:space="preserve"> at paras. 60-61, 67-68; </w:t>
      </w:r>
      <w:r>
        <w:rPr>
          <w:rFonts w:ascii="arial" w:eastAsia="arial" w:hAnsi="arial" w:cs="arial"/>
          <w:i/>
          <w:color w:val="000000"/>
          <w:sz w:val="20"/>
          <w:lang w:val="en-US" w:eastAsia="en-US" w:bidi="ar-SA"/>
        </w:rPr>
        <w:t>Singer</w:t>
      </w:r>
      <w:r>
        <w:rPr>
          <w:rFonts w:ascii="arial" w:eastAsia="arial" w:hAnsi="arial" w:cs="arial"/>
          <w:color w:val="000000"/>
          <w:sz w:val="20"/>
          <w:lang w:val="en-US" w:eastAsia="en-US" w:bidi="ar-SA"/>
        </w:rPr>
        <w:t xml:space="preserve"> at para.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requirement not to be overbroad does not mean that everyone in the class must share the same interest in resolution of the asserted common issues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21). However, a class definition will be overbroad if there is no connection between some of the proposed class and the alleged misrepresentations, or if the connection cannot be established objectively.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Four recent cases from this Court make it clear that a proposed class that includes persons who have no claim or no claim which raises a common issue is overbroad and will not be certified. In </w:t>
      </w:r>
      <w:r>
        <w:rPr>
          <w:rFonts w:ascii="arial" w:eastAsia="arial" w:hAnsi="arial" w:cs="arial"/>
          <w:i/>
          <w:color w:val="000000"/>
          <w:sz w:val="20"/>
          <w:lang w:val="en-US" w:eastAsia="en-US" w:bidi="ar-SA"/>
        </w:rPr>
        <w:t>Unlu v. Air Canada</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2015 BCSC 1453</w:t>
        </w:r>
      </w:hyperlink>
      <w:r>
        <w:rPr>
          <w:rFonts w:ascii="arial" w:eastAsia="arial" w:hAnsi="arial" w:cs="arial"/>
          <w:color w:val="000000"/>
          <w:sz w:val="20"/>
          <w:lang w:val="en-US" w:eastAsia="en-US" w:bidi="ar-SA"/>
        </w:rPr>
        <w:t xml:space="preserve">, the proposed class included persons who may have purchased an air ticket for reasons not protected by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so included persons who did not have a claim. In </w:t>
      </w:r>
      <w:r>
        <w:rPr>
          <w:rFonts w:ascii="arial" w:eastAsia="arial" w:hAnsi="arial" w:cs="arial"/>
          <w:i/>
          <w:color w:val="000000"/>
          <w:sz w:val="20"/>
          <w:lang w:val="en-US" w:eastAsia="en-US" w:bidi="ar-SA"/>
        </w:rPr>
        <w:t>Ileman</w:t>
      </w:r>
      <w:r>
        <w:rPr>
          <w:rFonts w:ascii="arial" w:eastAsia="arial" w:hAnsi="arial" w:cs="arial"/>
          <w:color w:val="000000"/>
          <w:sz w:val="20"/>
          <w:lang w:val="en-US" w:eastAsia="en-US" w:bidi="ar-SA"/>
        </w:rPr>
        <w:t xml:space="preserve">, because a subjective, inescapably individualistic exercise or investigation was required to determine which purchasers in the class purchased the product for personal purposes, it was not possible to objectively identify persons who met the definition of the class. A similar principle was applied in </w:t>
      </w:r>
      <w:r>
        <w:rPr>
          <w:rFonts w:ascii="arial" w:eastAsia="arial" w:hAnsi="arial" w:cs="arial"/>
          <w:i/>
          <w:color w:val="000000"/>
          <w:sz w:val="20"/>
          <w:lang w:val="en-US" w:eastAsia="en-US" w:bidi="ar-SA"/>
        </w:rPr>
        <w:t>Jiang v. Peoples Trust Company</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2016 BCSC 368</w:t>
        </w:r>
      </w:hyperlink>
      <w:r>
        <w:rPr>
          <w:rFonts w:ascii="arial" w:eastAsia="arial" w:hAnsi="arial" w:cs="arial"/>
          <w:color w:val="000000"/>
          <w:sz w:val="20"/>
          <w:lang w:val="en-US" w:eastAsia="en-US" w:bidi="ar-SA"/>
        </w:rPr>
        <w:t xml:space="preserve">, where because it was not possible to identify the class with reference to objective criteria, the requirements of s. 4(1)(b)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were not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Clark v. Energy Brands Inc.</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2014 BCSC 1891</w:t>
        </w:r>
      </w:hyperlink>
      <w:r>
        <w:rPr>
          <w:rFonts w:ascii="arial" w:eastAsia="arial" w:hAnsi="arial" w:cs="arial"/>
          <w:color w:val="000000"/>
          <w:sz w:val="20"/>
          <w:lang w:val="en-US" w:eastAsia="en-US" w:bidi="ar-SA"/>
        </w:rPr>
        <w:t>, the plaintiff had alleged that the labelling and marketing of a beverage constituted misrepresentation. Justice Verhoeven concluded that there was no identifiable class of two or more persons. As indicated at para. 145 of his reasons, the proposed class included persons who had no claim against the defendants, as well as persons who did not rely on any of the representations set out in the plaintiff's claims, who purchased the product for reasons unconnected to the plaintiff's claims, and who would have purchased the product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proposed class here includes "all persons resident in British Columbia who purchased Cold-Fx ... between March 9, 2002 to present". The essential complaint is that the defendants misrepresented that Cold-Fx provides short term relief of cold and flu symptoms. However, neither Harrison nor anybody else who has been identified has said why they purchased the product, whether they had read or were aware of the representations, or whether they thought that the product worked for the stated purpose or not. In this circumstance, there is no evidential link between any member of the proposed class and a complaint based upon the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that others had told counsel that they were interested in the class proceeding and that they had purchased Cold-Fx during the relevant time does not go so far as to establish that such persons have a complaint that they intend to pursue. The fact that such persons may have contacted counsel does not establish that there is a common complaint that these persons desire to be determined through the class action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class definition is overly broad. It includes persons with no claims because some of the Cold-Fx products sold during the relevant time did not contain any of the misrepresentations, not all of the purchasers would have purchased the product for short term relief, not all of the persons would have purchased the product because of the representations, and not all of the purchasers were dissatisfied with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has also failed to provide a means other than subjective examination to determine whether an individual purchaser falls within the class. The evidence shows that there are many reasons for a person to purchase this product. There does not appear to be an objective process to identify persons who purchased the product because of the representations. Nobody has come forward in the four years that this action has been progressing to say that the representations induced them to purchase the product, despite plaintiff counsel's publication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has failed to provide some basis in fact that any person purchased Cold-Fx based upon the alleged misrepresentations. Not a single person has self-identified as someone who relied upon the representations as alleged, and the plaintiff has not proposed a realistic methodology to objectively identify members of the proposed class. There is no evidence that anyone seeks to have a common complaint determined through the class action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requirement of s. 4(1)(b) has not been met.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Do the claims of the class members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question on commonality is whether allowing the suit to proceed as a class proceeding will avoid duplication of fact-finding or legal analysis (</w:t>
      </w:r>
      <w:r>
        <w:rPr>
          <w:rFonts w:ascii="arial" w:eastAsia="arial" w:hAnsi="arial" w:cs="arial"/>
          <w:i/>
          <w:color w:val="000000"/>
          <w:sz w:val="20"/>
          <w:lang w:val="en-US" w:eastAsia="en-US" w:bidi="ar-SA"/>
        </w:rPr>
        <w:t>Western Canadian Shopping Centres Inc.,</w:t>
      </w:r>
      <w:r>
        <w:rPr>
          <w:rFonts w:ascii="arial" w:eastAsia="arial" w:hAnsi="arial" w:cs="arial"/>
          <w:color w:val="000000"/>
          <w:sz w:val="20"/>
          <w:lang w:val="en-US" w:eastAsia="en-US" w:bidi="ar-SA"/>
        </w:rPr>
        <w:t xml:space="preserve"> at para. 39</w:t>
      </w:r>
      <w:r>
        <w:rPr>
          <w:rFonts w:ascii="arial" w:eastAsia="arial" w:hAnsi="arial" w:cs="arial"/>
          <w:i/>
          <w:color w:val="000000"/>
          <w:sz w:val="20"/>
          <w:lang w:val="en-US" w:eastAsia="en-US" w:bidi="ar-SA"/>
        </w:rPr>
        <w:t>; Ileman</w:t>
      </w:r>
      <w:r>
        <w:rPr>
          <w:rFonts w:ascii="arial" w:eastAsia="arial" w:hAnsi="arial" w:cs="arial"/>
          <w:color w:val="000000"/>
          <w:sz w:val="20"/>
          <w:lang w:val="en-US" w:eastAsia="en-US" w:bidi="ar-SA"/>
        </w:rPr>
        <w:t xml:space="preserve"> at para. 129). The answer to this question can be simply met.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as here, there was no evidence of other persons with actual complaints. Justice Savage (as he then was), writing at para. 46, found in this circumstance that it could not be said that "the claims of the class members raise common issues" as s. 4(1)(c)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Unlu,</w:t>
      </w:r>
      <w:r>
        <w:rPr>
          <w:rFonts w:ascii="arial" w:eastAsia="arial" w:hAnsi="arial" w:cs="arial"/>
          <w:color w:val="000000"/>
          <w:sz w:val="20"/>
          <w:lang w:val="en-US" w:eastAsia="en-US" w:bidi="ar-SA"/>
        </w:rPr>
        <w:t xml:space="preserve"> the individual purchaser's reason for the transaction involved an individual question that only the individual consumer could answer. In this circumstance, Justice Adair found that the plaintiff had failed to show some basis in fact that the determination of the reason for the transaction as a common issue could be made on a class wide basis (</w:t>
      </w:r>
      <w:r>
        <w:rPr>
          <w:rFonts w:ascii="arial" w:eastAsia="arial" w:hAnsi="arial" w:cs="arial"/>
          <w:i/>
          <w:color w:val="000000"/>
          <w:sz w:val="20"/>
          <w:lang w:val="en-US" w:eastAsia="en-US" w:bidi="ar-SA"/>
        </w:rPr>
        <w:t>Unlu</w:t>
      </w:r>
      <w:r>
        <w:rPr>
          <w:rFonts w:ascii="arial" w:eastAsia="arial" w:hAnsi="arial" w:cs="arial"/>
          <w:color w:val="000000"/>
          <w:sz w:val="20"/>
          <w:lang w:val="en-US" w:eastAsia="en-US" w:bidi="ar-SA"/>
        </w:rPr>
        <w:t xml:space="preserve"> at paras. 94-95). The same can be said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requirement of s. 4(1)(c) has not been met.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Is the class proceeding the preferable procedure for the fair and efficient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view of conclusions reached in relation to other requirements of s. 4(1)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it is not necessary to decide this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Is there an appropriate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representative plaintiff must fairly and adequately represent the interests of the class, produce a plan for the proceeding that sets out a workable method of advancing the proceeding, and not have an interest in conflict with other class members. General attributes of an appropriate representative plaintiff were described in </w:t>
      </w:r>
      <w:r>
        <w:rPr>
          <w:rFonts w:ascii="arial" w:eastAsia="arial" w:hAnsi="arial" w:cs="arial"/>
          <w:i/>
          <w:color w:val="000000"/>
          <w:sz w:val="20"/>
          <w:lang w:val="en-US" w:eastAsia="en-US" w:bidi="ar-SA"/>
        </w:rPr>
        <w:t>Miller v. Merck Frosst Canada Ltd.</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2015 BCCA 353</w:t>
        </w:r>
      </w:hyperlink>
      <w:r>
        <w:rPr>
          <w:rFonts w:ascii="arial" w:eastAsia="arial" w:hAnsi="arial" w:cs="arial"/>
          <w:color w:val="000000"/>
          <w:sz w:val="20"/>
          <w:lang w:val="en-US" w:eastAsia="en-US" w:bidi="ar-SA"/>
        </w:rPr>
        <w:t xml:space="preserve">, leave to appeal ref'd </w:t>
      </w:r>
      <w:hyperlink r:id="rId396" w:history="1">
        <w:r>
          <w:rPr>
            <w:rFonts w:ascii="arial" w:eastAsia="arial" w:hAnsi="arial" w:cs="arial"/>
            <w:i/>
            <w:color w:val="0077CC"/>
            <w:sz w:val="20"/>
            <w:u w:val="single"/>
            <w:shd w:val="clear" w:color="auto" w:fill="FFFFFF"/>
            <w:lang w:val="en-US" w:eastAsia="en-US" w:bidi="ar-SA"/>
          </w:rPr>
          <w:t>[2015] S.C.C.A. No. 431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The representative plaintiff represents the class, but need not be representative </w:t>
      </w:r>
      <w:r>
        <w:rPr>
          <w:rFonts w:ascii="arial" w:eastAsia="arial" w:hAnsi="arial" w:cs="arial"/>
          <w:i/>
          <w:color w:val="000000"/>
          <w:sz w:val="20"/>
          <w:lang w:val="en-US" w:eastAsia="en-US" w:bidi="ar-SA"/>
        </w:rPr>
        <w:t>of</w:t>
      </w:r>
      <w:r>
        <w:rPr>
          <w:rFonts w:ascii="arial" w:eastAsia="arial" w:hAnsi="arial" w:cs="arial"/>
          <w:color w:val="000000"/>
          <w:sz w:val="20"/>
          <w:lang w:val="en-US" w:eastAsia="en-US" w:bidi="ar-SA"/>
        </w:rPr>
        <w:t xml:space="preserve"> the class: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21. He or she need not have a claim typical of the class, or be the "best" possible representative. Instead, the court must be satisfied that "the proposed representative will vigorously and capably prosecute the interests of the class":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Watson v. Bank of America Corporation</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2014 BCSC 532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Watson BCSC</w:t>
      </w:r>
      <w:r>
        <w:rPr>
          <w:rFonts w:ascii="arial" w:eastAsia="arial" w:hAnsi="arial" w:cs="arial"/>
          <w:color w:val="000000"/>
          <w:sz w:val="20"/>
          <w:lang w:val="en-US" w:eastAsia="en-US" w:bidi="ar-SA"/>
        </w:rPr>
        <w:t xml:space="preserve">), Chief Justice Bauman (as he then was), noted at paras. 347-348 that whether the representative plaintiff is willing to vigorously and capably prosecute the interests of the class may depend upon her motivations, the competence of class counsel, and her ability to bear necessary costs. On appeal, for reasons indexed as </w:t>
      </w:r>
      <w:hyperlink r:id="rId398" w:history="1">
        <w:r>
          <w:rPr>
            <w:rFonts w:ascii="arial" w:eastAsia="arial" w:hAnsi="arial" w:cs="arial"/>
            <w:i/>
            <w:color w:val="0077CC"/>
            <w:sz w:val="20"/>
            <w:u w:val="single"/>
            <w:shd w:val="clear" w:color="auto" w:fill="FFFFFF"/>
            <w:lang w:val="en-US" w:eastAsia="en-US" w:bidi="ar-SA"/>
          </w:rPr>
          <w:t>2015 BCCA 362</w:t>
        </w:r>
      </w:hyperlink>
      <w:r>
        <w:rPr>
          <w:rFonts w:ascii="arial" w:eastAsia="arial" w:hAnsi="arial" w:cs="arial"/>
          <w:color w:val="000000"/>
          <w:sz w:val="20"/>
          <w:lang w:val="en-US" w:eastAsia="en-US" w:bidi="ar-SA"/>
        </w:rPr>
        <w:t xml:space="preserve"> at para. 189, the Court of Appeal did not interfere with the findings of Bauman C.J.S.C. with respect to the representative plaintiff's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representative plaintiff must have a claim against the defendant and not be simply a nominee with no stake in the potential outcome (</w:t>
      </w:r>
      <w:r>
        <w:rPr>
          <w:rFonts w:ascii="arial" w:eastAsia="arial" w:hAnsi="arial" w:cs="arial"/>
          <w:i/>
          <w:color w:val="000000"/>
          <w:sz w:val="20"/>
          <w:lang w:val="en-US" w:eastAsia="en-US" w:bidi="ar-SA"/>
        </w:rPr>
        <w:t>Farquhar v. Liberty Mutual Insurance Co.</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[2004] O.J. No. 148</w:t>
        </w:r>
      </w:hyperlink>
      <w:r>
        <w:rPr>
          <w:rFonts w:ascii="arial" w:eastAsia="arial" w:hAnsi="arial" w:cs="arial"/>
          <w:color w:val="000000"/>
          <w:sz w:val="20"/>
          <w:lang w:val="en-US" w:eastAsia="en-US" w:bidi="ar-SA"/>
        </w:rPr>
        <w:t xml:space="preserve"> at paras. 9-10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As Justice Martinson stated in </w:t>
      </w:r>
      <w:r>
        <w:rPr>
          <w:rFonts w:ascii="arial" w:eastAsia="arial" w:hAnsi="arial" w:cs="arial"/>
          <w:i/>
          <w:color w:val="000000"/>
          <w:sz w:val="20"/>
          <w:lang w:val="en-US" w:eastAsia="en-US" w:bidi="ar-SA"/>
        </w:rPr>
        <w:t>Chartrand</w:t>
      </w:r>
      <w:r>
        <w:rPr>
          <w:rFonts w:ascii="arial" w:eastAsia="arial" w:hAnsi="arial" w:cs="arial"/>
          <w:color w:val="000000"/>
          <w:sz w:val="20"/>
          <w:lang w:val="en-US" w:eastAsia="en-US" w:bidi="ar-SA"/>
        </w:rPr>
        <w:t xml:space="preserve"> at para. 97, the expectation that the representative direct litigation, instruct counsel, and authorize settlement means that he should be "more than a spectator". Justice Martinson went on to state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[99] What is needed is a genuine plaintiff with a real role to play and not a placeholder plaintiff for the entrepreneurial interests of lawyers who have so much at stake.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does not contemplate that causes of action, legitimate though they may be, will be identified, and class members recruited, for the ultimate financial gain of lawyers or organizers. See: </w:t>
      </w:r>
      <w:r>
        <w:rPr>
          <w:rFonts w:ascii="arial" w:eastAsia="arial" w:hAnsi="arial" w:cs="arial"/>
          <w:i/>
          <w:color w:val="000000"/>
          <w:sz w:val="20"/>
          <w:lang w:val="en-US" w:eastAsia="en-US" w:bidi="ar-SA"/>
        </w:rPr>
        <w:t>Richard</w:t>
      </w:r>
      <w:r>
        <w:rPr>
          <w:rFonts w:ascii="arial" w:eastAsia="arial" w:hAnsi="arial" w:cs="arial"/>
          <w:color w:val="000000"/>
          <w:sz w:val="20"/>
          <w:lang w:val="en-US" w:eastAsia="en-US" w:bidi="ar-SA"/>
        </w:rPr>
        <w:t xml:space="preserve">, at para. 42; </w:t>
      </w:r>
      <w:r>
        <w:rPr>
          <w:rFonts w:ascii="arial" w:eastAsia="arial" w:hAnsi="arial" w:cs="arial"/>
          <w:i/>
          <w:color w:val="000000"/>
          <w:sz w:val="20"/>
          <w:lang w:val="en-US" w:eastAsia="en-US" w:bidi="ar-SA"/>
        </w:rPr>
        <w:t>Poulin v. Ford Motor Co. of Canada</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(2007), 52 C.P.C. (6th) 294</w:t>
        </w:r>
      </w:hyperlink>
      <w:r>
        <w:rPr>
          <w:rFonts w:ascii="arial" w:eastAsia="arial" w:hAnsi="arial" w:cs="arial"/>
          <w:color w:val="000000"/>
          <w:sz w:val="20"/>
          <w:lang w:val="en-US" w:eastAsia="en-US" w:bidi="ar-SA"/>
        </w:rPr>
        <w:t xml:space="preserve"> at para. 63 (Ont. S.C.J.); and </w:t>
      </w:r>
      <w:r>
        <w:rPr>
          <w:rFonts w:ascii="arial" w:eastAsia="arial" w:hAnsi="arial" w:cs="arial"/>
          <w:i/>
          <w:color w:val="000000"/>
          <w:sz w:val="20"/>
          <w:lang w:val="en-US" w:eastAsia="en-US" w:bidi="ar-SA"/>
        </w:rPr>
        <w:t>Fantl v. Transamerica Life Canada</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(2008), 60 C.P.C. (6th) 326</w:t>
        </w:r>
      </w:hyperlink>
      <w:r>
        <w:rPr>
          <w:rFonts w:ascii="arial" w:eastAsia="arial" w:hAnsi="arial" w:cs="arial"/>
          <w:color w:val="000000"/>
          <w:sz w:val="20"/>
          <w:lang w:val="en-US" w:eastAsia="en-US" w:bidi="ar-SA"/>
        </w:rPr>
        <w:t xml:space="preserve"> at para. 104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Similarly, as stated in </w:t>
      </w:r>
      <w:r>
        <w:rPr>
          <w:rFonts w:ascii="arial" w:eastAsia="arial" w:hAnsi="arial" w:cs="arial"/>
          <w:i/>
          <w:color w:val="000000"/>
          <w:sz w:val="20"/>
          <w:lang w:val="en-US" w:eastAsia="en-US" w:bidi="ar-SA"/>
        </w:rPr>
        <w:t>Singer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[216] A class action must have a representative plaintiff who has a real interest in the dispute and will provide fair representation to the class. The representative must be able to instruct counsel and to exercise independent judgment concerning the important issues that will arise during the progress of the litigation. The representative plaintiff cannot be a mere benchwarmer or a puppet manipulated by counsel. These concerns were addressed by Perell J. in </w:t>
      </w:r>
      <w:r>
        <w:rPr>
          <w:rFonts w:ascii="arial" w:eastAsia="arial" w:hAnsi="arial" w:cs="arial"/>
          <w:i/>
          <w:color w:val="000000"/>
          <w:sz w:val="20"/>
          <w:lang w:val="en-US" w:eastAsia="en-US" w:bidi="ar-SA"/>
        </w:rPr>
        <w:t>Fantl v. Transamerica Life Canada</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(2008), 60 C.P.C. (6th) 326</w:t>
        </w:r>
      </w:hyperlink>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[2008] O.J. No 1536</w:t>
        </w:r>
      </w:hyperlink>
      <w:r>
        <w:rPr>
          <w:rFonts w:ascii="arial" w:eastAsia="arial" w:hAnsi="arial" w:cs="arial"/>
          <w:color w:val="000000"/>
          <w:sz w:val="20"/>
          <w:lang w:val="en-US" w:eastAsia="en-US" w:bidi="ar-SA"/>
        </w:rPr>
        <w:t xml:space="preserve"> (Sup. Ct.) at para. 63, aff'd </w:t>
      </w:r>
      <w:hyperlink r:id="rId402" w:history="1">
        <w:r>
          <w:rPr>
            <w:rFonts w:ascii="arial" w:eastAsia="arial" w:hAnsi="arial" w:cs="arial"/>
            <w:i/>
            <w:color w:val="0077CC"/>
            <w:sz w:val="20"/>
            <w:u w:val="single"/>
            <w:shd w:val="clear" w:color="auto" w:fill="FFFFFF"/>
            <w:lang w:val="en-US" w:eastAsia="en-US" w:bidi="ar-SA"/>
          </w:rPr>
          <w:t>[2008] O.J. No. 4928</w:t>
        </w:r>
      </w:hyperlink>
      <w:r>
        <w:rPr>
          <w:rFonts w:ascii="arial" w:eastAsia="arial" w:hAnsi="arial" w:cs="arial"/>
          <w:color w:val="000000"/>
          <w:sz w:val="20"/>
          <w:lang w:val="en-US" w:eastAsia="en-US" w:bidi="ar-SA"/>
        </w:rPr>
        <w:t xml:space="preserve">, 66 C.P.C. (6th) 203 (Div. Ct.), and aff'd </w:t>
      </w:r>
      <w:hyperlink r:id="rId403" w:history="1">
        <w:r>
          <w:rPr>
            <w:rFonts w:ascii="arial" w:eastAsia="arial" w:hAnsi="arial" w:cs="arial"/>
            <w:i/>
            <w:color w:val="0077CC"/>
            <w:sz w:val="20"/>
            <w:u w:val="single"/>
            <w:shd w:val="clear" w:color="auto" w:fill="FFFFFF"/>
            <w:lang w:val="en-US" w:eastAsia="en-US" w:bidi="ar-SA"/>
          </w:rPr>
          <w:t>2009 ONCA 377</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[2009] O.J. No. 1826</w:t>
        </w:r>
      </w:hyperlink>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identity of plaintiffs and class representatives is particularly important in class action proceedings where they have responsibilities to prosecute the action on behalf of and in the interests of the class: </w:t>
      </w:r>
      <w:r>
        <w:rPr>
          <w:rFonts w:ascii="arial" w:eastAsia="arial" w:hAnsi="arial" w:cs="arial"/>
          <w:i/>
          <w:color w:val="000000"/>
          <w:sz w:val="20"/>
          <w:lang w:val="en-US" w:eastAsia="en-US" w:bidi="ar-SA"/>
        </w:rPr>
        <w:t>Englund v. Pfizer Canada</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[2007] S.J. No. 273</w:t>
        </w:r>
      </w:hyperlink>
      <w:r>
        <w:rPr>
          <w:rFonts w:ascii="arial" w:eastAsia="arial" w:hAnsi="arial" w:cs="arial"/>
          <w:color w:val="000000"/>
          <w:sz w:val="20"/>
          <w:lang w:val="en-US" w:eastAsia="en-US" w:bidi="ar-SA"/>
        </w:rPr>
        <w:t xml:space="preserve"> (C.A.) at para. 50; </w:t>
      </w:r>
      <w:r>
        <w:rPr>
          <w:rFonts w:ascii="arial" w:eastAsia="arial" w:hAnsi="arial" w:cs="arial"/>
          <w:i/>
          <w:color w:val="000000"/>
          <w:sz w:val="20"/>
          <w:lang w:val="en-US" w:eastAsia="en-US" w:bidi="ar-SA"/>
        </w:rPr>
        <w:t>Hoffman v. Monsanto Capital Inc. and Bayer Cropscience Inc.</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[2007] S.J. No. 182</w:t>
        </w:r>
      </w:hyperlink>
      <w:r>
        <w:rPr>
          <w:rFonts w:ascii="arial" w:eastAsia="arial" w:hAnsi="arial" w:cs="arial"/>
          <w:color w:val="000000"/>
          <w:sz w:val="20"/>
          <w:lang w:val="en-US" w:eastAsia="en-US" w:bidi="ar-SA"/>
        </w:rPr>
        <w:t xml:space="preserve"> (C.A.) at paras. 87-92. There are many good reasons for a class proceeding having a genuine plaintiff with a genuine claim and exposure to costs if the claim is unmeritorious. The presence of a genuine claimant reduces frivolous claims, acts as a check and balance to the excesses of entrepreneurial law firms, provides a voice to protect the interests of the absent class members, and goes some distance to ensuring that the access to justice and behaviour modification provided by the Act make a meaningful contribution to both private and social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Section 4(1)(e)(ii) also asks whether the representative plaintiff has produced a litigation plan that provides a framework within which the case will proceed. The litigation plan demonstrates that the representative plaintiff and class counsel have a clear grasp of the complexities involved in the case and plan to address them (</w:t>
      </w:r>
      <w:r>
        <w:rPr>
          <w:rFonts w:ascii="arial" w:eastAsia="arial" w:hAnsi="arial" w:cs="arial"/>
          <w:i/>
          <w:color w:val="000000"/>
          <w:sz w:val="20"/>
          <w:lang w:val="en-US" w:eastAsia="en-US" w:bidi="ar-SA"/>
        </w:rPr>
        <w:t>Watson BCSC</w:t>
      </w:r>
      <w:r>
        <w:rPr>
          <w:rFonts w:ascii="arial" w:eastAsia="arial" w:hAnsi="arial" w:cs="arial"/>
          <w:color w:val="000000"/>
          <w:sz w:val="20"/>
          <w:lang w:val="en-US" w:eastAsia="en-US" w:bidi="ar-SA"/>
        </w:rPr>
        <w:t xml:space="preserve"> at para. 351). The elements to be addressed in a litigation plan include: steps to be taken to identify and locate necessary witnesses; collection of relevant documents from members of the class and others; the exchange and management of documents; ongoing reporting to the class; mechanisms for responding to inquiries from class members; the intended process for discoveries; the need for experts and how they will be identified and retained; the plan for resolving individual issues; and the plan for how damages are to be assessed (</w:t>
      </w:r>
      <w:r>
        <w:rPr>
          <w:rFonts w:ascii="arial" w:eastAsia="arial" w:hAnsi="arial" w:cs="arial"/>
          <w:i/>
          <w:color w:val="000000"/>
          <w:sz w:val="20"/>
          <w:lang w:val="en-US" w:eastAsia="en-US" w:bidi="ar-SA"/>
        </w:rPr>
        <w:t>Public Service Alliance of Canada Pension Plan Members v. Public Service Alliance of Canada</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[2005] O.J. No. 2693</w:t>
        </w:r>
      </w:hyperlink>
      <w:r>
        <w:rPr>
          <w:rFonts w:ascii="arial" w:eastAsia="arial" w:hAnsi="arial" w:cs="arial"/>
          <w:color w:val="000000"/>
          <w:sz w:val="20"/>
          <w:lang w:val="en-US" w:eastAsia="en-US" w:bidi="ar-SA"/>
        </w:rPr>
        <w:t xml:space="preserve"> at para. 29 (S.C.); </w:t>
      </w:r>
      <w:r>
        <w:rPr>
          <w:rFonts w:ascii="arial" w:eastAsia="arial" w:hAnsi="arial" w:cs="arial"/>
          <w:i/>
          <w:color w:val="000000"/>
          <w:sz w:val="20"/>
          <w:lang w:val="en-US" w:eastAsia="en-US" w:bidi="ar-SA"/>
        </w:rPr>
        <w:t>Singer</w:t>
      </w:r>
      <w:r>
        <w:rPr>
          <w:rFonts w:ascii="arial" w:eastAsia="arial" w:hAnsi="arial" w:cs="arial"/>
          <w:color w:val="000000"/>
          <w:sz w:val="20"/>
          <w:lang w:val="en-US" w:eastAsia="en-US" w:bidi="ar-SA"/>
        </w:rPr>
        <w:t xml:space="preserve"> at paras. 224-226). There should also be information so that the court can determine whether counsel, as selected, has the capacity to undertake prosecution of the claim (</w:t>
      </w:r>
      <w:r>
        <w:rPr>
          <w:rFonts w:ascii="arial" w:eastAsia="arial" w:hAnsi="arial" w:cs="arial"/>
          <w:i/>
          <w:color w:val="000000"/>
          <w:sz w:val="20"/>
          <w:lang w:val="en-US" w:eastAsia="en-US" w:bidi="ar-SA"/>
        </w:rPr>
        <w:t>Singer</w:t>
      </w:r>
      <w:r>
        <w:rPr>
          <w:rFonts w:ascii="arial" w:eastAsia="arial" w:hAnsi="arial" w:cs="arial"/>
          <w:color w:val="000000"/>
          <w:sz w:val="20"/>
          <w:lang w:val="en-US" w:eastAsia="en-US" w:bidi="ar-SA"/>
        </w:rPr>
        <w:t xml:space="preserve"> at paras. 226-227). It is anticipated that litigation plans will require amendments as the proceeding continues (</w:t>
      </w:r>
      <w:r>
        <w:rPr>
          <w:rFonts w:ascii="arial" w:eastAsia="arial" w:hAnsi="arial" w:cs="arial"/>
          <w:i/>
          <w:color w:val="000000"/>
          <w:sz w:val="20"/>
          <w:lang w:val="en-US" w:eastAsia="en-US" w:bidi="ar-SA"/>
        </w:rPr>
        <w:t>Watson BCSC</w:t>
      </w:r>
      <w:r>
        <w:rPr>
          <w:rFonts w:ascii="arial" w:eastAsia="arial" w:hAnsi="arial" w:cs="arial"/>
          <w:color w:val="000000"/>
          <w:sz w:val="20"/>
          <w:lang w:val="en-US" w:eastAsia="en-US" w:bidi="ar-SA"/>
        </w:rPr>
        <w:t xml:space="preserve"> at para. 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affidavit of Harrison is dated in 2012 and has not been updated to reflect the realities of this litigation, despite requests by defence counsel to do so. Harrison has stated only that he purchased Cold-Fx in 2011. He has not said what specific product he purchased. He has not said that he purchased the product for short term relief based upon any of the alleged misrepresentations. Harrison has not established some basis in fact that he has a complaint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is no evidence that Harrison has been involved in this litigation since 2012. His description of the litigation plan is outdated, in part because it refers to legal representation by those who, apart from Mr. Green, are no longer involved. In his expression of his understanding of a representative's duties, Harrison does not make reference to any developments in the case other than those that occurred before a case management judge was appointed. In this circumstance, it cannot be said that Harrison has been "vigorous" in the prosecution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Harrison was recruited by his lawyer. Harrison had expressed in public that he thought that Cold-Fx was "a colossal scam" based upon a television documentary; however, there is no evidence that he had any idea about representations in the labelling or marketing of the product, or that he was ever concerned or felt harmed by them. He has not actively participated in this litigation. He has no real interest in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these circumstances, it cannot be concluded that Harrison is a genuine plaintiff who will vigorously protect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litigation plan that Harrison proposes is outdated, boilerplate, and rudimentary. It does not reflect the substantial difficulty that the plaintiff has experienced with pleadings. The information about the experience, capability, and resources available to plaintiff's counsel is so out of date and now inaccurate as to disable this Court from determining whether counsel is capable of undertaking this action. The plan does not reflect current law on damages and provides no clear plan as to how liability will be determined. It does not address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 has not discharged the burden of showing that the requirements of s. 4(1)(e)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have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This is a continuation of the certification hearing that commenced in 2013. When the plaintiff requested significant amendments to his pleadings, the court adjourned the certification hearing and ordered the matter of costs thrown away to be dealt with by written submissions. The court then provided a ruling on costs in </w:t>
      </w:r>
      <w:r>
        <w:rPr>
          <w:rFonts w:ascii="arial" w:eastAsia="arial" w:hAnsi="arial" w:cs="arial"/>
          <w:i/>
          <w:color w:val="000000"/>
          <w:sz w:val="20"/>
          <w:lang w:val="en-US" w:eastAsia="en-US" w:bidi="ar-SA"/>
        </w:rPr>
        <w:t>Harrison v. Afexa Life Sciences Inc.</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2014 BCSC 523</w:t>
        </w:r>
      </w:hyperlink>
      <w:r>
        <w:rPr>
          <w:rFonts w:ascii="arial" w:eastAsia="arial" w:hAnsi="arial" w:cs="arial"/>
          <w:color w:val="000000"/>
          <w:sz w:val="20"/>
          <w:lang w:val="en-US" w:eastAsia="en-US" w:bidi="ar-SA"/>
        </w:rPr>
        <w:t xml:space="preserv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On the continuation of the certification hearing, if the defendants are successful in defeating the claims of "immediate relief" for the purpose of certification, they may be in a position to seek all the costs that they now seek for having prepared for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have been successful in defeating the "immediate relief" claims on certification and shall have costs thrown away with respect to the first four day certification hearing as Truscott J.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summary, the plaintiff has failed to satisfy the requirements under s. 4(1)(b)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to show some basis in fact that an identifiable class exists, under s. 4(1)(c)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to show some basis in fact that the claims of the class members raise common issues, and under s. 4(1)(e)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to show some basis in fact that there is an adequate representative plaintiff or litigation plan. In view of these conclusions, it is not necessary to address the requirements under s. 4(1) (d) </w:t>
      </w:r>
      <w:r>
        <w:rPr>
          <w:rFonts w:ascii="arial" w:eastAsia="arial" w:hAnsi="arial" w:cs="arial"/>
          <w:i/>
          <w:color w:val="000000"/>
          <w:sz w:val="20"/>
          <w:lang w:val="en-US" w:eastAsia="en-US" w:bidi="ar-SA"/>
        </w:rPr>
        <w:t>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application for certification of this action as a class proceeding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9"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Harrison v. British Columbia (Information and Privacy Commissioner), [2008] B.C.J. No. 596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I.H. 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21, 2007; March 12,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S077494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596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411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C.C.E.L. (3d) 196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677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745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292 D.L.R. (4th) 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Glen Harrison, Petitioner, and The Office of the Information and Privacy Commissioner of British Columbia,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0"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5" w:name="Keywords_17"/>
      <w:bookmarkEnd w:id="115"/>
      <w:r>
        <w:rPr>
          <w:rFonts w:ascii="arial" w:eastAsia="arial" w:hAnsi="arial" w:cs="arial"/>
          <w:b/>
          <w:color w:val="000000"/>
          <w:sz w:val="20"/>
          <w:lang w:val="en-US" w:eastAsia="en-US" w:bidi="ar-SA"/>
        </w:rPr>
        <w:t>Administrative law — Judicial review and statutory appeal — Standard of review — Correctness — Petition for an order setting aside the Information and Privacy Commissioner's decisions allowed, and the matter was remitted for redetermination — The appropriate standard of review was correctness, as there was no privative clause in the Freedom of Information and Protection of Privacy Act, it was not apparent that the Commissioner had special expertise of a kind that ought to discourage judicial intervention, and the question was one of law or of mixed law and fact and struck at the core of personal rights — Freedom of Information and Protection of Privacy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Access to information and privacy — Protection of privacy — Personal information — Unauthorized disclosure or release — Appeals and judicial review — Standard of review — Correctness — Privacy and information commissioners — Petition for an order setting aside the Information and Privacy Commissioner's decisions allowed, and the matter was remitted for redetermination — Having exercised his discretion to hear the complaint, the Commissioner was required to consider whether the circumstances were such that he ought to order the personal information in the assessment file and any references to it to be expunged, or its use otherwise restrained due to s. 28 of the Freedom of Information and Protection of Privacy Act — Freedom of Information and Protection of Privacy 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6" w:name="Case Summary_16"/>
            <w:bookmarkEnd w:id="1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for an order setting aside the Information and Privacy Commissioner's decisions reflected in a Sept. 17, 2007 letter and an order remitting the matter to the Commissioner. The petitioner commenced employment with an organization of the Ministry of Children and Family Development (MCFD) engaged to provide services to troubled youth. A certain Ms. Bischoff disclosed confidential Ministry information to the organization, and advised them to ensure his work with the youth was supervised, based on an anonymous allegation of sexual abuse which had been made against the petitioner. The petitioner was fired two weeks after commencing the job. The question was whether the Commissioner's determination that the petitioner's claims that the MCFD had breached the Freedom of Information and Protection of Privacy Act was unsubstantiated was amenable to judicial review. The petitioner further claimed his s. 11(d) Charter rights were violated.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7" w:name="Holdings of Court_13"/>
            <w:bookmarkEnd w:id="117"/>
            <w:r>
              <w:rPr>
                <w:rFonts w:ascii="arial" w:eastAsia="arial" w:hAnsi="arial" w:cs="arial"/>
                <w:color w:val="000000"/>
                <w:sz w:val="20"/>
                <w:lang w:val="en-US" w:eastAsia="en-US" w:bidi="ar-SA"/>
              </w:rPr>
              <w:t>HELD: Petition allowed and ruling quashed.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evidence that the petitioner's ancillary complaints were still under investigation, and thus it was not appropriate to direct the Commissioner to undertake any investigation into the alleged breaches of privacy involving the use of regular mail, or the theft of the laptop. The Charter claim was dismissed, as the petitioner had never been charged with an offence in relation to any of the matters concerned. With respect to the main claim, nothing in the Child, Family and Community Service Act required the Commissioner to refrain from investigating the petitioner's complaint regarding the information disclosed in purported reliance on s. 79(a) of the CFCSA. There was no privative clause in FIPPA, it was not apparent that the Commissioner had special expertise of a kind that ought to discourage judicial intervention, the question was one of law or of mixed law and fact and struck at the core of personal rights. All these factors supported a finding that the appropriate standard of review was correctness. The Commissioner's decision had resulted from an improper characterization of the issue. It was not obvious that FIPPA could provide any meaningful or effective remedy. However, having exercised his discretion to hear the complaint, the Commissioner ought now to be required to consider whether the circumstances were such that he ought to order the personal information in the assessment file and any references to it to be expunged, or its use otherwise restrained due to s. 28 of the FIPPA. The matter was remitted to the Commissioner for that purpose. The Commissioner's investigation, which looked at the consent to disclose and disclosure in the absence of consent, was unfair. It ignored the consideration of the protection FIPPA was intended to afford individuals in relation to the use of their personal information. On the balance of convenience, an order of mandamus was justified and required. The application to amend the petition to name Bischoff and others as respondents, presumably for the purpose of allowing him to advance a claim for a remedy as a result of Bischoff's actions and statements was dismissed. The present petition was restricted to judicial review.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8" w:name="Legislation Cited_11"/>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1"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Administrative Tribunals Act, </w:t>
      </w:r>
      <w:r>
        <w:rPr>
          <w:rFonts w:ascii="arial" w:eastAsia="arial" w:hAnsi="arial" w:cs="arial"/>
          <w:i/>
          <w:color w:val="000000"/>
          <w:sz w:val="20"/>
          <w:lang w:val="en-US" w:eastAsia="en-US" w:bidi="ar-SA"/>
        </w:rPr>
        <w:t>S.B.C. 2003, c. 47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s. 11(d)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Child, Family and Community Service Act,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Community Care and Assisted Living Act, </w:t>
      </w:r>
      <w:r>
        <w:rPr>
          <w:rFonts w:ascii="arial" w:eastAsia="arial" w:hAnsi="arial" w:cs="arial"/>
          <w:i/>
          <w:color w:val="000000"/>
          <w:sz w:val="20"/>
          <w:lang w:val="en-US" w:eastAsia="en-US" w:bidi="ar-SA"/>
        </w:rPr>
        <w:t>S.B.C. 2002, c. 75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Protection of Privacy Act, </w:t>
      </w:r>
      <w:hyperlink r:id="rId416" w:history="1">
        <w:r>
          <w:rPr>
            <w:rFonts w:ascii="arial" w:eastAsia="arial" w:hAnsi="arial" w:cs="arial"/>
            <w:i/>
            <w:color w:val="0077CC"/>
            <w:sz w:val="20"/>
            <w:u w:val="single"/>
            <w:shd w:val="clear" w:color="auto" w:fill="FFFFFF"/>
            <w:lang w:val="en-US" w:eastAsia="en-US" w:bidi="ar-SA"/>
          </w:rPr>
          <w:t>R.S.B.C. 1996, c. 165, s. 28</w:t>
        </w:r>
      </w:hyperlink>
      <w:r>
        <w:rPr>
          <w:rFonts w:ascii="arial" w:eastAsia="arial" w:hAnsi="arial" w:cs="arial"/>
          <w:color w:val="000000"/>
          <w:sz w:val="20"/>
          <w:lang w:val="en-US" w:eastAsia="en-US" w:bidi="ar-SA"/>
        </w:rPr>
        <w:t>, s. 30.4, s. 31.1, s. 32, s. 33.1, s. 33.2, s. 34(1), s. 42(1), s. 58(3), s. 73, s. 74(1), s. 75, s. 79, s. 89(2)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hyperlink r:id="rId417" w:history="1">
        <w:r>
          <w:rPr>
            <w:rFonts w:ascii="arial" w:eastAsia="arial" w:hAnsi="arial" w:cs="arial"/>
            <w:i/>
            <w:color w:val="0077CC"/>
            <w:sz w:val="20"/>
            <w:u w:val="single"/>
            <w:shd w:val="clear" w:color="auto" w:fill="FFFFFF"/>
            <w:lang w:val="en-US" w:eastAsia="en-US" w:bidi="ar-SA"/>
          </w:rPr>
          <w:t>R.S.B.C. 1996, c. 241, s. 2</w:t>
        </w:r>
      </w:hyperlink>
      <w:r>
        <w:rPr>
          <w:rFonts w:ascii="arial" w:eastAsia="arial" w:hAnsi="arial" w:cs="arial"/>
          <w:color w:val="000000"/>
          <w:sz w:val="20"/>
          <w:lang w:val="en-US" w:eastAsia="en-US" w:bidi="ar-SA"/>
        </w:rPr>
        <w:t>(1), s. 16(2)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9" w:name="Counsel_17"/>
      <w:bookmarkEnd w:id="1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Appearing In Person: R.G.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J. Penner.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Office of the Information and Privacy Commissioner: S.E. Ross.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0" w:name="Judgment_17"/>
      <w:bookmarkEnd w:id="120"/>
      <w:r>
        <w:pict>
          <v:line id="_x0000_s1113" style="position:absolute;z-index:25183027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June 9, 2008;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1" w:name="I.H. PITFIELD J."/>
            <w:bookmarkEnd w:id="121"/>
            <w:r>
              <w:rPr>
                <w:rFonts w:ascii="arial" w:eastAsia="arial" w:hAnsi="arial" w:cs="arial"/>
                <w:b/>
                <w:color w:val="000000"/>
                <w:sz w:val="30"/>
                <w:lang w:val="en-US" w:eastAsia="en-US" w:bidi="ar-SA"/>
              </w:rPr>
              <w:t>I.H. 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petition, which is concerned with the disclosure of personal information, is a striking example of the harm that an individual may suffer as a consequence of a provincial government ministry accumulating, retaining, using and disclosing personal information, purportedly in a manner consistent with the </w:t>
      </w:r>
      <w:r>
        <w:rPr>
          <w:rFonts w:ascii="arial" w:eastAsia="arial" w:hAnsi="arial" w:cs="arial"/>
          <w:b/>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It also raises the question of whether an individual has any effective remedy if personal information is used or disclosed inappropriately or improperly.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early May 2006, Robert Harrison, who is self-represented, commenced employment as a one-on-one therapist with Access House, an organization the Ministry of Children and Family Development (the "MCFD") engages to provide services to troubled youth. Approximately two weeks later, his employment was terminated. In the intervening period, Ms. Joan Bischoff, a resource worker the MCFD employed, disclosed confidential Ministry information to Access House, and advised or directed Access House to ensure that Mr. Harrison worked with the youth under supervision because, to do otherwise, would place him in an "unsafe situation". The supervision requirement was inconsistent with the concept of one-on-one therapy and the termination of Mr. Harrison's employment was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due course, Mr. Harrison complained to the Office of the Information and Privacy Commissioner (the "Commissioner") under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Three members of the Commissioner's staff made successive reviews of Mr. Harrison's complaint. The findings of each were separately reported to Mr. Harrison on March 16, May 23, and September 17,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By petition filed November 6, 2007, Mr. Harrison applies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JRPA</w:t>
      </w:r>
      <w:r>
        <w:rPr>
          <w:rFonts w:ascii="arial" w:eastAsia="arial" w:hAnsi="arial" w:cs="arial"/>
          <w:color w:val="000000"/>
          <w:sz w:val="20"/>
          <w:lang w:val="en-US" w:eastAsia="en-US" w:bidi="ar-SA"/>
        </w:rPr>
        <w:t xml:space="preserve">"), for an order setting aside the Commissioner's decisions reflected in the letter dated September 17, 2007, and for an order remitting the matter to the Commissioner with directions for reconsideration. He also claims that his s. 11(d)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 was violated. He served the required notice of constitutional question on the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Harrison also applies for: an order that the Commissioner be directed to inquire into his complaint that the MCFD sent sensitive personal information by way of an insecure method, namely regular mail, in contravention of his rights under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an order that the Commissioner conduct an inquiry into Mr. Harrison's daughter's complaint that the MCFD disclosed personal and third party information pertaining to her in violation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and an order that the Commissioner inquire into his complaint that the Commissioner's staff stored his personal information on a laptop computer thereby permitting its improper disclosure when the laptop was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Commissioner is granted discretion under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to decide which complaints his office receives will be investigated. While the Commissioner is not obliged to undertake any particular investigation, there is evidence that Mr. Harrison's ancillary complaints are still under investigation. In the present circumstances, it is not appropriate to direct the Commissioner to undertake any investigation in relation to any breaches of privacy associated with the MCFD's use of regular mail, or the theft of the laptop. Those claims for relief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Harrison's daughter is an adult. As a result, he is not empowered to seek relief or directions in respect of a complaint personal to her. She must advance her claim in her personal capacity. Mr. Harrison's claim on her behalf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Harrison has never been charged with an offence in relation to any of the matters with which this petition is concerned. As a result, his claim that his s. 11(d)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 to be presumed innocent until proved guilty has been violated cannot succeed. His application for a declaration to that effect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Crown 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the petition Mr. Harrison filed, Her Majesty the Queen in Right of the Province of British Columbia was named as a respondent. In the course of submissions, counsel for the Attorney General claimed that Her Majesty the Queen in Right of the Province of British Columbia should not be named as a party to a petition for judicial review: see </w:t>
      </w:r>
      <w:r>
        <w:rPr>
          <w:rFonts w:ascii="arial" w:eastAsia="arial" w:hAnsi="arial" w:cs="arial"/>
          <w:b/>
          <w:i/>
          <w:color w:val="000000"/>
          <w:sz w:val="20"/>
          <w:lang w:val="en-US" w:eastAsia="en-US" w:bidi="ar-SA"/>
        </w:rPr>
        <w:t>Lang v. British Columbia (Superintendent of Motor Vehicles)</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2005 BCCA 244</w:t>
        </w:r>
      </w:hyperlink>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254 D.L.R. (4th) 111</w:t>
        </w:r>
      </w:hyperlink>
      <w:r>
        <w:rPr>
          <w:rFonts w:ascii="arial" w:eastAsia="arial" w:hAnsi="arial" w:cs="arial"/>
          <w:color w:val="000000"/>
          <w:sz w:val="20"/>
          <w:lang w:val="en-US" w:eastAsia="en-US" w:bidi="ar-SA"/>
        </w:rPr>
        <w:t>, at paras. 17-25. I am satisfied that the objection is well-founded. Accordingly, the style of cause has been amended to remove the reference to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Attorney General is entitled to appear on the judicial review by virtue of s. 16(2) of </w:t>
      </w:r>
      <w:r>
        <w:rPr>
          <w:rFonts w:ascii="arial" w:eastAsia="arial" w:hAnsi="arial" w:cs="arial"/>
          <w:b/>
          <w:i/>
          <w:color w:val="000000"/>
          <w:sz w:val="20"/>
          <w:lang w:val="en-US" w:eastAsia="en-US" w:bidi="ar-SA"/>
        </w:rPr>
        <w:t>JRPA</w:t>
      </w:r>
      <w:r>
        <w:rPr>
          <w:rFonts w:ascii="arial" w:eastAsia="arial" w:hAnsi="arial" w:cs="arial"/>
          <w:color w:val="000000"/>
          <w:sz w:val="20"/>
          <w:lang w:val="en-US" w:eastAsia="en-US" w:bidi="ar-SA"/>
        </w:rPr>
        <w:t xml:space="preserve">, and as a consequence of service of a notice of constitutional question arising out of the alleged contravention of Mr. Harrison's s. 11(d)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following is the background to the disclosure of information to Access House, the MCFD recommendation regarding supervision, and the application for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1996, Mr. Harrison and his then spouse, Theresa Williams, their daughters, Brittany, born July 27, 1986, and Rebecca, born September 3, 1992, resided in Sechelt, B.C. where Mr. Harrison's spouse operated a licensed family child care facility. Mr. Harrison worked in the business as a care 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August 27, 1996, an individual whose name was redacted from any personal information before the Court, telephoned the Ministry of Social Services to state that Mr. Harrison may be abusing his daughter Brittany. The intake report records the details of the caller's information: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Robert Harrison may be abusing his dtr. Brittany. Five years ago, heard noises - bed squeaking, heavy breathing, Brittany saying "No, Daddy, No". Now Brittany is developing abnormally: sexually weird, peed in a cup and wanted nine year old cousin to drink it. Robert and Theresa run a day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intake report recites that the Ministry of Social Services, Child, Family and Community Services, apparently the authority responsible for the operation of the child care business, had no prior complaints regarding Mr. Harrison or the business. The report states that no further action would be taken, rather than referring the matter to a community agency, investigating a child's need for protection, or offering other support services. The following reasons were stated:</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is very vague and the allegation suggestive of sexual misconduct occurred 5 years ago. If the present concerns about the child's behaviour is [sic] valid, the child may benefit from counselling services.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advised the caller, 96/09/04 to recommend, or ask a family member to recommend counselling to the parents for the child in question.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Collateral check with Daycare Liscencing [sic] Officer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breach of protocol WRT Health Dept. led to the parent being notified of this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latter note is a reference to the fact that the Ministry chose not to advise Mr. Harrison of the complaint. Subsequent notes on the file indicate that the Ministry did not think it necessary to do so. Mr. Harrison learned of the complaint from a discussion with the Chief Medical Health Officer for the Sechelt region whom he knew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intake report notes that the chief licensing officer responsible for the licensing of daycare institutions was contacted on September 3, 1996. The intake officer described the information that individual provided: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 record checks were done and O.K.</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other concerns have been reported by children or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Another note made September 5, 1996, records the following:</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[redacted] notified supervisor of this concern about Robert Harrison.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[redacted] called me to relay the information that he had spoken to Mr. Harrison about the allegation. I informed [redacted] that MSS had not considered the allegation grounds for conducting an investigation and that his disclosure to the client was a breach of protocol.</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[redacted] did agree that [redacted] had erred and wanted feedback about how to repair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intake worker prepared a memorandum of a conversation with Mr. Harrison on September 5, 1996, as follows:</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Harrison called me regarding the allegations that were related to him the previous evening by [redacted].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explained to Robert that [redacted] erred in informing him of the allegations and that MSS had not decided [sic] to proceed with an assessment due to the unsubstantial [sic] nature of the report.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continued to be upset and concerned about report and determined to find the identity of the reporter. Robert invited me to interview his daughter, assured me of her mental health and expressed his serious concerns about the impact of false allegations affecting his wife's business running a daycare.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reassured Robert that his daycare will be unaffected, that an investigation had not even been undertaken and that I have considerable empathy for the situation that had occurred.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appreciated [redacted] report to him of the allegations and views this as [redacted]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Finally, the intake report summarizes a conversation with an unidentified collateral source on September 5, 1996, as follows: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[redacted] called this office to report that in [redacted] opinion, there is "no way" the allegation made about Robert ever happened. [redacted] related the story about Brittany peeing into a bottle and giving it to her 9 yr. old cousin. [redacted] explained that the bottle was given to a 4 yr. old and that it was a stupid prank on Brittany's part. The matter was dealt with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Nothing further was reported to the Ministry in relation to the original allegation. The Ministry did nothing further, consistent with the determination that it should take no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From 1996 to 2001, Mr. Harrison continued to assist his spouse as a caregiver in her licensed family childcare business without the MCFD or any other interested party expressing interest or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or about 2001, Mr. Harrison and his spouse were approved as foster parents, a capacity in which they acted on behalf of the MCFD for a period of three years. At the end of the fostering period, the responsible Ministry conveyed written thanks and appreciation to Mr. Harrison and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From September 2001 through September 2004, Mr. Harrison managed a licensed, out-of-school child care program. On September 30, 2004, he was granted a licence under the </w:t>
      </w:r>
      <w:r>
        <w:rPr>
          <w:rFonts w:ascii="arial" w:eastAsia="arial" w:hAnsi="arial" w:cs="arial"/>
          <w:b/>
          <w:i/>
          <w:color w:val="000000"/>
          <w:sz w:val="20"/>
          <w:lang w:val="en-US" w:eastAsia="en-US" w:bidi="ar-SA"/>
        </w:rPr>
        <w:t>Community Care and Assisted Living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75</w:t>
      </w:r>
      <w:r>
        <w:rPr>
          <w:rFonts w:ascii="arial" w:eastAsia="arial" w:hAnsi="arial" w:cs="arial"/>
          <w:color w:val="000000"/>
          <w:sz w:val="20"/>
          <w:lang w:val="en-US" w:eastAsia="en-US" w:bidi="ar-SA"/>
        </w:rPr>
        <w:t>, to operate a facility known as the Sechelt Children's Club to provide out-of-school care for a maximum of 10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Harrison and his spouse separated. He relocated to the Lower Mainland. At the time he accepted employment with Access House in May 2006, Mr. Harrison signed a form known as a "Prior Contact Check" by which he agreed to the disclosure of information about him for the purposes of youth work, and in particular, to the disclosure of all information in the custody or control of the MCFD. Mr. Harrison deposes to events which occurred approximately two weeks after commencement of his employment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two weeks of employment at Access House, I was informed that a resource worker for the Fraser Region Ministry of Children and Family Development had notified Access House that a file known as an Assessment Only, or AO, file was on record with MCFD. The resource worker also notified Access House that I should be supervised in my position. Access House then confronted me four days later on May 18, 2006, and requested that I provide a second disclosure agreement, attached as Exhibit D. I was not told what the disclosure agreement was intended for. I was not provided with any opportunity to refuse to sign the disclosure agreement, and I was fully cooperative. On or shortly after May 18, 2006, MCFD disclosed to an unknown number of Access House staff, the uninvestigated rumour that had been reported in 1996.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hired by Access House to be a one-on-one worker with a youth in their program, however, when MCFD informed Access House that I needed to be supervised, Access House could not continue my employment, and I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record indicates that Access House submitted the signed personal contact check form to the MCFD. The record is unsatisfactory and incomplete regarding details of the events which followed. I adjourned the hearing of the petition on December 21, 2007, having first ordered the Attorney General to obtain an affidavit from Ms. Bischoff that would contain a full statement of her actions and conduct in relation to her review of the Access House request. I also enjoined the MCFD from releasing any information pertaining to Mr. Harrison without further order of the court. The Attorney General appealed both orders to the Court of Appeal. The appeal was allowed by consent: see </w:t>
      </w:r>
      <w:hyperlink r:id="rId419" w:history="1">
        <w:r>
          <w:rPr>
            <w:rFonts w:ascii="arial" w:eastAsia="arial" w:hAnsi="arial" w:cs="arial"/>
            <w:i/>
            <w:color w:val="0077CC"/>
            <w:sz w:val="20"/>
            <w:u w:val="single"/>
            <w:shd w:val="clear" w:color="auto" w:fill="FFFFFF"/>
            <w:lang w:val="en-US" w:eastAsia="en-US" w:bidi="ar-SA"/>
          </w:rPr>
          <w:t>[2008] B.C.J. No. 242</w:t>
        </w:r>
      </w:hyperlink>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2008 BCCA 67</w:t>
        </w:r>
      </w:hyperlink>
      <w:r>
        <w:rPr>
          <w:rFonts w:ascii="arial" w:eastAsia="arial" w:hAnsi="arial" w:cs="arial"/>
          <w:color w:val="000000"/>
          <w:sz w:val="20"/>
          <w:lang w:val="en-US" w:eastAsia="en-US" w:bidi="ar-SA"/>
        </w:rPr>
        <w:t>. The hearing of this petition resumed on March 12,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Such information as there is regarding the MCFD actions appears in the Commissioner's responses to Mr. Harrison's complaints. That of March 16, 2007, states that the parties agreed on several points. There was a conversation between Ms. Bischoff and Ms. Ford of Access House some time between May 10 and 12, 2006, during which Ms. Bischoff advised that something had come back on the prior contact check but she could not discuss it with Access House because it was confidential. Ms. Bischoff suggested that Ms. Ford get a further consent from Mr. Harrison. On May 13 or 14 Mr. Harrison met with Ms. Ford and Ms. Haden, another representative of Access House. The purpose of the meeting was described as three-fold: to allow Ms. Ford to meet Mr. Harrison; to permit Ms. Ford and Ms. Haden to tell Mr. Harrison that something had come up on the MCFD check and needed further investigation; and for Mr. Harrison to pick up his pay cheque. Ms. Ford told Mr. Harrison that something had come up and asked him if he knew what it could be. Mr. Harrison described the allegation that had been made 10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May 16, 2006, Mr. Harrison signed a second and more detailed consent which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whom it may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Robert Harrison hereby give consent for Joan Bischoff, Resource Worker MCFD, and any other employee of MCFD to share relevant information about myself in reference to caring for children, my history with children and reports that MCFD may have received regarding these events or other relevant reports they may have received about my previous conduct. I consent to having this information shared with Access House Program Director Jessie Ford and Executive Director, Marion Haden. This agreement is valid until May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the second consent in hand, Ms. Bischoff disclosed information to Ms. Ford relating to the 1996 assessment file. She did not provide any of the actual documents she had been looking at to Ms. Ford. The precise extent of the disclosure Ms. Bischoff made has not been documented, but Access House staff reported that the information Ms. Bischoff disclosed pertained to the allegation Mr. Harrison described on May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Commissioner's letter of September 17, 2007 provides additional information regarding the disclosure. It states,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resource worker then requested a second, more specific consent before releasing further information. Upon receiving the second consent, and after your meeting with Jesse Ford and Marion Haden in which you spoke about the 1996 child protection report, the resource worker disclosed information regarding the allegation contained in the [assessment] file. According to Bimala Spencer, MCFD's Fraser Region Dispute Resolution Consultant, (who conducted a formal review of your complaint) the resource worker disclosed that there had been a report about 10 years ago about an incident that occurred five years earlier alleging "inappropriate sounds coming from [your] daughter's bedroom." The resource worker also disclosed that she was concerned that the [assessment] file did not explain what was done to look into the allegation and that a review of your [fostering] file might provide this information. I found no evidence indicating that anyone other than Jesse Ford and Marion Haden received this information from the resource worker or that Access House received copies of any records from the resource worker.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resource worker's review of the [fostering] file, she again talked to Jesse Ford and informed her that the [fostering] file did not answer her concerns. The resource worker was concerned that the homestudy in the [fostering] file did not review the [assessment] file. According to the resource worker, a homestudy would normally include a [prior contact check] and a review of any child protection reports. It was at this point that the resource worker expressed her concerns to Jesse Ford that allegations had been made about you, but, in her opinion, they had not been properly investigated or reviewed. The resource worker then expressed her opinion to Jesse Ford that your assignment to work one-on-one with the youth assigned to you may not be a "safe situation." When asked for clarification by Jesse Ford, the resource worker expressed her preference that you be supervised in your work with the youth. Again, there is no evidence that the resource worker disclosed copies of any records directly from the [fostering] file. According to Marion Haden, follow this last conversation with the resource worker, she and Jesse Ford decided that your work at Access House would be supervised until MCFD's [prior contact check] was complete.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 may appear that the only personal information disclosed by the resource worker was the fact that two files existed and a certain amount of information from the [assessment] file, in my opinion another piece of previously unidentified personal information was also disclosed. That is, the resource worker's professional opinion that the level of risk you posed to children or youth was in her view unknown, and that further review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Harrison was not informed of the reason why the first consent he provided was inadequate. The only reasonable inference is that Ms. Bischoff did not consider the consent in the form of the prior contact check sufficiently broad for her purposes. Also noteworthy is that neither Ms. Bischoff nor anyone else undertook the review which she said should be carried out regarding the 1996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Following the termination of his employment, Mr. Harrison complained to the Director of Child Welfare, Fraser Region, who reported to Mr. Harrison as follows on June 22, 2006 in respect of Ms. Bischoff's actions following receipt of the second consent: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the resource worker received the second consent form, she shared the information regarding the allegation so that Access House could make "an informed decision" about your employment with them. The resource worker did not advise Access House to terminate your employment with them. Upon receiving information from the resource worker, the employer made a determination to terminate your employment. It appears that there may have been a misinterpretation (by the resource worker, the agency staff, or both) of the information and its' [sic]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statement that Ms. Bischoff shared the information with Access House in order that it could make "an informed decision" about Mr. Harrison's employment with them is an incomplete, if not inaccurate, statement regarding her actions. It is readily apparent that it was Ms. Bischoff who told Access House that Mr. Harrison should work under supervision until a further review was undertaken. That was a state of affairs which Access House was not prepared to accommodate in relation to the one-on-one work in which Mr. Harrison was to be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Director to whom Mr. Harrison had complained endeavoured to assist him by writing a letter to Access House to state that in his opinion, the contents of the assessment only file did not constitute a barrier to Mr. Harrison's employment in a position of trust involving children. The letter did nothing to countermand Ms. Bischoff's direction to Access House that Mr. Harrison must or should work under supervision. The record does not indicate whether the Director of Child Welfare knew that Ms. Bischoff had provided that advice or direction to Access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September 25, 2006, Mr. Harrison wrote to the MCFD requesting a formal review of the events surrounding the Ministry staff's release of information to Access House. When no timely response was forthcoming, Mr. Harrison wrote to the Office of the Information and Privacy Commissioner asking it to undertake a formal review of events surrounding the disclosure. The three successive reviews of Mr. Harrison's complaint were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senior portfolio officer who authored the response of March 16, 2007, concluded that the second consent Mr. Harrison signed was sufficiently clear and it was intended to cover disclosure of information in the 1996 assessment file. The same officer concluded that while the consents Mr. Harrison signed provided sufficient authority to the MCFD to disclose the personal information, consent was not required because of s. 79(a) of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which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director may, without the consent of any person, disclose information obtained under this Act if the disclosure 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necessary to ensure the safety or well-being of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officer justified disclosure without consent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Joan Bischoff's obligations were to conduct the prior contact check. Upon completion of the check, in her professional opinion she was of the view that a disclosure was necessary to ensure the safety or well-being of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the result, the officer concluded that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authorized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conclusions in the March 16, 2007 letter were reconsidered at Mr. Harrison's request. An adjudicator reported the results to Mr. Harrison on May 23, 2007. The adjudicator expressed agreement with the findings of the portfolio officer that the consents were valid, but stated that there were other matters that deserved further investigation by the Commissioner.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adjudicator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troubled by the [MCFD's] position that consent was not required because the disclosure was made under the authority of s. 79(a) of the [CFCSA]. As you have noted, if Ms. Bischoff was disclosing personal information about you to Access House under the authority of the CFCSA, it is not at all clear why she sought a second consent before acting. The investigation letter does not resolve this apparent inconsistency. Nor does it discuss how, if Ms. Bischoff was acting under the authority of s. 79(a) of the CFCSA, the substance of her disclosure was "necessary to ensure the safety or well-being of a child", except to say that this was the "professional opinion" of the social worker. These two issues are particularly relevant to the question of whether or not the scope of disclosure of your personal information that was ultimately made by Ms. Bischoff was in fact covered by the two consents that you signed.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review of the file led me to give the Ministry the opportunity to explain and support these findings by the Portfolio Officer. I did this on May 9, 2007, when I requested the Ministry to provide me with submissions on this matter and to particularly address these two points noted above. On May 16, 2007 the Ministry provided me with a two page letter containing its submission in response which I have considered in coming to my decision. For your information, and with the consent of the Ministry, a copy of the Ministry's submission is attached to this letter.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Ministry's letter does not provide any new evidence or argument on the fundamental question of why Ms. Bischoff sought the second consent if she believed she was acting under the authority of s. 79(a) of the CFCSA. However, it does provide some insight about what information Ms. Bischoff had before her in making her decision that disclosure about you was "necessary to ensure the safety or well-being of a child." According to the Ministry's letter, Ms. Bischoff's opinion about you which she disclosed to Jessie Ford was based not only on her review of the [assessment] file, but also on her review of a Ministry resource file. However, as I have noted, the Portfolio Officer found that the second consent "was intended to cover disclosure of information from the [assessment] file." No finding was made about whether that consent covered disclosure from the Ministry resource file. In my view, the question about whether the second consent covered the scope of disclosure that was ultimately made remains unresolved and requires further investigation, as does the question about whether or not s. 79(a) of the CFCSA applied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my determination that, in your case, the two consents that were obtained were valid, questions remain about the Ministry's collection, use, disclosure and retention of personal information such as that contained in your AO [assessment only] file. As you have noted, you happened to be aware that an allegation was made against you only because an acquaintance who was in a position to find out about it subsequently advised you of this fact in contravention of established protocol. As such, notwithstanding my decision that this Office will not investigate any further the particular issue of the validity of your signed consents, I have decided that, along with further investigation about the scope of disclosure that was made in your particular case, this Office will engage in a general investigation of how the Ministry collects, uses, discloses and retains this type of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my decision with respect to your request for reconsideration is as follows: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confirm the finding of the Portfolio Officer that the PCC consent and the second consent to disclose personal information from the [assessment] file that you signed were valid.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regards the finding of the Portfolio Officer that the disclosure of personal information by Joan Bischoff to Access House was made in compliance with s. 33.1(1)(b) of FIPPA and also authorized by s. 79(a) of the CFCSA, I find that there is insufficient evidence to confirm this finding and the Ministry's submission did not resolve this issue. The fact that your consent to disclose personal information related to the [assessment] file was found to be valid does not fully answer the question about whether the scope of the disclosure made by the social worker - which would include both the personal information from the [assessment] file and her opinion about you which was apparently based on both the [assessment] file and the Ministry resource file - was either authorized by s. 33.1(1) of FIPPA or permitted by s. 79(a) of the CFCSA. This Office will undertake further investigation of this aspect of your complaint.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larger questions that have been raised by your complaint, a formal investigation will also be undertaken by this Office with respect to the manner in which the Ministry collects, uses, retains, and discloses personal information of individuals relating to allegations which are not investigated, but are kept on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part of the additional investigation, the Commissioner inquired of Ms. Bischoff about her actions. She responded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signing of the first Ministry Consent Form I note that there were previous file involvements, so I requested the agency to fully explain to [Harrison] what he was consenting to, and then the agency got him to sign their own Consent 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information I had before me was an [assessment] file where [Harrison] was allegedly involved in a situation in a bedroom with himself and his then 5 year old daughter. I reviewed the file, but was left wondering what had been done to come to any conclusion. I understand now that the decision was not to investigate but I do not know why this decision was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reviewed the closed resource file from another region [pertaining to foster parenting]. I do no know why this file was closed as it was not explained in the recording. I had hoped that the foster home study would have reviewed the [assessment] file as a [prior contact consent] is normally done and reviewed on all new foster home files, but I could not find in the foster home study any review of the [assessment] file.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reviewing the [foster parent] file I read where there were some problems noted about Robert Harrison's boundaries, sense of hostility from him, he reacts defensively, took things personally, and Robert Harrison would do things without authority from the social workers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reviewing both these files I was left with a sense of unease with Robert Harrison's parenting skills and presentation. In my practice I always like to err on the side of safety for our children's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Commissioner completed his further investigation and the results were reported to Mr. Harrison on September 17, 2007. On the question of the MCFD's use of prior contact check requests generally, the author of the report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PCC requests made by contracted service agencies, MCFD has no formal arrangement with any of these regarding PCCs conducted on prospective employees. MCFD has no written guidelines, policies or practice standards to guide staff in carrying out a PCC on a prospective employee for a contracted service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author also concluded that Ms. Bischoff's professional opinion that the level of risk Mr. Harrison posed to children or youth was in her view unknown and that further review was required, constituted personal information which she disclosed, it was information in the custody and control of MCFD, and it was information that Mr. Harrison had not identified as information to be disclosed as he did not know what the opinion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author then considered whether the personal information, including Ms. Bischoff's opinion of Mr. Harrison, was disclosed in a manner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permits. In that regard,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the disclosed information was obtained under the authority of the CFCSA.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requirement is that the disclosure of the information was "necessary to ensure the safety and well-being of a child". As I have mentioned before, the language of legislation is purposeful and, in my opinion, the legislative intent behind this provision is to permit disclosure of certain information where that could reasonably result in mitigation or removal of risk to a child's current or future safety and well-being. While our office certainly does not have the expertise to determine whether, in these particular circumstances, the safety and well-being of the child in question was at risk, it is helpful to examine MCFD's reasoning for using s. 79(a) as its authority to disclose your personal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to me that the first time that MCFD raised the issue of s. 79(a) was in a February 8, 2007 letter from Chris Jones to Portfolio Officer Tully. Mr. Jones did not raise this issue in his November 21, 2006 letter to you and Mr. McNeill did not mention it in his June 22, 2006 Formal Review. The fact that s. 79(a) was raised after the fact has called into question the consistency of MCFD's argument that they were authorized to disclose your personal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part of this investigation, I asked MCFD to confirm whether or not it continued to claim that disclosure was authorized under s. 79(a). MCFD responded that its position was that the two consents you provided constituted proper authorization for disclosure, however, the resource worker was also authorized to disclose this information without consent under s. 79(a) of the CFCSA. MCFD also confirmed that the resource worker was properly delegated under the CFCSA and thus had the necessary statutory authority as a "director" to disclose personal information under s. 79(a).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MCFD's stated reliance on s. 79(a) after the fact does not mean that such reliance is invalid or that MCFD was covering up any deficiency in the previous consents. In my view, it is likely that MCFD social workers are disclosing personal information under s. 79(a) on a daily basis, and they are authorized to do so when necessary, in order to properly discharge the duties imposed on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asked MCFD to explain the process that led the resource worker to conclude that there was enough potential risk to ask that Access House supervise your work with the youth. As I outlined above, according to the resource worker, the [assessment] file did not adequately explain why no investigation took place and why the file was closed as "no case made". The homestudy in the [resource] file did not contain a PCC or a review of the [assessment] file as she expected and as she believed it should have. The resource worker took this information to her supervisor and, after discussing the matter, they decided that a comprehensive review of the [assessment] file was required. They decided to pass on their concerns to Access House and suggested that you be supervised in your position until their review was complete.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have said, our office does not have the expertise to determine whether the safety or well-being of the child in this case was in fact at risk. However, based on the above information, I am satisfied that the resource worker acted in good faith; that she followed the proper procedures by consulting with her supervisor in coming to this decision; that the decision was made after weighing the privacy issues against the child's safety or well-being; and that the resource worker's decision was consistent with the guiding principles of the CFCSA.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s. 79(a) of the CFCSA authorized the resource worker to disclose your personal information, including her professional opinion about you, to Access House without your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author stated his conclusions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findings in this case may be summarized as follows: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MCFD was authorized under s. 33.1(1)(b) of FIPPA to disclose to Access House information contained in your [assessment] and [resource] files. With respect to the factual information released to Access House all the necessary tests were met.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MCFD was not authorized under 33.1.(1)(b) of FIPPA to disclose the resource worker's opinion about you to Access House. You did not "identify" the resource worker's opinion as information to be disclosed and so this part of the test was not met.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MCFD was authorized under s. 79(a) of the CFCSA to disclose the resource worker's opinions about you to Access House without your consent. The resource worker acted in good faith in reaching a decision to disclose your personal information without your consent.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 find your complaint that MCFD breached the privacy provisions of FIPPA by disclosing your personal information to Access House unsubstantiated.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Analysis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FIPPA, CFCSA and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the context of the background I have outlined, the question that the Court must answer is whether the Commissioner's determination that Mr. Harrison's claim that the MCFD breached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is unsubstantiated is amenable to judicial review. The answer requires consideration of the legislative schemes embodied in each of the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JRPA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the course of his submissions, written and oral, Mr. Harrison argued that Part 2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was relevant to the assessment of his claim. In my view that is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grants the public at large the right to make a request to obtain access to a "record" in the custody or control of a public body. A record is a defined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"record" includes books, documents, maps, drawings, photographs, letters, vouchers, papers and any other thing on which information is recorded or stored by graphic, electronic, mechanical or other means but does not include a computer program or any other mechanism that produces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Part 2 sets forth the procedure a person must follow when making a request for access to information, and the nature and extent of the public body's obligation to respond. It also contains provisions designed to prevent the disclosure of personal information to an applicant if the disclosure would be an unreasonable invasion of a third party's personal privacy. In my opinion, Part 2 is not intended to govern situations that are not reasonably to be regarded as requests for access to a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Part 3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makes provision for the collection of "personal information" and the protection of an individual's privacy in respect of that information. Personal information is defined to mean recorded information about an identifiable individual other than contact information. It is Part 3 that is relevant in this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 schedule to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contains the relevant defined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information" means recorded information about an identifiable individual other than contact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"contact information" means information to enable an individual at a place of business to be contacted and includes the name, position, or title, business telephone number, business address, business email or business fax number of the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most relevant of the provisions in Part 3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Accuracy of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individual's personal information is in the custody or under the control of a public body,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information will be used by or on behalf of the public body to make a decision that directly affects the individual,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public body must make every reasonable effort to ensure that the personal information is accurate and complete.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Unauthorized disclosure prohibited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30.4 A person referred to in section 31.1 who has access, whether authorized or unauthorized, to personal information in the custody or control of a public body, must not disclose that information except as authorized under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Application to employees and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31.1 The requirements and restrictions established by this Part also apply to</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employees, officers and directors of a public body,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an employee that is a service provider, all employees and associates of the service provider.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Use of personal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A public body must ensure that personal information in its custody or under its control is used only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for which that information was obtained or compiled, or for a use consistent with that purpose (see section 34),</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individual the information is about has identified the information and has consented, in the prescribed manner, to the use, or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purpose for which that information may be disclosed to that public body under sections 33 to 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Disclosure inside or outside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33.1(1) A public body may disclose personal information referred to in section 33 inside or outside Canada as follows: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Part 2;</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individual the information is about has identified the information and consented, in the prescribed manner, to its disclosure inside or outside Canada, as applicable;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an enactment of British Columbia or Canada that authorizes or requires its disclosure;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Disclosure inside Canada only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33.2 A public body may disclose personal information referred to in section 33 inside Canada as follows:</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for which it was obtained or compiled or for a use consistent with that purpose (see section 34);</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comply with a subpoena, warrant or order issued or made by a court, person or body in Canada with jurisdiction to compel the production of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an officer or employee of a public body or to a minister, if the information is necessary for the delivery of a common or integrated program or activity and for the performance of the duties of the officer, employee or minister to whom the information is disclosed;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Definition of consistent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34(1) A use of personal information is consistent under section 32 or 33.2 with the purposes for which the information was obtained or compiled if the use</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a reasonable and direct connection to that purpose, and</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necessary for performing the statutory duties of, or for operating a legally authorized program of, the public body that uses or discloses the information or causes the information to be used or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Part 4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pertains to the office and powers of the Commissioner. In relation to the Commissioner's powers, the following provisions are relevant in this instance: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42(1) In addition to the commissioner's powers and duties under Part 5 with respect to reviews, the commissioner is generally responsible for monitoring how this Act is administered to ensure that its purposes are achieved, and may</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investigations and audits to ensure compliance with any provision of this Act,</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 order described in section 58(3), whether the order results from an investigation or audit under paragraph (a) or an inquiry under section 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Without limiting subsection (1), the commissioner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may investigate and attempt to resolve complaints that</w:t>
      </w:r>
      <w:r>
        <w:rPr>
          <w:rFonts w:ascii="arial" w:eastAsia="arial" w:hAnsi="arial" w:cs="arial"/>
          <w:sz w:val="20"/>
          <w:lang w:val="en-US" w:eastAsia="en-US" w:bidi="ar-SA"/>
        </w:rPr>
        <w:cr/>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imposed under this Act has not been performed,</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extension of time for responding to a request is not in accordance with section 10(1),</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fee required under this Act is inappropriate,</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correction of personal information requested under section 29(1) has been refused without justification, and</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information has been collected, used or disclosed in contravention of Part 3 by</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body or an employee, officer or director of a public body, or</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employee or associate of a service provider.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Part 5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governs reviews and complaints. The relevant provisions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58(3) If the inquiry is into any other matter, the commissioner may, by order, do one or more of the following:</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that a duty imposed by this Act or the regulations has been performed or require that a duty imposed under this Act be performed;</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or reduce the extension of a time limit under section 10(1);</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excuse or reduce a fee, or order a refund, in the appropriate circumstances, including if a time limit is not met;</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 a decision not to correct personal information or specify how personal information is to be corrected;</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a public body or service provider to stop collecting, using or disclosing personal information in contravention of this Act, or confirm a decision of a public body or service provider to collect, use or disclose personal information;</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the head of a public body to destroy personal information collected in contravention of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Finally, Part 6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Protection of public body from legal 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No action lies and no proceeding may be brought against the government, a public body, the head of a public body, an elected official of a public body or any person acting on behalf of or under the direction of the head of a public body for damages resulting from</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disclosure, or failure to disclose, in good faith of all or part of a record under this Act or any consequences of that disclosure or failure to disclose, or</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give any notice required under this Act if reasonable care is taken to give the required notice.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CFCSA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relevant provisions of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for present purposes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74(1) Sections 74 to 79 apply despite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purpose of its application to this Act,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is deemed to be modified as follows:</w:t>
      </w:r>
    </w:p>
    <w:p>
      <w:pPr>
        <w:numPr>
          <w:numId w:val="5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reference to "head" includes, with respect to a record, the director who has custody or control;</w:t>
      </w:r>
    </w:p>
    <w:p>
      <w:pPr>
        <w:numPr>
          <w:numId w:val="5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reference to "public body", where a power, function or duty is not conferred on the head of the same public body, includes, with respect to a record, the director who has custody or control;</w:t>
      </w:r>
    </w:p>
    <w:p>
      <w:pPr>
        <w:numPr>
          <w:numId w:val="5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for a public body to collect personal information indirectly under section 27(1)(b) includes the authority to collect personal information indirectly when the information may be disclosed to the public body under section 79 of this Act;</w:t>
      </w:r>
    </w:p>
    <w:p>
      <w:pPr>
        <w:numPr>
          <w:numId w:val="5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authority for a public body to use personal information under section 32(c) includes the authority to use personal information for a purpose for which that information may be disclosed to the public body under section 79 of this Act;</w:t>
      </w:r>
    </w:p>
    <w:p>
      <w:pPr>
        <w:numPr>
          <w:numId w:val="5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provisions of sections 33.1 and 33.2 that apply to a director are the following:</w:t>
      </w:r>
    </w:p>
    <w:p>
      <w:pPr>
        <w:numPr>
          <w:numId w:val="5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33.1(1)(a) [</w:t>
      </w:r>
      <w:r>
        <w:rPr>
          <w:rFonts w:ascii="arial" w:eastAsia="arial" w:hAnsi="arial" w:cs="arial"/>
          <w:i/>
          <w:color w:val="000000"/>
          <w:sz w:val="20"/>
          <w:lang w:val="en-US" w:eastAsia="en-US" w:bidi="ar-SA"/>
        </w:rPr>
        <w:t>in accordance with Part 2 of the Act</w:t>
      </w:r>
      <w:r>
        <w:rPr>
          <w:rFonts w:ascii="arial" w:eastAsia="arial" w:hAnsi="arial" w:cs="arial"/>
          <w:color w:val="000000"/>
          <w:sz w:val="20"/>
          <w:lang w:val="en-US" w:eastAsia="en-US" w:bidi="ar-SA"/>
        </w:rPr>
        <w:t>];</w:t>
      </w:r>
    </w:p>
    <w:p>
      <w:pPr>
        <w:numPr>
          <w:numId w:val="5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33.1(1)(b) [</w:t>
      </w:r>
      <w:r>
        <w:rPr>
          <w:rFonts w:ascii="arial" w:eastAsia="arial" w:hAnsi="arial" w:cs="arial"/>
          <w:i/>
          <w:color w:val="000000"/>
          <w:sz w:val="20"/>
          <w:lang w:val="en-US" w:eastAsia="en-US" w:bidi="ar-SA"/>
        </w:rPr>
        <w:t>individual consent</w:t>
      </w:r>
      <w:r>
        <w:rPr>
          <w:rFonts w:ascii="arial" w:eastAsia="arial" w:hAnsi="arial" w:cs="arial"/>
          <w:color w:val="000000"/>
          <w:sz w:val="20"/>
          <w:lang w:val="en-US" w:eastAsia="en-US" w:bidi="ar-SA"/>
        </w:rPr>
        <w:t>];</w:t>
      </w:r>
    </w:p>
    <w:p>
      <w:pPr>
        <w:numPr>
          <w:numId w:val="5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33.1(1)(o) [</w:t>
      </w:r>
      <w:r>
        <w:rPr>
          <w:rFonts w:ascii="arial" w:eastAsia="arial" w:hAnsi="arial" w:cs="arial"/>
          <w:i/>
          <w:color w:val="000000"/>
          <w:sz w:val="20"/>
          <w:lang w:val="en-US" w:eastAsia="en-US" w:bidi="ar-SA"/>
        </w:rPr>
        <w:t>archival and historical purposes</w:t>
      </w:r>
      <w:r>
        <w:rPr>
          <w:rFonts w:ascii="arial" w:eastAsia="arial" w:hAnsi="arial" w:cs="arial"/>
          <w:color w:val="000000"/>
          <w:sz w:val="20"/>
          <w:lang w:val="en-US" w:eastAsia="en-US" w:bidi="ar-SA"/>
        </w:rPr>
        <w:t>];</w:t>
      </w:r>
    </w:p>
    <w:p>
      <w:pPr>
        <w:numPr>
          <w:numId w:val="5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33.2 (j) [</w:t>
      </w:r>
      <w:r>
        <w:rPr>
          <w:rFonts w:ascii="arial" w:eastAsia="arial" w:hAnsi="arial" w:cs="arial"/>
          <w:i/>
          <w:color w:val="000000"/>
          <w:sz w:val="20"/>
          <w:lang w:val="en-US" w:eastAsia="en-US" w:bidi="ar-SA"/>
        </w:rPr>
        <w:t>in Canada - archives</w:t>
      </w:r>
      <w:r>
        <w:rPr>
          <w:rFonts w:ascii="arial" w:eastAsia="arial" w:hAnsi="arial" w:cs="arial"/>
          <w:color w:val="000000"/>
          <w:sz w:val="20"/>
          <w:lang w:val="en-US" w:eastAsia="en-US" w:bidi="ar-SA"/>
        </w:rPr>
        <w:t>];</w:t>
      </w:r>
    </w:p>
    <w:p>
      <w:pPr>
        <w:numPr>
          <w:numId w:val="5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33.2 (k) [</w:t>
      </w:r>
      <w:r>
        <w:rPr>
          <w:rFonts w:ascii="arial" w:eastAsia="arial" w:hAnsi="arial" w:cs="arial"/>
          <w:i/>
          <w:color w:val="000000"/>
          <w:sz w:val="20"/>
          <w:lang w:val="en-US" w:eastAsia="en-US" w:bidi="ar-SA"/>
        </w:rPr>
        <w:t>in Canada - research</w:t>
      </w:r>
      <w:r>
        <w:rPr>
          <w:rFonts w:ascii="arial" w:eastAsia="arial" w:hAnsi="arial" w:cs="arial"/>
          <w:color w:val="000000"/>
          <w:sz w:val="20"/>
          <w:lang w:val="en-US" w:eastAsia="en-US" w:bidi="ar-SA"/>
        </w:rPr>
        <w:t>];</w:t>
      </w:r>
    </w:p>
    <w:p>
      <w:pPr>
        <w:numPr>
          <w:numId w:val="5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powers of the commissioner apply to the exercise of a director's powers, duties and functions under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subject to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Disclosure of information restricted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A person must not disclose information obtained under this Act, except in accordance with</w:t>
      </w:r>
    </w:p>
    <w:p>
      <w:pPr>
        <w:numPr>
          <w:numId w:val="5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24, or</w:t>
      </w:r>
    </w:p>
    <w:p>
      <w:pPr>
        <w:numPr>
          <w:numId w:val="5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subject to section 74.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A director may, without the consent of any person, disclose information obtained under this Act if the disclosure is</w:t>
      </w:r>
    </w:p>
    <w:p>
      <w:pPr>
        <w:numPr>
          <w:numId w:val="5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necessary to ensure the safety or well-being of a child,</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JRPA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relevant provisions of </w:t>
      </w:r>
      <w:r>
        <w:rPr>
          <w:rFonts w:ascii="arial" w:eastAsia="arial" w:hAnsi="arial" w:cs="arial"/>
          <w:b/>
          <w:i/>
          <w:color w:val="000000"/>
          <w:sz w:val="20"/>
          <w:lang w:val="en-US" w:eastAsia="en-US" w:bidi="ar-SA"/>
        </w:rPr>
        <w:t>JRPA</w:t>
      </w:r>
      <w:r>
        <w:rPr>
          <w:rFonts w:ascii="arial" w:eastAsia="arial" w:hAnsi="arial" w:cs="arial"/>
          <w:color w:val="000000"/>
          <w:sz w:val="20"/>
          <w:lang w:val="en-US" w:eastAsia="en-US" w:bidi="ar-SA"/>
        </w:rPr>
        <w:t xml:space="preserve"> for present purposes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Application for Judicial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An application for judicial review is an originating application and must be brought by petition.</w:t>
      </w:r>
    </w:p>
    <w:p>
      <w:pPr>
        <w:numPr>
          <w:numId w:val="5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for judicial review, the court may grant any relief that the applicant would be entitled to in any one or more of the proceedings for:</w:t>
      </w:r>
    </w:p>
    <w:p>
      <w:pPr>
        <w:numPr>
          <w:numId w:val="6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relief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prohibition or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w:t>
      </w:r>
    </w:p>
    <w:p>
      <w:pPr>
        <w:numPr>
          <w:numId w:val="6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or injunction, or both, in relation to the exercise, refusal to exercise, or proposed or purported exercise, of a statutory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Definitions</w:t>
      </w:r>
    </w:p>
    <w:p>
      <w:pPr>
        <w:numPr>
          <w:numId w:val="6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statutory power</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means a power or right conferred by an enactment</w:t>
      </w:r>
    </w:p>
    <w:p>
      <w:pPr>
        <w:numPr>
          <w:numId w:val="6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make a regulation, rule, bylaw or order,</w:t>
      </w:r>
    </w:p>
    <w:p>
      <w:pPr>
        <w:numPr>
          <w:numId w:val="6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exercise a statutory power of decision,</w:t>
      </w:r>
    </w:p>
    <w:p>
      <w:pPr>
        <w:numPr>
          <w:numId w:val="6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require a person to do or to refrain from doing an act or thing that, but for that requirement, the person would not be required by law to do or to refrain from doing,</w:t>
      </w:r>
    </w:p>
    <w:p>
      <w:pPr>
        <w:numPr>
          <w:numId w:val="6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do an act or thing that would, but for that power or right, be a breach of a legal right of any person, or</w:t>
      </w:r>
    </w:p>
    <w:p>
      <w:pPr>
        <w:numPr>
          <w:numId w:val="6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make an investigation or inquiry into a person's legal right, power, privilege, immunity, duty or liability;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statutory power of decision</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means a power or right conferred by an enactment to make a decision deciding or prescribing</w:t>
      </w:r>
    </w:p>
    <w:p>
      <w:pPr>
        <w:numPr>
          <w:numId w:val="6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rights, powers, privileges, immunities, duties or liabilities of a person, or</w:t>
      </w:r>
    </w:p>
    <w:p>
      <w:pPr>
        <w:numPr>
          <w:numId w:val="6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eligibility of a person to receive, or to continue to receive, a benefit or licence, whether or not the person is legally entitled to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includes the powers of the Provincial Court;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The Relationship Between FIPPA and CFCSA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At the hearing on December 21, 2007, counsel submitted that the Commissioner had the authority to investigate Mr. Harrison's complaint that Ms. Bischoff had improperly disclosed personal information contrary to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At the resumption of the hearing on March 12, 2008, counsel resiled from that position and submitted that because of s. 74(2)(e) and (f) of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the Commissioner did not have such authority. Counsel stated that when it undertook the Harrison investigations, the Commissioner's office was not aware that the amendment to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effective January 16, 2006 had removed the investigative power that it once possessed in relation to decisions of a director under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Until January 16, 2006, s. 75 and s. 89(2) and (6)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A person must not disclose information obtained under this Act except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section 76 to a person who has a right of access to a record, or</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section 78 or 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89(2) A person may ask the Information and Privacy Commissioner to review a complaint that information relating to the person has been disclosed in contravention to section 75.</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complaint that a director has disclosed information in contravention of section 75 is reviewed, the Information and Privacy Commissioner may order the director to stop disclosing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do not find the effect of the amendments to be that urged by counsel. Were the interpretation counsel suggested to prevail, there would be no means to investigate or review a director's compliance with the access and privacy provisions contained in s. 74 to 79 of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makes no provision for review. If there were such a procedure, and the director were to have the powers of the Commissioner under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as counsel suggested, the director would be in the invidious position of having to review the propriety of his or her own actions to ensure they complied with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That cannot have been the legislature's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my opinion the only effect of s. 74 to 79 of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is to override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in certain respects. By virtue of s. 74, some of the constraints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imposes do not apply for purposes of the accumulation and disclosure of information under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Nonetheless in the event of a complaint under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that relates to the accumulation, use or disclosure of information obtained for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purposes, the complaint must be made to the Commissioner who, in the event an investigation ensues, is obliged to respect the fact that a director acting under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has been granted powers in respect of the accumulation and disclosure of information that other public authorities do not enjoy. That is the reasonable interpretation of s. 74(2)(f) which provides that the supervisory and investigatory powers of the Commissioner under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apply in respect of the exercise of the powers, duties or functions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confers on a director, but the Commissioner must exercise that supervisory role with due regard for the rights s. 74 to 79 of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accord a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my opinion nothing in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required the Commissioner to refrain from investigating Mr. Harrison's complaint regarding the information Ms. Bischoff disclosed in purported reliance on s. 79(a) of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As is apparent from s. 42(1)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the Commissioner is "generally responsible for monitoring how this Act is administered to ensure that its purposes are achieved". Section 42(2) provides that the remedial powers conferred upon the Commissioner in relation to an investigation are those outlined in s. 58(3). One of the possible remedies is the power conferred by s. 58(3)(b) to require that a duty imposed under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be performed. Another is the power conferred by s. 58(3)(e) to require a public body or service provider to stop using or disclosing information in contravention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In the event the Commissioner proposes to resort to either remedy as a result of a complaint regarding a director under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he must have regard for the nature of the powers of s. 74 to 79 of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confer on a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this case, the Commissioner focused on Mr. Harrison's complaint that personal information had been disclosed without his consent. In conducting his investigation, the Commissioner was exercising a statutory power within the meaning of </w:t>
      </w:r>
      <w:r>
        <w:rPr>
          <w:rFonts w:ascii="arial" w:eastAsia="arial" w:hAnsi="arial" w:cs="arial"/>
          <w:b/>
          <w:i/>
          <w:color w:val="000000"/>
          <w:sz w:val="20"/>
          <w:lang w:val="en-US" w:eastAsia="en-US" w:bidi="ar-SA"/>
        </w:rPr>
        <w:t>JRPA</w:t>
      </w:r>
      <w:r>
        <w:rPr>
          <w:rFonts w:ascii="arial" w:eastAsia="arial" w:hAnsi="arial" w:cs="arial"/>
          <w:color w:val="000000"/>
          <w:sz w:val="20"/>
          <w:lang w:val="en-US" w:eastAsia="en-US" w:bidi="ar-SA"/>
        </w:rPr>
        <w:t xml:space="preserve">. He was exercising a power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confers to make an investigation into Mr. Harrison's legal rights, privilege, immunity, duty or liability within the meaning of s. 1 of </w:t>
      </w:r>
      <w:r>
        <w:rPr>
          <w:rFonts w:ascii="arial" w:eastAsia="arial" w:hAnsi="arial" w:cs="arial"/>
          <w:b/>
          <w:i/>
          <w:color w:val="000000"/>
          <w:sz w:val="20"/>
          <w:lang w:val="en-US" w:eastAsia="en-US" w:bidi="ar-SA"/>
        </w:rPr>
        <w:t>JRPA</w:t>
      </w:r>
      <w:r>
        <w:rPr>
          <w:rFonts w:ascii="arial" w:eastAsia="arial" w:hAnsi="arial" w:cs="arial"/>
          <w:color w:val="000000"/>
          <w:sz w:val="20"/>
          <w:lang w:val="en-US" w:eastAsia="en-US" w:bidi="ar-SA"/>
        </w:rPr>
        <w:t>. However, in my opinion the focus of the investigation was inappropriately narrow.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Harrison's termination did not result from the disclosure of personal information relating to him. The record does not identify any evidence before the Commissioner to suggest that Access House declined to continue Mr. Harrison's employment because of the contents of the assessment file. Indeed, there was no reasonably objective basis from which one could form the subjective opinion that Mr. Harrison had been, or ever would be, a threat to anyone by reference to the content of the assessment file. That was the conclusion the intake officer reached and the reason for taking no further action on the complaint when it was received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Access House acted as it did in relation to Mr. Harrison because Ms. Bischoff used the information in the assessment file and relied on it to form an opinion in 2006 that Mr. Harrison should be supervised because it would be unsafe to place him in a one-on-one situation with children. The basis for her opinion was what her predecessors had determined to be unreliable information. She expressed her opinion to Access House officials who acted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There is nothing in the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material, the Commissioner's material, or Ms. Bischoff's own explanation of her conduct to suggest that she took any step, let alone any reasonable step, to confirm the reliability of the information in the file on which she based the opinion that she communicated to Access House, and on which Access House relied for the purposes of terminating Mr. Harrison's employment. In doing so, Ms. Bischoff breached the duty s. 28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imposes upon her, namely: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individual's personal information is in the custody or under the control of a public body,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information will be used by or on behalf of the public body to make a decision that directly affects the individual,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public body must make every reasonable effort to ensure that the personal information is accurate and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No provision of s. 74 to 79 of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overrides s. 28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The opinion of which Ms. Bischoff informed Access House is not a record, nor is it personal information within the meaning of either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Her opinion was not information obtained under any provision of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Rather, her opinion was derived from the use of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Had the Commissioner analyzed the substance of Mr. Harrison's complaint in the entire context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as he was obliged to do once he had exercised his discretion to investigate the Harrison complaint, and had the Commissioner directed his mind to the question of whether a director of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had, to the extent reasonably possible, determined that the personal information relating to Mr. Harrison was reliable, he may have concluded that it was appropriate to make an order under s. 58(3). Alternatively, or in addition, the Commissioner may have concluded that it was appropriate to make an order requiring the unverified and unreliable personal information pertaining to Mr. Harrison to be expunged from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files or otherwise managed in order to ensure it would not be at risk of use or disclosure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 retrospective finding that the MCFD had not made reasonable efforts to ensure that the personal information was reliable is of doubtful value. An order requiring the personal information to be expunged on the grounds that it was unreliable might be of some assistance, but it would provide little solace to Mr. Harrison in so far as the termination of his employment was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provisions of the </w:t>
      </w:r>
      <w:r>
        <w:rPr>
          <w:rFonts w:ascii="arial" w:eastAsia="arial" w:hAnsi="arial" w:cs="arial"/>
          <w:b/>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do not apply to the Office of the Commissioner. The standard or review must therefore be determined by reference to the common law. In my opinion the conclusions the Commissioner reached with respect to the accumulation, use and disclosure of personal information must be correct. Reasonableness is not the appropriate standard. There is too much at stake in the context of damage to personal reputation to permit any other conclusion. The consequences of an incorrect decision may severely and inappropriately affect a complainant's career as in this case. In the face of such adverse consequences, the Commissioner's decision warrants little deference.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That correctness rather than reasonableness is the lens through which the Commissioner's actions and ruling in this case must be observed is further supported by the fact that there is no privative clause in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it is not apparent that the Commissioner has special expertise of a kind that should discourage judicial intervention, and the nature of the question, which is one of law, or at worst one of mixed law and fact, strikes at the core of personal rights and the need to ensure their protection in the face of legislation such as that embodied in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[2008] S.C.J. No. 9</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Commissioner's decision of September 17, 2007 that Ms. Bischoff and the MCFD did nothing inappropriate in relation to Mr. Harrison resulted from an improper characterization of the issue. It cannot stand as approbation of Ms. Bischoff's conduct. I am satisfied the ruling should be and it is hereby quashed.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As I have remarked, it is not obvious that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can provide any meaningful or effective remedy insofar as Mr. Harrison is concerned. At the same time, having exercised his discretion to review the Harrison complaint, the Commissioner should now be required to consider whether the circumstances are such that he should order that the personal information in the Harrison assessment file, and any references to it in any other </w:t>
      </w:r>
      <w:r>
        <w:rPr>
          <w:rFonts w:ascii="arial" w:eastAsia="arial" w:hAnsi="arial" w:cs="arial"/>
          <w:b/>
          <w:i/>
          <w:color w:val="000000"/>
          <w:sz w:val="20"/>
          <w:lang w:val="en-US" w:eastAsia="en-US" w:bidi="ar-SA"/>
        </w:rPr>
        <w:t>CFCSA</w:t>
      </w:r>
      <w:r>
        <w:rPr>
          <w:rFonts w:ascii="arial" w:eastAsia="arial" w:hAnsi="arial" w:cs="arial"/>
          <w:color w:val="000000"/>
          <w:sz w:val="20"/>
          <w:lang w:val="en-US" w:eastAsia="en-US" w:bidi="ar-SA"/>
        </w:rPr>
        <w:t xml:space="preserve"> file, be expunged, or its use otherwise restrained because of s. 28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Accordingly, I remit the matter to the Commissioner for reconsideration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court is not denied the jurisdiction to grant an order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solely because the Commissioner's power to investigate is discretionary. The Federal Court of Appeal described the principles that apply in the circumstances in </w:t>
      </w:r>
      <w:r>
        <w:rPr>
          <w:rFonts w:ascii="arial" w:eastAsia="arial" w:hAnsi="arial" w:cs="arial"/>
          <w:b/>
          <w:i/>
          <w:color w:val="000000"/>
          <w:sz w:val="20"/>
          <w:lang w:val="en-US" w:eastAsia="en-US" w:bidi="ar-SA"/>
        </w:rPr>
        <w:t>Apotex Inc. v. Canada (Attorney General)</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[1994] 1 F.C. 742</w:t>
        </w:r>
      </w:hyperlink>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51 C.P.R. (3d) 339</w:t>
        </w:r>
      </w:hyperlink>
      <w:r>
        <w:rPr>
          <w:rFonts w:ascii="arial" w:eastAsia="arial" w:hAnsi="arial" w:cs="arial"/>
          <w:color w:val="000000"/>
          <w:sz w:val="20"/>
          <w:lang w:val="en-US" w:eastAsia="en-US" w:bidi="ar-SA"/>
        </w:rPr>
        <w:t xml:space="preserve"> in the following terms:</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duty sought to be enforced is discretionary, the following rules apply:</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exercising a discretion, the decision-maker must not act in a manner which can be characterized as "unfair", "oppressive" or demonstrate "flagrant impropriety" or "bad faith";</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mandamus is unavailable if the decision-maker's discretion is characterized as being "unqualified", "absolute", "permissive" or "unfettered";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a "fettered" discretion, the decision-maker must act upon "relevant", as opposed to "irrelevant", considerations;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mandamus is unavailable to compel the exercise of a "fettered discretion" in a particular way;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mandamus is only available when the decision-maker's discretion is "spent"; i.e., the applicant has a vested right to the performance of the duty.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Restrictive Trade Practices Commission v. Director of Investigation and Research, Combines Investigation Act</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[1983] 2 F.C. 222</w:t>
        </w:r>
      </w:hyperlink>
      <w:r>
        <w:rPr>
          <w:rFonts w:ascii="arial" w:eastAsia="arial" w:hAnsi="arial" w:cs="arial"/>
          <w:color w:val="000000"/>
          <w:sz w:val="20"/>
          <w:lang w:val="en-US" w:eastAsia="en-US" w:bidi="ar-SA"/>
        </w:rPr>
        <w:t xml:space="preserve"> (C.A); revg </w:t>
      </w:r>
      <w:hyperlink r:id="rId424" w:history="1">
        <w:r>
          <w:rPr>
            <w:rFonts w:ascii="arial" w:eastAsia="arial" w:hAnsi="arial" w:cs="arial"/>
            <w:i/>
            <w:color w:val="0077CC"/>
            <w:sz w:val="20"/>
            <w:u w:val="single"/>
            <w:shd w:val="clear" w:color="auto" w:fill="FFFFFF"/>
            <w:lang w:val="en-US" w:eastAsia="en-US" w:bidi="ar-SA"/>
          </w:rPr>
          <w:t>[1983] 1 F.C. 520</w:t>
        </w:r>
      </w:hyperlink>
      <w:r>
        <w:rPr>
          <w:rFonts w:ascii="arial" w:eastAsia="arial" w:hAnsi="arial" w:cs="arial"/>
          <w:color w:val="000000"/>
          <w:sz w:val="20"/>
          <w:lang w:val="en-US" w:eastAsia="en-US" w:bidi="ar-SA"/>
        </w:rPr>
        <w:t xml:space="preserve"> (T.D.); </w:t>
      </w:r>
      <w:r>
        <w:rPr>
          <w:rFonts w:ascii="arial" w:eastAsia="arial" w:hAnsi="arial" w:cs="arial"/>
          <w:i/>
          <w:color w:val="000000"/>
          <w:sz w:val="20"/>
          <w:lang w:val="en-US" w:eastAsia="en-US" w:bidi="ar-SA"/>
        </w:rPr>
        <w:t>Carota v. Jamieson, supra; Apotex Inc. v. Canada (Attorney General) et al., supra; Maple Lodge Farms Ltd. v. Government of Canada</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[1980] 2 F.C. 458</w:t>
        </w:r>
      </w:hyperlink>
      <w:r>
        <w:rPr>
          <w:rFonts w:ascii="arial" w:eastAsia="arial" w:hAnsi="arial" w:cs="arial"/>
          <w:color w:val="000000"/>
          <w:sz w:val="20"/>
          <w:lang w:val="en-US" w:eastAsia="en-US" w:bidi="ar-SA"/>
        </w:rPr>
        <w:t xml:space="preserve"> (T.D.); affd </w:t>
      </w:r>
      <w:hyperlink r:id="rId426" w:history="1">
        <w:r>
          <w:rPr>
            <w:rFonts w:ascii="arial" w:eastAsia="arial" w:hAnsi="arial" w:cs="arial"/>
            <w:i/>
            <w:color w:val="0077CC"/>
            <w:sz w:val="20"/>
            <w:u w:val="single"/>
            <w:shd w:val="clear" w:color="auto" w:fill="FFFFFF"/>
            <w:lang w:val="en-US" w:eastAsia="en-US" w:bidi="ar-SA"/>
          </w:rPr>
          <w:t>[1981] 1 F.C. 500</w:t>
        </w:r>
      </w:hyperlink>
      <w:r>
        <w:rPr>
          <w:rFonts w:ascii="arial" w:eastAsia="arial" w:hAnsi="arial" w:cs="arial"/>
          <w:color w:val="000000"/>
          <w:sz w:val="20"/>
          <w:lang w:val="en-US" w:eastAsia="en-US" w:bidi="ar-SA"/>
        </w:rPr>
        <w:t xml:space="preserve"> (C.A.); affd </w:t>
      </w:r>
      <w:hyperlink r:id="rId427" w:history="1">
        <w:r>
          <w:rPr>
            <w:rFonts w:ascii="arial" w:eastAsia="arial" w:hAnsi="arial" w:cs="arial"/>
            <w:i/>
            <w:color w:val="0077CC"/>
            <w:sz w:val="20"/>
            <w:u w:val="single"/>
            <w:shd w:val="clear" w:color="auto" w:fill="FFFFFF"/>
            <w:lang w:val="en-US" w:eastAsia="en-US" w:bidi="ar-SA"/>
          </w:rPr>
          <w:t>[1982] 2 S.C.R.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Jefford v. Canada, </w:t>
      </w:r>
      <w:hyperlink r:id="rId428" w:history="1">
        <w:r>
          <w:rPr>
            <w:rFonts w:ascii="arial" w:eastAsia="arial" w:hAnsi="arial" w:cs="arial"/>
            <w:i/>
            <w:color w:val="0077CC"/>
            <w:sz w:val="20"/>
            <w:u w:val="single"/>
            <w:shd w:val="clear" w:color="auto" w:fill="FFFFFF"/>
            <w:lang w:val="en-US" w:eastAsia="en-US" w:bidi="ar-SA"/>
          </w:rPr>
          <w:t>[1988] F.C.J. No. 22</w:t>
        </w:r>
      </w:hyperlink>
      <w:r>
        <w:rPr>
          <w:rFonts w:ascii="arial" w:eastAsia="arial" w:hAnsi="arial" w:cs="arial"/>
          <w:i/>
          <w:color w:val="000000"/>
          <w:sz w:val="20"/>
          <w:lang w:val="en-US" w:eastAsia="en-US" w:bidi="ar-SA"/>
        </w:rPr>
        <w:t>, supra; Merck &amp; Co. Inc. v. Sherman &amp; Ulster Ltd., Attorney-General of Canada, Intervenant</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(1971), 65 C.P.R. 1</w:t>
        </w:r>
      </w:hyperlink>
      <w:r>
        <w:rPr>
          <w:rFonts w:ascii="arial" w:eastAsia="arial" w:hAnsi="arial" w:cs="arial"/>
          <w:color w:val="000000"/>
          <w:sz w:val="20"/>
          <w:lang w:val="en-US" w:eastAsia="en-US" w:bidi="ar-SA"/>
        </w:rPr>
        <w:t xml:space="preserve"> (Ex. Ct.); appeal dismissed </w:t>
      </w:r>
      <w:hyperlink r:id="rId430" w:history="1">
        <w:r>
          <w:rPr>
            <w:rFonts w:ascii="arial" w:eastAsia="arial" w:hAnsi="arial" w:cs="arial"/>
            <w:i/>
            <w:color w:val="0077CC"/>
            <w:sz w:val="20"/>
            <w:u w:val="single"/>
            <w:shd w:val="clear" w:color="auto" w:fill="FFFFFF"/>
            <w:lang w:val="en-US" w:eastAsia="en-US" w:bidi="ar-SA"/>
          </w:rPr>
          <w:t>[1972] S.C.J. No. 18</w:t>
        </w:r>
      </w:hyperlink>
      <w:r>
        <w:rPr>
          <w:rFonts w:ascii="arial" w:eastAsia="arial" w:hAnsi="arial" w:cs="arial"/>
          <w:color w:val="000000"/>
          <w:sz w:val="20"/>
          <w:lang w:val="en-US" w:eastAsia="en-US" w:bidi="ar-SA"/>
        </w:rPr>
        <w:t xml:space="preserve">, [1972] S.C.R. vi; </w:t>
      </w:r>
      <w:r>
        <w:rPr>
          <w:rFonts w:ascii="arial" w:eastAsia="arial" w:hAnsi="arial" w:cs="arial"/>
          <w:i/>
          <w:color w:val="000000"/>
          <w:sz w:val="20"/>
          <w:lang w:val="en-US" w:eastAsia="en-US" w:bidi="ar-SA"/>
        </w:rPr>
        <w:t>Distribution Canada Inc. v. M.N.R., supra; and Kahlon v. Canada (Minister of Employment and Immigration)</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[1986] 3 F.C. 386</w:t>
        </w:r>
      </w:hyperlink>
      <w:r>
        <w:rPr>
          <w:rFonts w:ascii="arial" w:eastAsia="arial" w:hAnsi="arial" w:cs="arial"/>
          <w:color w:val="000000"/>
          <w:sz w:val="20"/>
          <w:lang w:val="en-US" w:eastAsia="en-US" w:bidi="ar-SA"/>
        </w:rPr>
        <w:t xml:space="preserve"> (C.A.).</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other adequate remedy is available to the applicant: </w:t>
      </w:r>
      <w:r>
        <w:rPr>
          <w:rFonts w:ascii="arial" w:eastAsia="arial" w:hAnsi="arial" w:cs="arial"/>
          <w:i/>
          <w:color w:val="000000"/>
          <w:sz w:val="20"/>
          <w:lang w:val="en-US" w:eastAsia="en-US" w:bidi="ar-SA"/>
        </w:rPr>
        <w:t xml:space="preserve">Carota v. Jamieson, </w:t>
      </w:r>
      <w:hyperlink r:id="rId432" w:history="1">
        <w:r>
          <w:rPr>
            <w:rFonts w:ascii="arial" w:eastAsia="arial" w:hAnsi="arial" w:cs="arial"/>
            <w:i/>
            <w:color w:val="0077CC"/>
            <w:sz w:val="20"/>
            <w:u w:val="single"/>
            <w:shd w:val="clear" w:color="auto" w:fill="FFFFFF"/>
            <w:lang w:val="en-US" w:eastAsia="en-US" w:bidi="ar-SA"/>
          </w:rPr>
          <w:t>[1979] F.C.J. No. 225</w:t>
        </w:r>
      </w:hyperlink>
      <w:r>
        <w:rPr>
          <w:rFonts w:ascii="arial" w:eastAsia="arial" w:hAnsi="arial" w:cs="arial"/>
          <w:i/>
          <w:color w:val="000000"/>
          <w:sz w:val="20"/>
          <w:lang w:val="en-US" w:eastAsia="en-US" w:bidi="ar-SA"/>
        </w:rPr>
        <w:t>, supra; Maple Lodge Farms Ltd. v. Government of Canada, supra; Jefford v. Canada, supra; Harelkin v. University of Regina</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[1979] 2 S.C.R. 561</w:t>
        </w:r>
      </w:hyperlink>
      <w:r>
        <w:rPr>
          <w:rFonts w:ascii="arial" w:eastAsia="arial" w:hAnsi="arial" w:cs="arial"/>
          <w:color w:val="000000"/>
          <w:sz w:val="20"/>
          <w:lang w:val="en-US" w:eastAsia="en-US" w:bidi="ar-SA"/>
        </w:rPr>
        <w:t xml:space="preserve">; and see </w:t>
      </w:r>
      <w:r>
        <w:rPr>
          <w:rFonts w:ascii="arial" w:eastAsia="arial" w:hAnsi="arial" w:cs="arial"/>
          <w:i/>
          <w:color w:val="000000"/>
          <w:sz w:val="20"/>
          <w:lang w:val="en-US" w:eastAsia="en-US" w:bidi="ar-SA"/>
        </w:rPr>
        <w:t>Canada (Auditor General) v. Canada (Minister of Energy, Mines and Resources)</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[1987] 1 F.C. 406</w:t>
        </w:r>
      </w:hyperlink>
      <w:r>
        <w:rPr>
          <w:rFonts w:ascii="arial" w:eastAsia="arial" w:hAnsi="arial" w:cs="arial"/>
          <w:color w:val="000000"/>
          <w:sz w:val="20"/>
          <w:lang w:val="en-US" w:eastAsia="en-US" w:bidi="ar-SA"/>
        </w:rPr>
        <w:t xml:space="preserve"> (C.A.); appeal dismissed </w:t>
      </w:r>
      <w:hyperlink r:id="rId435" w:history="1">
        <w:r>
          <w:rPr>
            <w:rFonts w:ascii="arial" w:eastAsia="arial" w:hAnsi="arial" w:cs="arial"/>
            <w:i/>
            <w:color w:val="0077CC"/>
            <w:sz w:val="20"/>
            <w:u w:val="single"/>
            <w:shd w:val="clear" w:color="auto" w:fill="FFFFFF"/>
            <w:lang w:val="en-US" w:eastAsia="en-US" w:bidi="ar-SA"/>
          </w:rPr>
          <w:t>[1989] 2 S.C.R. 49</w:t>
        </w:r>
      </w:hyperlink>
      <w:r>
        <w:rPr>
          <w:rFonts w:ascii="arial" w:eastAsia="arial" w:hAnsi="arial" w:cs="arial"/>
          <w:color w:val="000000"/>
          <w:sz w:val="20"/>
          <w:lang w:val="en-US" w:eastAsia="en-US" w:bidi="ar-SA"/>
        </w:rPr>
        <w:t>.</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order sought will be of some practical value or effect: </w:t>
      </w:r>
      <w:r>
        <w:rPr>
          <w:rFonts w:ascii="arial" w:eastAsia="arial" w:hAnsi="arial" w:cs="arial"/>
          <w:i/>
          <w:color w:val="000000"/>
          <w:sz w:val="20"/>
          <w:lang w:val="en-US" w:eastAsia="en-US" w:bidi="ar-SA"/>
        </w:rPr>
        <w:t>Friends of the Oldman River Society v. Canada (Minister of Transport)</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[1990] F.C.J. No. 86</w:t>
        </w:r>
      </w:hyperlink>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[1990] 2 F.C. 18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Stone J.A., at pages 48-52; affd </w:t>
      </w:r>
      <w:r>
        <w:rPr>
          <w:rFonts w:ascii="arial" w:eastAsia="arial" w:hAnsi="arial" w:cs="arial"/>
          <w:i/>
          <w:color w:val="000000"/>
          <w:sz w:val="20"/>
          <w:lang w:val="en-US" w:eastAsia="en-US" w:bidi="ar-SA"/>
        </w:rPr>
        <w:t>[1992] 1 S.C.R. 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 Forest J., at pages 76-80; </w:t>
      </w:r>
      <w:r>
        <w:rPr>
          <w:rFonts w:ascii="arial" w:eastAsia="arial" w:hAnsi="arial" w:cs="arial"/>
          <w:i/>
          <w:color w:val="000000"/>
          <w:sz w:val="20"/>
          <w:lang w:val="en-US" w:eastAsia="en-US" w:bidi="ar-SA"/>
        </w:rPr>
        <w:t>Landreville v. The Queen</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[1973] F.C. 1223</w:t>
        </w:r>
      </w:hyperlink>
      <w:r>
        <w:rPr>
          <w:rFonts w:ascii="arial" w:eastAsia="arial" w:hAnsi="arial" w:cs="arial"/>
          <w:color w:val="000000"/>
          <w:sz w:val="20"/>
          <w:lang w:val="en-US" w:eastAsia="en-US" w:bidi="ar-SA"/>
        </w:rPr>
        <w:t xml:space="preserve"> (T.D.); and </w:t>
      </w:r>
      <w:r>
        <w:rPr>
          <w:rFonts w:ascii="arial" w:eastAsia="arial" w:hAnsi="arial" w:cs="arial"/>
          <w:i/>
          <w:color w:val="000000"/>
          <w:sz w:val="20"/>
          <w:lang w:val="en-US" w:eastAsia="en-US" w:bidi="ar-SA"/>
        </w:rPr>
        <w:t>Beauchemin v. Employment and Immigration Commission of Canada</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(1987), 15 F.T.R. 83</w:t>
        </w:r>
      </w:hyperlink>
      <w:r>
        <w:rPr>
          <w:rFonts w:ascii="arial" w:eastAsia="arial" w:hAnsi="arial" w:cs="arial"/>
          <w:color w:val="000000"/>
          <w:sz w:val="20"/>
          <w:lang w:val="en-US" w:eastAsia="en-US" w:bidi="ar-SA"/>
        </w:rPr>
        <w:t xml:space="preserve"> (F.C.T.D.).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in the exercise of its discretion finds no equitable bar to the relief sought: </w:t>
      </w:r>
      <w:r>
        <w:rPr>
          <w:rFonts w:ascii="arial" w:eastAsia="arial" w:hAnsi="arial" w:cs="arial"/>
          <w:i/>
          <w:color w:val="000000"/>
          <w:sz w:val="20"/>
          <w:lang w:val="en-US" w:eastAsia="en-US" w:bidi="ar-SA"/>
        </w:rPr>
        <w:t>Penner v. Electoral Boundaries Commission (Ont.)</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[1976] 2 F.C. 614</w:t>
        </w:r>
      </w:hyperlink>
      <w:r>
        <w:rPr>
          <w:rFonts w:ascii="arial" w:eastAsia="arial" w:hAnsi="arial" w:cs="arial"/>
          <w:color w:val="000000"/>
          <w:sz w:val="20"/>
          <w:lang w:val="en-US" w:eastAsia="en-US" w:bidi="ar-SA"/>
        </w:rPr>
        <w:t xml:space="preserve"> (T.D.); </w:t>
      </w:r>
      <w:r>
        <w:rPr>
          <w:rFonts w:ascii="arial" w:eastAsia="arial" w:hAnsi="arial" w:cs="arial"/>
          <w:i/>
          <w:color w:val="000000"/>
          <w:sz w:val="20"/>
          <w:lang w:val="en-US" w:eastAsia="en-US" w:bidi="ar-SA"/>
        </w:rPr>
        <w:t>Friends of the Oldman River Society v. Canada (Minister of Transport), supra</w:t>
      </w:r>
      <w:r>
        <w:rPr>
          <w:rFonts w:ascii="arial" w:eastAsia="arial" w:hAnsi="arial" w:cs="arial"/>
          <w:color w:val="000000"/>
          <w:sz w:val="20"/>
          <w:lang w:val="en-US" w:eastAsia="en-US" w:bidi="ar-SA"/>
        </w:rPr>
        <w:t>.</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"balance of convenience" an order in the nature of mandamus should (or should not)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the present circumstances I would categorize the Commissioner's investigation which looked at the consent to disclose and disclosure in the absence of consent as unfair. It ignored the consideration of the protection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is intended to afford individuals in relation to the use of their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Commissioner's discretion under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is not unfettered; it must be exercised having regard to his overall responsibility to monitor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and to ensure that its overall objectives are achieved. One of the objectives is the protection of individuals from the improper use of personal information. Because the Commissioner advised Mr. Harrison that he regarded his responsibility in relation to the disclosure of personal information as fulfilled, I would regard the Commissioner's discretion to have been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An order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will have some practical effect: it will require the Commissioner to look at the meaning of s. 28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and the appropriate consequences in the event that unreliable information has been accumulated. No other administrative law remedy appears available to Mr. Harrison, there is no equitable bar to the grant of an order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and on the balance of convenience the order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is justified and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Consistent with the Commissioner's responsibility to monitor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in order to ensure that its overall objectives are achieved, an order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will also afford the Commissioner the opportunity to consider, in conjunction with this situation or generally, and hopefully in consultation with the Attorney General who is responsible for the administration of justice in the province, whether amendments to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Justice cannot allow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to be used in a manner that accords rumours and unfounded allegations made to a public body about the character, reputation or behaviour of any individual undeserved legitimacy.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Information of that kind should not be preserved as relevant personal information which may be used to the detriment of an individual by causing damage to personal and community reputation, or employment and career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this instance, one cannot overlook the reassuring comments the intake worker made to Mr. Harrison in 1996: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reassured Robert hat his daycare will be unaffected, that an investigation had not even been undertaken and that I have considerable empathy for the situation that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future did not unfold in the manner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circumstances that prevail in this case, there is a need for some remedy as a result of Mr. Harrison's loss of employment. An unqualified apology may be adequate, although that is questionable given that the MCFD's conduct appears to have denied Mr. Harrison the capacity to work in the field in which he has served his clients and the Ministry without incident over a lengthy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Judicial review is unable to provide any meaningful remedy except to emphasize the dangers associated with the accumulation, retention, and use of allegations regarding which no foundation for support has been identified, and possibly to constrain the use of unreliable personal information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Mr. Harrison may be compelled to attempt to derive a remedy by way of an action seeking damages for defamation, 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consequence of Ms. Bischoff's use of unsubstantiated information. The immunity provision contained in s. 73 of </w:t>
      </w:r>
      <w:r>
        <w:rPr>
          <w:rFonts w:ascii="arial" w:eastAsia="arial" w:hAnsi="arial" w:cs="arial"/>
          <w:b/>
          <w:i/>
          <w:color w:val="000000"/>
          <w:sz w:val="20"/>
          <w:lang w:val="en-US" w:eastAsia="en-US" w:bidi="ar-SA"/>
        </w:rPr>
        <w:t>FIPPA</w:t>
      </w:r>
      <w:r>
        <w:rPr>
          <w:rFonts w:ascii="arial" w:eastAsia="arial" w:hAnsi="arial" w:cs="arial"/>
          <w:color w:val="000000"/>
          <w:sz w:val="20"/>
          <w:lang w:val="en-US" w:eastAsia="en-US" w:bidi="ar-SA"/>
        </w:rPr>
        <w:t xml:space="preserve"> would not appear to have application in the event such an action proceeds. Other defences may apply. Whatever the strength of his claim, it may never be pursued because of the difficult nature of the claims and Mr. Harrison's self-represented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At the close of submissions on the judicial review, Mr. Harrison applied to amend his petition to name Ms. Bischoff and others as respondents, likely for the purpose of allowing him to advance a claim for a remedy as a result of Ms. Bischoff's actions and statements relating to him. While Mr. Harrison has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its ultimate success or failure will have to be determined in another proceeding. This petition is restricted to judicial review. The application to amend the petition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result, the Commissioner's ruling of September 17, 2007 is quashed, Mr. Harrison's complaint is remitted to the Commissioner for consideration in accordance with these reasons, and the application to amend the petition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Harrison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I.H. PITFIELD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June 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the citation in paragraph 70 should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Harrison v. British Columbia (Information and Privacy Commissioner), [2011] B.C.J. No. 1686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5, 6 and May 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S106689 and S107196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1686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1204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340 D.L.R. (4th) 315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207 A.C.W.S. (3d) 351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Judicial Review Procedure Act, R.S.B.C. 1996, c. 243, The Freedom of Information and Protection of Privacy Act, R.S.B.C. 1996, c. 165, and Order F10-321 of the Delegate of the Information and Privacy Commissioner for British Columbia AND IN THE MATTER OF the Judicial Review Procedure Act, R.S.B.C. 1996, c. 241 AND IN THE MATTER OF the Decision of the Information and Privacy Commissioner of British Columbia (Order No. F10-31), dated 7 September 2010, made under the Freedom of Information and Protection of Privacy Act, R.S.B.C. 1996, c. 165 Between Robert Glen Harrison, Petitioner, and British Columbia (Information and Privacy Commissioner), Mary Carlson, Catherine Tully, Justine Austen-Olsen and Patrick Egan, Respondents, and British Columbia Minister of Children and Family Development, Mary Polak, Bruce McNeill and Joan Bischoff, Respondents And between The Ministry of Children and Family Development and The Attorney General of British Columbia, Petitioners, and Robert Glen Harrison,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5"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2" w:name="Keywords_18"/>
      <w:bookmarkEnd w:id="122"/>
      <w:r>
        <w:rPr>
          <w:rFonts w:ascii="arial" w:eastAsia="arial" w:hAnsi="arial" w:cs="arial"/>
          <w:b/>
          <w:color w:val="000000"/>
          <w:sz w:val="20"/>
          <w:lang w:val="en-US" w:eastAsia="en-US" w:bidi="ar-SA"/>
        </w:rPr>
        <w:t>Government law — Access to information and privacy — Access to information — Remedies — Protection of privacy — Personal information — Legislation — Provincial and territorial — Disclosure or release of information — Consent to disclosure or release — Remedies — Appeals and judicial review — Jurisdiction to review — Standard of review — Reasonableness — Privacy and information commissioners — Duties — Applications by former employee of group home for troubled teens and by the Ministry of Children and Family Development for judicial review of an order made by a delegate of the Information and Privacy Commissioner regarding release of information that pertained to employee — Employee's application dismissed — Ministry's application allowed — Decision, as it pertained to employee, was reasonable — Commissioner erred in law regarding Ministry because it failed to properly analyze this matter — Decision was remitted to Commissioner for reconsideration.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3" w:name="Case Summary_17"/>
            <w:bookmarkEnd w:id="1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Separate petitions by Harrison and by the Ministry of Children and Family Development for judicial review of an order made by a delegate of the Information and Privacy Commissioner for British Columbia. The petitions were the culmination of protracted litigation between Harrison and the Ministry which arose from actions taken and statements made by representatives of the Ministry which Harrison claimed damaged his health, reputation and ability to earn a livelihood. In May 2006 Harrison was terminated a week after he started to work as a therapist with an agency that operated a group home for troubled teens. Harrison signed consents to the disclosure of information about his prior work with children which the Ministry possessed. An official with the Ministry, named Bischoff, advised the agency that there was a prior complaint that involved Harrison and that he should work under supervision. The agency terminated Harrison's employment because of this advice. The prior complaint was unsubstantiated. After his termination Harrison asked the Commissioner to undertake a formal review after the Ministry did not respond to his request for redress. The Commissioner investigated Harrison's complaint and she concluded that the Ministry was authorized under the Child, Family and Community Service Act to disclose the information to the agency and that Bischoff acted in good faith in doing so. The order was subsequently quashed because the Ministry violated s. 28 of the Freedom of Information and Protection of Privacy Act. s. 28 provided that if an individual's personal information was in the custody or control of a public body and that such information was used in a manner that directly affected the individual, the public body was to make every reasonable effort to ensure that the personal information was accurate and complete. The matter was to be remitted to Commissioner for reconsideration. The Ministry successfully appealed that decision for the judicial review judge had no jurisdiction to determine if s. 28 was violated. Only the Commissioner could make that determination. The matter was remitted to the Commissioner to consider the issues raised by s. 28. The order under review was subsequently made. The Ministry was found to have breached its duty under s. 28. The Ministry was to take all appropriate steps to ensure that this duty was met in the future. Harrison claimed that when the Commissioner ordered the Ministry to develop policies and procedures to address future cases she ignored the harm that he suffered by the disclosure of the personal information and she also ignored any redress available to him under the Freedom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4" w:name="Holdings of Court_14"/>
            <w:bookmarkEnd w:id="124"/>
            <w:r>
              <w:rPr>
                <w:rFonts w:ascii="arial" w:eastAsia="arial" w:hAnsi="arial" w:cs="arial"/>
                <w:color w:val="000000"/>
                <w:sz w:val="20"/>
                <w:lang w:val="en-US" w:eastAsia="en-US" w:bidi="ar-SA"/>
              </w:rPr>
              <w:t>HELD: Harrison's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Ministry's application allowed. Regarding Harrison's application the decision was reasonable. The Commissioner did not err in failing to direct the Ministry to expunge Harrison's personal information. Her power to destroy personal information applied only if the information was collected in contravention of the Act, which was not the case here. The Commissioner did not fail to comply with the provisions that applied to her under the Freedom Act. She investigated Harrison's complaint in good faith. Harrison wanted the Court to revisit the decision but it had no jurisdiction to do so in an application for judicial review. Regarding the Ministry's application the Commissioner did not consider its arguments. There was no discussion in the order about how the principles that underlied the Child Act impacted on the actions taken by Bischoff. There was also no discussion by the Commissioner regarding the tension that existed between the provisions of the Freedom Act and the Child Act. Without the analysis on the second issue it would be difficult for the Commissioner to conclude that s. 28 was violated. The Commissioner's failure to consider the second issue was a reviewable error in law. The Commissioner was therefore required to reconsider the matter as it pertained to the Ministry.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5" w:name="Legislation Cited_12"/>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6"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Administrative Tribunals Act, </w:t>
      </w:r>
      <w:r>
        <w:rPr>
          <w:rFonts w:ascii="arial" w:eastAsia="arial" w:hAnsi="arial" w:cs="arial"/>
          <w:i/>
          <w:color w:val="000000"/>
          <w:sz w:val="20"/>
          <w:lang w:val="en-US" w:eastAsia="en-US" w:bidi="ar-SA"/>
        </w:rPr>
        <w:t>SBC 2004, CHAPTER 45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Child, Family and Community Service Act, RSBC 1996, CHAPTER 47, s. 2, s. 79, s. 79(a)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Protection of Privacy Act, </w:t>
      </w:r>
      <w:hyperlink r:id="rId448" w:history="1">
        <w:r>
          <w:rPr>
            <w:rFonts w:ascii="arial" w:eastAsia="arial" w:hAnsi="arial" w:cs="arial"/>
            <w:i/>
            <w:color w:val="0077CC"/>
            <w:sz w:val="20"/>
            <w:u w:val="single"/>
            <w:shd w:val="clear" w:color="auto" w:fill="FFFFFF"/>
            <w:lang w:val="en-US" w:eastAsia="en-US" w:bidi="ar-SA"/>
          </w:rPr>
          <w:t>RSBC 1996, CHAPTER 165, s. 27</w:t>
        </w:r>
      </w:hyperlink>
      <w:r>
        <w:rPr>
          <w:rFonts w:ascii="arial" w:eastAsia="arial" w:hAnsi="arial" w:cs="arial"/>
          <w:color w:val="000000"/>
          <w:sz w:val="20"/>
          <w:lang w:val="en-US" w:eastAsia="en-US" w:bidi="ar-SA"/>
        </w:rPr>
        <w:t>(1), s. 28, s. 28(b), s. 29, s. 30, s. 30.4, s. 48, s. 56, s. 58(3)(a), s. 58(3)(f), s. 73, s. 73(a), s. 73(b), s. 74, s. 74(1), s. 74(1)(a), s. 74(1)(b), s. 74.1, s. 74.1(4)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CHAPTER 165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6" w:name="Counsel_18"/>
      <w:bookmarkEnd w:id="1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7"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Robert G.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Respondents Information and Privacy Commissioner for British Columbia, Mary Carlson, Catherine Tully, Justine Austen-Olsen and Patrick Egan: Susan E.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British Columbia (Attorney General and Ministry of Children and Family Development): Jonathan G. Penner.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18"/>
      <w:bookmarkEnd w:id="127"/>
      <w:r>
        <w:pict>
          <v:line id="_x0000_s1118"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B.M. GREYELL J."/>
            <w:bookmarkEnd w:id="128"/>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concerns two petitions, each of which seeks judicial review of Order F10-31 (the "Order") made September 7, 2010 by a delegate of the Information and Privacy Commissioner for British Columbia (the "Commissioner").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petition is brought by Mr. Harrison; the second by the Attorney-General on behalf of the Ministry of Children and Family Development (the "MCFD").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petitions are the culmination of protracted litigation between Mr. Harrison and the MCFD arising from alleged actions taken and statements made by representatives of the MCFD which Mr. Harrison asserts have damaged his health, reputation and ability to earn a livelihood.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way of overview, in May 2006 Mr. Harrison was terminated from his position as a therapist with Access House, an agency which operated a group home for troubled teens. Mr. Harrison had been hired to work one-on-one with several youths. He was terminated a week after he started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During the course of applying for employment Mr. Harrison signed consents to the disclosure of information about his prior work with children which was in the possession of the MCFD.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official with MCFD, Ms. Bischoff, advised Access House there was a prior complaint involving Mr. Harrison and that he should work under supervision. As a consequence of such advice Access House terminated Mr. Harrison's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prior complaint had been reported to MCFD in August, 1996. It had ultimately been determined by MCFD officials to be unsubstantiated. MCFD did not investigate the complaint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Harrison found out the complaint had been made against him in September, 2006. He contacted MCFD and adamantly denied the allegations in the complaint. He was assured by MCFD officials that MCFD considered the complaint unsubstantiated and that the Ministry intended to take no further action arising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Following the termination of his employment, Mr. Harrison sought redress from the MCFD requesting a formal review of the events surrounding the release of information to his employer. When he did not receive a timely response he wrote to the Commissioner's office asking it to undertake a formal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He asserted MCFD was in breach of various sections of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R.S.B.C. 1996, c. 47</w:t>
        </w:r>
      </w:hyperlink>
      <w:r>
        <w:rPr>
          <w:rFonts w:ascii="arial" w:eastAsia="arial" w:hAnsi="arial" w:cs="arial"/>
          <w:color w:val="000000"/>
          <w:sz w:val="20"/>
          <w:lang w:val="en-US" w:eastAsia="en-US" w:bidi="ar-SA"/>
        </w:rPr>
        <w:t xml:space="preserve"> ("CFCSA"), and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 165</w:t>
      </w:r>
      <w:r>
        <w:rPr>
          <w:rFonts w:ascii="arial" w:eastAsia="arial" w:hAnsi="arial" w:cs="arial"/>
          <w:color w:val="000000"/>
          <w:sz w:val="20"/>
          <w:lang w:val="en-US" w:eastAsia="en-US" w:bidi="ar-SA"/>
        </w:rPr>
        <w:t xml:space="preserve"> ("FIPPA").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Patrick Egan, a delegate of the Commissioner's, investigated Mr. Harrison's complaint and, following a number of reviews, issued a decision on September 17, 2007, concluding the Ministry was authorized under CFCSA to disclose Ms. Bischoff's opinion to Access House and that Ms. Bischoff had acted in good faith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Mr. Harrison was not satisfied with the Commissioner's ruling on his application and applied for judicial review of that decision. His petition was heard by Mr. Justice Pitfield; that hearing concluded in March 2008: </w:t>
      </w:r>
      <w:r>
        <w:rPr>
          <w:rFonts w:ascii="arial" w:eastAsia="arial" w:hAnsi="arial" w:cs="arial"/>
          <w:i/>
          <w:color w:val="000000"/>
          <w:sz w:val="20"/>
          <w:lang w:val="en-US" w:eastAsia="en-US" w:bidi="ar-SA"/>
        </w:rPr>
        <w:t>Harrison v. British Columbia (information and Privacy Commissioner)</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2008 BCSC 411</w:t>
        </w:r>
      </w:hyperlink>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2008 BCSC 411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Justice Pitfield quashed the Commissioner's ruling and remitted Mr. Harrison's complaint to the Commissioner to reconsider based on findings as reflected in the decision. He concluded Ms. Bischoff had breached s. 28 of FIPPA. In quashing the decision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The Commissioner's decision of September 17, 2007 that Ms. Bischoff and the MCFD did nothing inappropriate in relation to Mr. Harrison resulted from an improper characterization of the issue. It cannot stand as approbation of Ms. Bischoff's conduct. I am satisfied the ruling should be and it is hereby quashed.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As I have remarked, it is not obvious that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can provide any meaningful or effective remedy insofar as Mr. Harrison is concerned. At the same time, having exercised his discretion to review the Harrison complaint, the Commissioner should now be required to consider whether the circumstances are such that he should order that the personal information in the Harrison assessment file, and any references to it in any other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file, be expunged, or its use otherwise restrained because of s.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Accordingly, I remit the matter to the Commissioner for reconsideration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t>
      </w:r>
      <w:hyperlink r:id="rId415" w:history="1">
        <w:r>
          <w:rPr>
            <w:rFonts w:ascii="arial" w:eastAsia="arial" w:hAnsi="arial" w:cs="arial"/>
            <w:i/>
            <w:color w:val="0077CC"/>
            <w:sz w:val="20"/>
            <w:u w:val="single"/>
            <w:shd w:val="clear" w:color="auto" w:fill="FFFFFF"/>
            <w:lang w:val="en-US" w:eastAsia="en-US" w:bidi="ar-SA"/>
          </w:rPr>
          <w:t>2008 BCSC 411</w:t>
        </w:r>
      </w:hyperlink>
      <w:r>
        <w:rPr>
          <w:rFonts w:ascii="arial" w:eastAsia="arial" w:hAnsi="arial" w:cs="arial"/>
          <w:color w:val="000000"/>
          <w:sz w:val="20"/>
          <w:lang w:val="en-US" w:eastAsia="en-US" w:bidi="ar-SA"/>
        </w:rPr>
        <w:t xml:space="preserve"> was appealed by the MCFD. The appeal was allowed on the basis Pitfield J. had erred in finding Ms. Bischoff breached s. 28 of FIPPA: see </w:t>
      </w:r>
      <w:r>
        <w:rPr>
          <w:rFonts w:ascii="arial" w:eastAsia="arial" w:hAnsi="arial" w:cs="arial"/>
          <w:i/>
          <w:color w:val="000000"/>
          <w:sz w:val="20"/>
          <w:lang w:val="en-US" w:eastAsia="en-US" w:bidi="ar-SA"/>
        </w:rPr>
        <w:t>Harrison v. British Columbia (Information and Privacy Commissioner)</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2009 BCCA 203</w:t>
        </w:r>
      </w:hyperlink>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2009 BCCA 203</w:t>
        </w:r>
      </w:hyperlink>
      <w:r>
        <w:rPr>
          <w:rFonts w:ascii="arial" w:eastAsia="arial" w:hAnsi="arial" w:cs="arial"/>
          <w:color w:val="000000"/>
          <w:sz w:val="20"/>
          <w:lang w:val="en-US" w:eastAsia="en-US" w:bidi="ar-SA"/>
        </w:rPr>
        <w:t xml:space="preserve">"), leave to appeal to S.C.C. refused, 33250 (January 14, 2010), </w:t>
      </w:r>
      <w:hyperlink r:id="rId451" w:history="1">
        <w:r>
          <w:rPr>
            <w:rFonts w:ascii="arial" w:eastAsia="arial" w:hAnsi="arial" w:cs="arial"/>
            <w:i/>
            <w:color w:val="0077CC"/>
            <w:sz w:val="20"/>
            <w:u w:val="single"/>
            <w:shd w:val="clear" w:color="auto" w:fill="FFFFFF"/>
            <w:lang w:val="en-US" w:eastAsia="en-US" w:bidi="ar-SA"/>
          </w:rPr>
          <w:t>[2009] S.C.C.A. No. 455</w:t>
        </w:r>
      </w:hyperlink>
      <w:r>
        <w:rPr>
          <w:rFonts w:ascii="arial" w:eastAsia="arial" w:hAnsi="arial" w:cs="arial"/>
          <w:color w:val="000000"/>
          <w:sz w:val="20"/>
          <w:lang w:val="en-US" w:eastAsia="en-US" w:bidi="ar-SA"/>
        </w:rPr>
        <w:t>, 292 B.C.A.C. 319. The Court of Appeal noted that in all other respects Pitfield J. had dismissed the relief claimed in Mr. Harrison's petition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bases for the Court of Appeal's conclusion was that a judge on judicial review has no jurisdiction to make such a finding; that a determination whether there was a breach of s. 28 of FIPPA was one the Commissioner must make. Accordingly the court remitted the matter back to the Commissioner "to consider the issues raised by s. 28 of FIPPA".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While it is obvious that the chambers judge was troubled by the s. 28 issue, the proper course, and indeed the only course available to him, was to invite submissions from the Attorney General and, if so advised, counsel for Ms. Bischoff, and then remit the issue to the Commissioner to properly consider it. Instead, the chambers judge, without hearing submissions or evidence from the Attorney General or Ms. Bischoff on her purported breach of s. 28, made findings of fact which he was without jurisdiction to make on judicial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It follows that we allow the appeals and remit the matter to the Commissioner to consider the issues raised by s.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 We do not find it necessary to address the numerous other issues raised by counsel. Indeed, we consider it prudent to refrain from commenting on those issues given the outcome of these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paragraphs above I have set out a brief background to the current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more thorough review of the facts is set out in </w:t>
      </w:r>
      <w:hyperlink r:id="rId450" w:history="1">
        <w:r>
          <w:rPr>
            <w:rFonts w:ascii="arial" w:eastAsia="arial" w:hAnsi="arial" w:cs="arial"/>
            <w:i/>
            <w:color w:val="0077CC"/>
            <w:sz w:val="20"/>
            <w:u w:val="single"/>
            <w:shd w:val="clear" w:color="auto" w:fill="FFFFFF"/>
            <w:lang w:val="en-US" w:eastAsia="en-US" w:bidi="ar-SA"/>
          </w:rPr>
          <w:t>2009 BCCA 203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factual background to these appeals was fully set out in the chambers judge's reasons indexed as </w:t>
      </w:r>
      <w:hyperlink r:id="rId415" w:history="1">
        <w:r>
          <w:rPr>
            <w:rFonts w:ascii="arial" w:eastAsia="arial" w:hAnsi="arial" w:cs="arial"/>
            <w:i/>
            <w:color w:val="0077CC"/>
            <w:sz w:val="20"/>
            <w:u w:val="single"/>
            <w:shd w:val="clear" w:color="auto" w:fill="FFFFFF"/>
            <w:lang w:val="en-US" w:eastAsia="en-US" w:bidi="ar-SA"/>
          </w:rPr>
          <w:t>2008 BCSC 411</w:t>
        </w:r>
      </w:hyperlink>
      <w:r>
        <w:rPr>
          <w:rFonts w:ascii="arial" w:eastAsia="arial" w:hAnsi="arial" w:cs="arial"/>
          <w:color w:val="000000"/>
          <w:sz w:val="20"/>
          <w:lang w:val="en-US" w:eastAsia="en-US" w:bidi="ar-SA"/>
        </w:rPr>
        <w:t xml:space="preserve">, and reported at </w:t>
      </w:r>
      <w:hyperlink r:id="rId415" w:history="1">
        <w:r>
          <w:rPr>
            <w:rFonts w:ascii="arial" w:eastAsia="arial" w:hAnsi="arial" w:cs="arial"/>
            <w:i/>
            <w:color w:val="0077CC"/>
            <w:sz w:val="20"/>
            <w:u w:val="single"/>
            <w:shd w:val="clear" w:color="auto" w:fill="FFFFFF"/>
            <w:lang w:val="en-US" w:eastAsia="en-US" w:bidi="ar-SA"/>
          </w:rPr>
          <w:t>292 D.L.R. (4th) 73</w:t>
        </w:r>
      </w:hyperlink>
      <w:r>
        <w:rPr>
          <w:rFonts w:ascii="arial" w:eastAsia="arial" w:hAnsi="arial" w:cs="arial"/>
          <w:color w:val="000000"/>
          <w:sz w:val="20"/>
          <w:lang w:val="en-US" w:eastAsia="en-US" w:bidi="ar-SA"/>
        </w:rPr>
        <w:t>. For our purposes, it may be summarized as follows.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Events Prior to the Access House Application (1996-2005)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In 1996, Mr. Harrison lived in Sechelt, British Columbia, with his then wife who operated a licensed family child care facility in which Mr. Harrison worked as a caregiver. In August 1996, someone telephoned the Ministry of Social Services (the predecessor to the Ministry of Children and Family Development) and alleged that five years previously Mr. Harrison may have abused his young daughter.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Ministry's intake worker opened an "Assessment Only" file and noted that the allegation was "outside of statutory definition" and that "no service was required". The Ministry took no further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Mr. Harrison became aware of the Assessment Only file when the Chief Medical Officer for Sechelt, who has statutory authority in respect of licensing of daycares and whom he knew personally, advised Mr. Harrison of the existence of the file, in breach of protocol.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Mr. Harrison contacted the Ministry to discuss the allegation. The intake worker explained to him that no investigation had been undertaken and no further action would be 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Ministry opened a "Resource" file in 2001 when Mr. Harrison and his wife were approved as foster parents.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Mr. Harrison also managed a licensed out-of-school child care program between September 2001 and September 2004. Mr. Harrison separated from his wife in 2002. In 2005 he moved to the Lower Mainland area.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Application to Access House (April-June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On 28 April 2006, Mr. Harrison submitted an application for employment at Access House, which provides services to troubled youth on behalf of the Ministry. He attended an interview the following day and started work on 1 May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As a condition of employment, Mr. Harrison signed a consent to disclosure form which allowed Access House to obtain a "Prior Contact Check" from the Ministry, disclosing all information about him in the custody or control of the Ministry.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Sometime between 10 and 12 May 2006, Joan Bischoff, a Ministry social worker, advised the program director of Access House that a file concerning Mr. Harrison existed in the Ministry's records but she could not disclose the nature of the file unless Mr. Harrison provided a more specific consent.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On May 13 or 14, Mr. Harrison met with the program director and executive director of Access House to discuss the need for a further consent, at which time Mr. Harrison disclosed his knowledge of the 1996 Assessment Only file.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Mr. Harrison signed a second and more specific consent to disclosure on 18 May 2006, to permit Ms. Bischoff to disclose to Access House, relevant information about myself in reference to caring for children, my history with children and reports that MCFD [the Ministry] may have received regarding these events or other relevant reports they may have received about my previous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After receiving the second consent, Ms. Bischoff disclosed to Access House the nature of the allegation contained in the Assessment Only file and information in the Resource file and expressed her opinion that the 1996 allegation had not been properly investigated. Prior to expressing this opinion, Ms. Bischoff reviewed the Resource file which, among other things, contained Ministry correspondence that included the following information not mentioned by the chambers judge:</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Harrison began "fostering" in 2001; the home was closed in 2004 with no explanation for the closure in the file;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Harrison "had trouble with boundaries", "more so than others";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Harrison and his wife neglected to give a foster child a "puffer" for asthma because she "really didn't need to use it", and the child's "lungs are in bad shape";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social worker reported "hostility" from Mr. Harrison;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Harrison allowed children to hit others "twice as hard" if they were hit first and told a foster child that she would be put in a foster home for "bad girls".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Ms. Bischoff recommended to Access House that, pending her review of the file, Mr. Harrison should be supervised. Mr. Harrison's work at Access House involved one-to-one contact with youth which was not compatible with supervision. His contract was terminated on 22 May 2006.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Review by the Ministry of Ms. Bichoff's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Approximately one week later, Mr. Harrison requested a formal review by the Ministry's Fraser Region of Ms. Bischoff's decision to disclose the existence of the Assessment Only file to Access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On 5 June 2006, Ms. Bischoff contacted Access House to advise of the results of her review of the Assessment Only and Resource files. Access House advised her that Mr. Harrison no longer worked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On 22 June 2006, Mr. Harrison met with Bruce McNeill, the Ministry's Director of Child Welfare (Fraser Region) to discuss the formal review completed by the Ministry. Mr. Harrison demanded compensation, which Mr. McNeill refused to discuss. Following the meeting, Mr. McNeill wrote to Mr. Harrison and stated that as indicated at their meeting, he was prepared to do the following to mitigate the impact of the disclosure: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indicated that I wanted, with your agreement, to write a letter to the Executive Director of Access House that clarifies the Director's position that the Assessment Only file does not, in my opinion, represent a barrier to your employment in a position of trust involving children. My intention is to correct any incorrect impressions that your former employer may have had with regard to the significance of the Assessment Only file. At the meeting you told me that I could do what I wanted. I have therefore written and sent this letter. A copy is attached for your information. Another copy will be attached to the Assessment Only file so that anyone accessing the Assessment Only file in the future will also see my letter.</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invited you to submit a letter that outlines your views with regard to the Assessment Only file. I would ensure that such a letter would also be attached to the Assessment Only file so that anyone accessing it would also see your letter. This offer remains open.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Mr. Harrison requested a copy of the Assessment Only file from the Ministry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and received a redacted copy on 3 August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On 14 September 2006, Mr. Harrison wrote to Chris Jones, a senior manager in the Information, Privacy and Records Services department of the Ministry, to request a formal review of Ms. Bischoff's actions. Mr. Jones provided Mr. Harrison with the results of the formal review on 21 November 2006. In his letter to Mr. Harrison, Mr. Jones stated that the regional complaints process included a thorough review of the available information and a sincere attempt to resolve Mr. Harrison's concerns. Mr. Jones recognized that Mr. Harrison remained dissatisfied. He suggested further meetings with Mr. McNeill or, in the alternative, that Mr. Harrison contact either the Ombudsman or the Office of the Information and Privacy Commissioner ("OIPC").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Investigation by the Office of the Information and Privacy Commissioner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Before receiving the results of the formal review by the Ministry, Mr. Harrison wrote to the OIPC, seeking an investigation of the Ministry's disclosure to Access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Three reviews of Mr. Harrison's complaint followed. The first, by OIPC portfolio officer Catherine Tully, concluded that the second consent signed by Mr. Harrison was sufficient authorization for Ms. Bischoff to disclose the information in the Access Only file. Ms. Tully also concluded that s. 79(a)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authorized the disclosure if it is "necessary to ensure the safety or well-being of a child".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Mr. Harrison was dissatisfied with Ms. Tully's review and on 16 April 2007 submitted to the Commissioner a 20-page critique that endeavoured to "chronicle the complex dynamics associated" with Ms. Bischoff's disclosure to Access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OIPC adjudicator Justine Austin-Olsen conducted a reconsideration of Ms. Tully's review. Ms. Austin-Olsen reported to Mr. Harrison on 23 May 2007. She confirmed that the two consents signed by Mr. Harrison were valid, but that there was insufficient evidence to confirm the finding that disclosure was made in compliance with s. 33.1(1)(b)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or that it was authorized under s. 79(a)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A third investigation was conducted by OIPC portfolio officer Patrick Egan. Mr. Egan investigated two issues. The first was whether the Ministry's disclosure was made in compliance with s. 33.1(1)(b)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That section permits a public body, such as the Ministry, to disclose personal information "if the individual the information is about has identified the information and consented, in the prescribed manner, to its disclosure inside or outside Canada, as applicable". The second issue was whether the disclosure was authorized by s. 79(a)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which, as previously noted, permits a director to disclose, without the consent of any person, information obtained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if the disclosure is "necessary to ensure the safety or well-being of a child".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his decision, provided to Mr. Harrison on 17 September 2007, Mr. Egan concluded that the Ministry was authorized under s. 33.1(1)(b)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to disclose the information contained in the Access Only and Resource files but the Ministry was not authorized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to disclose Ms. Bischoff's </w:t>
      </w:r>
      <w:r>
        <w:rPr>
          <w:rFonts w:ascii="arial" w:eastAsia="arial" w:hAnsi="arial" w:cs="arial"/>
          <w:color w:val="000000"/>
          <w:sz w:val="20"/>
          <w:u w:val="single"/>
          <w:lang w:val="en-US" w:eastAsia="en-US" w:bidi="ar-SA"/>
        </w:rPr>
        <w:t>opinion</w:t>
      </w:r>
      <w:r>
        <w:rPr>
          <w:rFonts w:ascii="arial" w:eastAsia="arial" w:hAnsi="arial" w:cs="arial"/>
          <w:color w:val="000000"/>
          <w:sz w:val="20"/>
          <w:lang w:val="en-US" w:eastAsia="en-US" w:bidi="ar-SA"/>
        </w:rPr>
        <w:t xml:space="preserve"> that Mr. Harrison should be supervised because the opinion was not identified in the signed consents.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Mr. Egan concluded, however, that the Ministry was nevertheless authorized under s. 79(a)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to disclose Ms. Bischoff's opinion. As Mr. Egan explained, he was of the view that the Ministry was entitled to rely on s. 79(a), and was also satisfied that Ms. Bischoff acted in good faith and followed proper procedures in making the disclosure to Access House: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MCFD's stated reliance on s. 79(a) after the fact does not mean that such reliance is invalid or that MCFD was covering up any deficiency in the previous consents. In my view, it is likely that MCFD social workers are disclosing personal information under s. 79(a) on a daily basis, and they are authorized to do so when necessary, in order to properly discharge the duties imposed on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also asked MCFD to explain the process that led the resource worker to conclude that there was enough potential risk to ask that Access House supervise your work with the youth. As I outlined above, according to the resource worker, the AO [Assessment Only] file did not adequately explain why no investigation took place and why the file was closed as "no case made". The homestudy in the RE [Resource] file did not contain a PCC [Prior Contact Check] or a review of the AO file as she expected and as she believed it should have. The resource worker took this information to her supervisor and, after discussing the matter, they decided that a comprehensive review of the AO file was required. They decided to pass on their concerns to Access House and suggested that you be supervised in your position until their review was complete.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I have said, our office does not have the expertise to determine whether the safety or well-being of the child in this case was in fact at risk. However, based on the above information, I am satisfied that the resource worker acted in good faith; that she followed the proper procedures by consulting with her supervisor in coming to this decision; that the decision was made after weighing the privacy issues against the child's safety or well-being; and that the resource worker's decision was consistent with the guiding principles of the CFCSA.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find that s. 79(a) of the CFCSA authorized the resource worker to disclose your personal information, including her professional opinion about you, to Access House without your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must be noted that, throughout this protracted process, one of Mr. Harrison's fundamental complaints has been that the information contained in the Access Only file was untrue. The decision by Mr. Egan referred to in the above quote is the decision Mr. Harrison sought to have reviewed on judicial review before Pitfield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intervene in my description of the chronology to describe the circumstances involved in a civil action commenced by Mr. Harrison shortly after the decision of Pitfield J. in </w:t>
      </w:r>
      <w:hyperlink r:id="rId415" w:history="1">
        <w:r>
          <w:rPr>
            <w:rFonts w:ascii="arial" w:eastAsia="arial" w:hAnsi="arial" w:cs="arial"/>
            <w:i/>
            <w:color w:val="0077CC"/>
            <w:sz w:val="20"/>
            <w:u w:val="single"/>
            <w:shd w:val="clear" w:color="auto" w:fill="FFFFFF"/>
            <w:lang w:val="en-US" w:eastAsia="en-US" w:bidi="ar-SA"/>
          </w:rPr>
          <w:t>2008 BCSC 411</w:t>
        </w:r>
      </w:hyperlink>
      <w:r>
        <w:rPr>
          <w:rFonts w:ascii="arial" w:eastAsia="arial" w:hAnsi="arial" w:cs="arial"/>
          <w:color w:val="000000"/>
          <w:sz w:val="20"/>
          <w:lang w:val="en-US" w:eastAsia="en-US" w:bidi="ar-SA"/>
        </w:rPr>
        <w:t>. Such reference is necessary because that case also ultimately found its way in the Court of Appeal. Certain comments by the Court of Appeal are relevant to the determination of the Attorney General's position on its application for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April 2008 Mr. Harrison filed a law suit against the MCFD and two employees seeking substantial damages, for negligent disclosure of personal information about him to Access House for misfeasance in public office and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Attorney General applied to have the action dismissed under the then Rule 18A as disclosing no reasonable cause of action. The summary trial judge declined to grant such relief on the basis there was a material conflict on the facts: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2009 BCSC 460</w:t>
        </w:r>
      </w:hyperlink>
      <w:r>
        <w:rPr>
          <w:rFonts w:ascii="arial" w:eastAsia="arial" w:hAnsi="arial" w:cs="arial"/>
          <w:color w:val="000000"/>
          <w:sz w:val="20"/>
          <w:lang w:val="en-US" w:eastAsia="en-US" w:bidi="ar-SA"/>
        </w:rPr>
        <w:t xml:space="preserve"> (the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Attorney General appealed to the Court of Appeal. That court allowed the appeal and dismissed the Civil Action: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Applying the Supreme Court of Canada's decision in </w:t>
      </w:r>
      <w:r>
        <w:rPr>
          <w:rFonts w:ascii="arial" w:eastAsia="arial" w:hAnsi="arial" w:cs="arial"/>
          <w:i/>
          <w:color w:val="000000"/>
          <w:sz w:val="20"/>
          <w:lang w:val="en-US" w:eastAsia="en-US" w:bidi="ar-SA"/>
        </w:rPr>
        <w:t>D.(B). v. Children's Aid Society of Halton (Region)</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the court concluded, having regard to the preeminent purpose of child protection legislation, the MCFD and its employees did not owe a duty of care to Mr.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 do not entirely accept the appellants' expansive interpretation of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The relationship at issue in that case is not identical to the one here. Nonetheless, I agree that the deciding principle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applies and is equally compelling in the present circumstances: as a child care worker, Ms. Bischoff's paramount obligation to the child in care precludes finding an ancillary duty of care to Mr. Harrison that would interfere with the effective discharge of that primary obligation.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In this case, the relationship at issue is not between child protection authorities and family members of children in their care, as it was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The material relationship in this case is between a MCFD resource social worker and an employee of a contracted agency, where the social worker is specifically responsible to review the employee's background to identify possible child safety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Despite this difference, the same basic concern arises in both: the recognition of an ancillary duty of care would create a conflict of duties that could interfere with the overriding mandate of child protection authorities -- to promote the best interests and welfare of the child.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is clear that where such potential for conflict exists, no duty should be recognized.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The primary obligation of social workers operating under the</w:t>
      </w:r>
      <w:r>
        <w:rPr>
          <w:rFonts w:ascii="arial" w:eastAsia="arial" w:hAnsi="arial" w:cs="arial"/>
          <w:i/>
          <w:color w:val="000000"/>
          <w:sz w:val="20"/>
          <w:lang w:val="en-US" w:eastAsia="en-US" w:bidi="ar-SA"/>
        </w:rPr>
        <w:t xml:space="preserve"> CFCSA</w:t>
      </w:r>
      <w:r>
        <w:rPr>
          <w:rFonts w:ascii="arial" w:eastAsia="arial" w:hAnsi="arial" w:cs="arial"/>
          <w:color w:val="000000"/>
          <w:sz w:val="20"/>
          <w:lang w:val="en-US" w:eastAsia="en-US" w:bidi="ar-SA"/>
        </w:rPr>
        <w:t>, including Ms. Bischoff, is found under s. 2 of the Act, which provides that the safety and well-being of children must be the paramount considerations in the administration of the statute. It is in the context of this statutory mandate that Ms. Bischoff was expressly required to review the background of individuals seeking to work with vulnerable children in the care of the MCFD.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Imposing a private law duty of care on a social worker to those whose background he or she must review for child safety concerns has the potential to interfere with their ability to discharge that vital task. More broadly, it would interfere with the paramount duty to the safety of the child. A social worker should not feel torn between her paramount obligation to the child and an ancillary duty to consider the employment status of those who seek to care for them. Accordingly, imposing a duty of care on Ms. Bischoff in these circumstances poses precisely the risk for inherent conflict that was found to be determinative by the Supreme Court of Canada in</w:t>
      </w:r>
      <w:r>
        <w:rPr>
          <w:rFonts w:ascii="arial" w:eastAsia="arial" w:hAnsi="arial" w:cs="arial"/>
          <w:i/>
          <w:color w:val="000000"/>
          <w:sz w:val="20"/>
          <w:lang w:val="en-US" w:eastAsia="en-US" w:bidi="ar-SA"/>
        </w:rPr>
        <w:t xml:space="preserve"> Syl Apps</w:t>
      </w:r>
      <w:r>
        <w:rPr>
          <w:rFonts w:ascii="arial" w:eastAsia="arial" w:hAnsi="arial" w:cs="arial"/>
          <w:color w:val="000000"/>
          <w:sz w:val="20"/>
          <w:lang w:val="en-US" w:eastAsia="en-US" w:bidi="ar-SA"/>
        </w:rPr>
        <w:t>. There is simply no basis to distinguish</w:t>
      </w:r>
      <w:r>
        <w:rPr>
          <w:rFonts w:ascii="arial" w:eastAsia="arial" w:hAnsi="arial" w:cs="arial"/>
          <w:i/>
          <w:color w:val="000000"/>
          <w:sz w:val="20"/>
          <w:lang w:val="en-US" w:eastAsia="en-US" w:bidi="ar-SA"/>
        </w:rPr>
        <w:t xml:space="preserve"> Syl Apps</w:t>
      </w:r>
      <w:r>
        <w:rPr>
          <w:rFonts w:ascii="arial" w:eastAsia="arial" w:hAnsi="arial" w:cs="arial"/>
          <w:color w:val="000000"/>
          <w:sz w:val="20"/>
          <w:lang w:val="en-US" w:eastAsia="en-US" w:bidi="ar-SA"/>
        </w:rPr>
        <w:t xml:space="preserve"> in this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Further, it is significant that family members have a far stronger argument for "proximity" than individuals in Mr. Harrison's position. Both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and the equivalent statutory framework addressed by the Supreme Court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include obligations that explicitly recognize the important rights and interests of the families of children in care. Although these are essentially procedural rights -- which the Supreme Court found were incapable of standing alone, detracting from the determinative emphasis on the protection of children, or of grounding proximity -- they acknowledge the important (albeit secondary) interests of families in both the process and outcome of child protection proceedings. If the considerable weight of such interests is insufficient to ground a duty of care, it is hard to see why </w:t>
      </w:r>
      <w:r>
        <w:rPr>
          <w:rFonts w:ascii="arial" w:eastAsia="arial" w:hAnsi="arial" w:cs="arial"/>
          <w:color w:val="000000"/>
          <w:sz w:val="20"/>
          <w:u w:val="single"/>
          <w:lang w:val="en-US" w:eastAsia="en-US" w:bidi="ar-SA"/>
        </w:rPr>
        <w:t>other</w:t>
      </w:r>
      <w:r>
        <w:rPr>
          <w:rFonts w:ascii="arial" w:eastAsia="arial" w:hAnsi="arial" w:cs="arial"/>
          <w:color w:val="000000"/>
          <w:sz w:val="20"/>
          <w:lang w:val="en-US" w:eastAsia="en-US" w:bidi="ar-SA"/>
        </w:rPr>
        <w:t xml:space="preserve"> third parties -- further removed from the primary mandate of the legislation and with less of a claim on the deliberative conscience of a social worker -- should nevertheless prevail. This is particularly true in the present case where the relationship is defined by the resource worker's role of providing vigilant supervision to ensure vulnerable youth are not placed at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For these reasons, and irrespective of the conflict in the evidence, Mr. Harrison's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not succeed, and the appellants are entitled to have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DECISION BY THE COMMISSIONER UNDER REVIEW ON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delegate of the Commissioner issued Order F10-31 on September 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Prior to doing so the Commissioner sought further submissions from the parties. The Commissioner wrote a letter to the parties on January 25, 2010 clarifying the scope of the its inquiry: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Harrison made a submission dated October 13, 2009. The Ministry made no response to Commissioner's Loukidelis's letter.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Instead of raising procedural or preliminary issues Mr. Harrison's submission alleged a list of breaches of s. 28 of the Act and other laws, referring to various documents and an affidavit and examinations for discovery from his civil action against the Ministry and others (SCBC Docket No. S-082915, Vancouver Registry).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breadth of the allegations in Mr. Harrison's October 13, 2009, submission, it seems important to restate, very clearly, that the purpose of the remittal is to consider whether the Ministry breached s. 28 of the Act and remedies arising, if 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work, analysis or conclusions of the Commissioner's staff, Catherine Tully, Justine Austin-Olsen and Patrick Egan, in earlier phases of Mr. Harrison's complaints against the Ministry will not be revisited. The consideration of s. 28 will focus on personal information of Mr. Harrison. Compliance with s. 28 as regards his daughter will not be considered. Whether the Ministry was authorized to disclose information by s. 79 of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will not be considered. Whether the Ministry breached rights under the Canada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xml:space="preserve"> will not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setting out the history of the proceedings and the facts, the Commissioner's delegate then set out the directions the Commissioner had been given by the Court of Appeal "that I consider Mr. Harrison's complaint in relation to s. 28 of FIPPA".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reciting s. 28 of FIPPA the Commissioner described the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issues under review therefore are:</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Ministry, or someone on behalf of the Ministry, use Mr. Harrison's personal information to make a decision that directly affected him and, if so,</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Ministry make every reasonable effort to ensure that the information was accurate and complete prior to using the information in the decision that directly affected Mr.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Commissioner noted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this matter, I consulted the evidentiary foundation already gathered in Mr. Harrison's civil action against the Ministry and others, and specifically the material the parties filed in their respective applications under Rule 18A of the Supreme Court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I also invited the parties to make further submissions and received submissions from the Ministry and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course of its decision the Commissioner addressed a number of questions. I cite from portions of the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 The Information The Applicant's Personal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Under FIPPA, "personal information" means "recorded information about an identifiable individual".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However, the Ministry argues that the verbal recommendation of the social worker that Mr. Harrison not be left unsupervised with clients at the group home is not Mr. Harrison's personal information, because it is not "recorded"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In my view, the Ministry's submission misses the point because the verbal opinion of the social worker provided to the group home is not the matter under consideration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What is the subject of this review is the information that the social worker reviewed and considered during the prior contact check process. That information, in the custody and control of the Ministry, is clearly Mr. Harrison's personal information.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The Ministry Use the Applicant's Personal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Taking all of this evidence together with the definitions of "use," I conclude that the social worker "employed the information in a manner to accomplish the public body's objectives". In short, she "used" the information in making her recommendation, pending the outcome of her review, that Mr. Harrison be prohibited from one-on-one contact with youth and that he engage only in activities with the residents of the group home in which he could be supervised.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The Personal Information Used In A Decision That Directly Affected Mr. Harrison?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The Ministry argues that "decisions" within the meaning of s. 28 ought to possess "formality and processes" and that the impact on the individual of those decisions be "obvious and clear".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The Ministry further submits: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work of child protection social workers, including their actions to investigate a report or to alert an employer or the like, does not involve decisions that directly affect individuals, within the meaning of [s. 28 of FIPPA]. Rather, these are simply the functions of social workers doing their jobs.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The Ministry suggests that s. 28 only applies to "formal" decisions and not to "routine" decisions or actions of social workers. I do not agree. There is nothing in FIPPA that warrants drawing such a distinction. The only distinction made under FIPPA concerning "decisions" are those that "directly affect" individuals from those that do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Ministry takes the position that the information was not used by anyone in a "decision of the Ministry" and, in any event, not in any decision of the Ministry that directly affected Mr. Harrison, as the decision to fire Mr. Harrison was made by the management of the group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 do not agree. The Ministry correctly states that the group home and not the Ministry decided to fire Mr. Harrison. However, this does not change the fact the Ministry also made a decision in this instance. The decision in question was the social worker's decision to recommend the suspension of Mr. Harrison's unsupervised access to youth at the group home until she completed her review. It is not within my mandate to determine whether her recommendation was correct or not. However, there can be no doubt the decision to make this recommendation had profound consequences for Mr. Harrison.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The Ministry's attempt to deny there was a direct link between the recommendation of the social worker and the subsequent firing of Mr. Harrison is not believable. Mr. Harrison was hired specifically to provide one-on-one supervision for a youth receiving services through the group home. The Ministry was the overseer of the contractor and appeared to have the power in the contract to approve all caregivers. Mr. Harrison fell squarely under the definition of caregiver.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It is not believable to suggest the group home management would disregard the social worker's decision to recommend that Mr. Harrison be removed from unsupervised access to clients of the group home. This recommendation had the direct impact of frustrating the purpose for which Mr. Harrison was hired. Mr. Harrison's employment was promptly terminated.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I find that the personal information was used in a decision that directly affected Mr. Harrison.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The Ministry Make Every Reasonable Effort To Ensure Accuracy And Completeness Of Mr. Harrison's Personal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Whether the information contained in Ministry files about Mr. Harrison was accurate and complete is not within the scope of this hearing. The question is whether the Ministry made every reasonable effort to ensure the accuracy and completeness of Mr. Harrison's personal information before it used that information to recommend Mr. Harrison be prohibited from unattended contact with the youth at the group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The Ministry states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the context of child protection social work, social workers are required to accurately record what is reported to them, and to completely record what is reported to them. They are not required to ascertain the veracity of what is reported to them at the time of the report. Attempts to do that may occur during the report investigation state, not at the report receipt stage.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In its initial submission, the Ministry correctly states that the Freedom of Information and Protection of Privacy Policy and Procedure Manual published by the sponsoring Ministry of Citizens' Services does not define the terms "accuracy" and "completeness". Neither does FIPPA. The Ministry states that the term "accuracy" cannot be read as "true" or "proven" but rather should be read as "careful, precise, lacking errors -- in other words, recorded carefully, precisely and without errors". If this were not the case, the Ministry argues, then social workers would be prohibited from deciding to investigate a child protection report unless the investigator was "already satisfied as to the veracity of the report", which would frustrate the "very nature and purpose of child protection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The Ministry's reasoning does not persuade me because it ignores what is plain and obvious: the terms "accurate and complete" in s. 28 directly relate to the veracity of the individual's personal information, not to the preciseness of the transcription. The Ministry's act of investigating a child protection report </w:t>
      </w:r>
      <w:r>
        <w:rPr>
          <w:rFonts w:ascii="arial" w:eastAsia="arial" w:hAnsi="arial" w:cs="arial"/>
          <w:i/>
          <w:color w:val="000000"/>
          <w:sz w:val="20"/>
          <w:lang w:val="en-US" w:eastAsia="en-US" w:bidi="ar-SA"/>
        </w:rPr>
        <w:t>is</w:t>
      </w:r>
      <w:r>
        <w:rPr>
          <w:rFonts w:ascii="arial" w:eastAsia="arial" w:hAnsi="arial" w:cs="arial"/>
          <w:color w:val="000000"/>
          <w:sz w:val="20"/>
          <w:lang w:val="en-US" w:eastAsia="en-US" w:bidi="ar-SA"/>
        </w:rPr>
        <w:t xml:space="preserve"> the process the Ministry follows to determine the accuracy of the information in the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The Ministry's argument implies that s. 28 requires only that a public body ensure that information it uses in a decision is carefully transcribed and completely recorded, without any regard to its veracity. Such an interpretation could have dramatic adverse consequences for individuals, where the use of inaccurate or incomplete information to make decisions could result in improper health care treatment, discrimination, loss of employment, loss of driving privileges, loss of child custody and/or financial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Commissioner's delegate discussed the rationale for her decision at paras. 72-79 of the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What is the standard by which one can conclude a public body has made "every reasonable effort" to ensure that personal information is accurate and complete, before it makes a decision affecting someone, based on that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In this matter, the evidence is clear that the social worker made no effort, let alone every reasonable effort, to ensure the accuracy and completeness of the information she relied upon to come to her interim decision recommending Mr. Harrison not be left alone with youth in his workplace. Her opinion was based in part on her belief that the matter had not been "properly" investigated. Yet she did not make a single inquiry of any one of the several Ministry employees who had had dealings with Mr. Harrison over the previous decade. To compound matters, she admitted that, when she made her recommendation concerning Mr. Harrison, it had been more than twenty-four years since she had worked in the field of child protection. This decision, based on allegations determined at the time to be without substance and warranting no further investigation, has led to consequences that cannot be remedied.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In addition, it is not clear to me whether the Ministry has a strategy, policy or process dealing with the management of files concerning unsubstantiated or worse, uninvestigated, allegations of sexual (or other) abuse. It is however clear that those who have been subjected to the latter are in an unenviable situation in which there can be no successful outcome. Since no investigation ever takes place, the veracity of the allegation is not conclusively resolved. Yet no further investigation will ever take place, frustrating closure to the matter and leading to the possible loss of reputation or other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What is "reasonable" with respect to s. 28 will be contextual, but the evidence in this case leads me to conclude that the standard of reasonability with respect to prior contact checks will generally be higher in the presence of any of the following factors: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may have a serious impact on the individual's health, safety, finances, employment or reputation;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information was not collected directly from the person concerned and the person concerned has not reviewed the information;</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information is outdated or archived;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information is being used for purposes secondary to the original purpose for which it was originally collected;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information was supplied anonymously.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The presence of any one of these factors increases both the risk that use of the personal information could have an adverse effect on the person concerned and the obligations on the part of the public body to ensure the accuracy of personal information before it is used in a decision that affects someone.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In this case,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these factors were present and combined to produce a deleterious outcome for Mr.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Commissioner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For the reasons given above, under s. 58(3)(a) of FIPPA, I find that the Ministry breached its duty under s. 28 to make every reasonable effort to ensure that Mr. Harrison's personal information in its custody and control was accurate and complete before it was used in a decision that directly affected Mr. Harrison.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Under s. 58(3)(a), I require the Ministry to perform its duty under s. 28 and to take all appropriate steps to ensure this duty is met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I recommend that the Ministry: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Clarify in writing for all relevant Ministry staff the purposes for which personal information is collected, used and disclosed in the prior contact check process;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criteria outlined in paragraph [77] of this decision, develop and implement policies and procedures pertaining to the accuracy, completeness, use, disclosure and retention of personal information relating to allegations of sexual or other abuse determined to be unsubstantiated and/or uninvestigated on the grounds that no case has been made to justify an investigation.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ask the Ministry to provide the Information and Privacy Commissioner with an update on the progress of these recommendations on or before December 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APPEAL OF THE ORDER BY MR.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Harrison is highly critical of the Order. Essentially, he says that the Commissioner, by focusing on the requirement the MCFD develop and implement policies and procedures to address future cases, has ignored the harm inflicted on him as a result of the disclosure of personal information and that it has ignored any redress available to him arising under FIPPA.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petition Mr. Harrison asks the court to direct the Commissioner:</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conclude that the MCFD's breach of s. 28 and s. 29 of FIPPA constituted a breach of s. 73(a) and (b) of FIPPA;</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conclude the consent he gave to the MCFD did not comply with FIPPA;</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conclude the MCFD contravened ss. 30.4, 74(1)(a) and (b) and ss. 74.1 and 74.1(4) of FIPPA;</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s. 58(3)(f) of the Act, to expunge his personal information collected in contravention of s. 27(1) of FIPPA;</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conclude the Commissioner contravened s. 74(1)(a) and (b) of FIPPA; and</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conclude that the Commissioner contravened s. 48 of FIPPA by failing to investigate the petitioner's complaint in good faith under s. 48 of FIPPA.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What Mr. Harrison seeks, in essence, is a remedy for the injury he says has been done to him as a consequence of the improper release of personal confidential information by the MCFD to his former employer which resulted in his loss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Harrison also argues the factual findings referred to by the Commissioner and the issues under review were unduly limited by the Commissioner giving rise to an error in jurisdiction and to breaches in the principles of procedural fairness and natural justice. As he states in his petition:</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says that the consequences of the Respondent's actions can never be reversed, but FIPPA does provide remedy in the form of punitive measures under ss. 30.4, 74(1), and 74.1.</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Petitioner says that he has been deprived of procedural fairness and natural justice by the actions of the Ministry respondents and that the breach of ss. 28 and 29 are contraventions of section 73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Petitioner says that he has been deprived of procedural fairness and natural justice by the actions of the Privacy Commissioner of British Columbia Delegate(s) and that the actions of the Commissioner's Delegate(s) contravened section 48 of the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APPEAL FROM THE ORDER BY THE ATTORNEY GENERAL ON BEHALF OF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Ministry argues the Commissioner erred in law in failing to consider the intent and purpose underlying the CFCSA: that is, that the Act imposes "transient" and "paramount" duties on persons such as Ms. Bischoff which override any duty which may have been owed to a caregiver in Mr. Harrison's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Ministry further argues the Commissioner erred in law in a number of respects. I refer to the Ministry's petition:</w:t>
      </w:r>
      <w:r>
        <w:rPr>
          <w:rFonts w:ascii="arial" w:eastAsia="arial" w:hAnsi="arial" w:cs="arial"/>
          <w:sz w:val="20"/>
          <w:lang w:val="en-US" w:eastAsia="en-US" w:bidi="ar-SA"/>
        </w:rPr>
        <w:cr/>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Commissioner's delegate erred in law in her interpretation of s. 28 of FIPPA. In particular, she erred in finding that:</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Bischoff's recommendation to Access House was capable of being characterized as a "decision" that "directly affected" Mr. Harrison;</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 House's decision to terminate Mr. Harrison's employment was capable of being a decision made "by or on behalf of" the Ministry; and</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Bischoff was required to ensure the veracity of the allegation made in 1996 before recommending that Mr. Harrison ought to be supervised.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Ministry further argued the Commissioner made unreasonable findings of fact:</w:t>
      </w:r>
      <w:r>
        <w:rPr>
          <w:rFonts w:ascii="arial" w:eastAsia="arial" w:hAnsi="arial" w:cs="arial"/>
          <w:sz w:val="20"/>
          <w:lang w:val="en-US" w:eastAsia="en-US" w:bidi="ar-SA"/>
        </w:rPr>
        <w:cr/>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Commissioner's delegate made patently unreasonable findings of fact. In particular, she erred in finding that: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of Appeal had not set aside Mr. Justice Pitfield's finding that the Ministry had conveyed inaccurate personal information about Mr. Harrison and, in doing so, breached s. 28 of FIPPA;</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that "directly affected" Mr. Harrison was made "by or on behalf of" the Ministry;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Bischoff made no effort to ensure the accuracy and completeness of the information she relied on;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for which Ms. Bischoff used Mr. Harrison's personal information was a "secondary purpose" that was not consistent with or reasonably connected to the purpose for which it was originally collected.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pointed out by Madam Justice Wedge at para. 13 in </w:t>
      </w:r>
      <w:r>
        <w:rPr>
          <w:rFonts w:ascii="arial" w:eastAsia="arial" w:hAnsi="arial" w:cs="arial"/>
          <w:i/>
          <w:color w:val="000000"/>
          <w:sz w:val="20"/>
          <w:lang w:val="en-US" w:eastAsia="en-US" w:bidi="ar-SA"/>
        </w:rPr>
        <w:t>Kinexus Bioinformatics Corporation v. Asad</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2010 BCSC 33</w:t>
        </w:r>
      </w:hyperlink>
      <w:r>
        <w:rPr>
          <w:rFonts w:ascii="arial" w:eastAsia="arial" w:hAnsi="arial" w:cs="arial"/>
          <w:color w:val="000000"/>
          <w:sz w:val="20"/>
          <w:lang w:val="en-US" w:eastAsia="en-US" w:bidi="ar-SA"/>
        </w:rPr>
        <w:t>, on a judicial review the court does not sit as an appellate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on judicial review does not sit as an appellate court. It does not re-try the matters decided by the tribunal. It is not the court's role to review the wisdom of the tribunal's decision. The court cannot re-weigh the evidence, make findings of credibility or substitute its view of the merits for that of the tribunal. The court's role is limited to determining whether the tribunal has acted, and made its decision, within its statutory authority or jurisdiction: </w:t>
      </w:r>
      <w:r>
        <w:rPr>
          <w:rFonts w:ascii="arial" w:eastAsia="arial" w:hAnsi="arial" w:cs="arial"/>
          <w:i/>
          <w:color w:val="000000"/>
          <w:sz w:val="20"/>
          <w:lang w:val="en-US" w:eastAsia="en-US" w:bidi="ar-SA"/>
        </w:rPr>
        <w:t>Ross v. British Columbia (Human Rights Tribunal)</w:t>
      </w:r>
      <w:r>
        <w:rPr>
          <w:rFonts w:ascii="arial" w:eastAsia="arial" w:hAnsi="arial" w:cs="arial"/>
          <w:color w:val="000000"/>
          <w:sz w:val="20"/>
          <w:lang w:val="en-US" w:eastAsia="en-US" w:bidi="ar-SA"/>
        </w:rPr>
        <w:t xml:space="preserve"> (1 May 2009), Vancouver L042211 (B.C.S.C.); </w:t>
      </w:r>
      <w:r>
        <w:rPr>
          <w:rFonts w:ascii="arial" w:eastAsia="arial" w:hAnsi="arial" w:cs="arial"/>
          <w:i/>
          <w:color w:val="000000"/>
          <w:sz w:val="20"/>
          <w:lang w:val="en-US" w:eastAsia="en-US" w:bidi="ar-SA"/>
        </w:rPr>
        <w:t>Tse v. British Columbia (Council of Human Rights),</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[1991] B.C.J. No. 275</w:t>
        </w:r>
      </w:hyperlink>
      <w:r>
        <w:rPr>
          <w:rFonts w:ascii="arial" w:eastAsia="arial" w:hAnsi="arial" w:cs="arial"/>
          <w:color w:val="000000"/>
          <w:sz w:val="20"/>
          <w:lang w:val="en-US" w:eastAsia="en-US" w:bidi="ar-SA"/>
        </w:rPr>
        <w:t xml:space="preserve"> (QL)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Justice Wedge's comments are, in my view, particularly apposite in the present case as Mr. Harrison, as will be discussed, seeks to have this Court do precisely what Justice Wedge says is not to be done by a court on a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xml:space="preserve">, does not apply to decisions of the Commissioner and therefore the standard of review falls to be determined on the basis of the common law: </w:t>
      </w:r>
      <w:r>
        <w:rPr>
          <w:rFonts w:ascii="arial" w:eastAsia="arial" w:hAnsi="arial" w:cs="arial"/>
          <w:i/>
          <w:color w:val="000000"/>
          <w:sz w:val="20"/>
          <w:lang w:val="en-US" w:eastAsia="en-US" w:bidi="ar-SA"/>
        </w:rPr>
        <w:t>Weyerhaeuser Co. v. Nanaimo Cowichan Assessor, Area No. 4</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2010 BCCA 46</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Guide Outfitters Assoc. v. British Columbia (Information and Privacy Commissioner)</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2004 BCCA 210</w:t>
        </w:r>
      </w:hyperlink>
      <w:r>
        <w:rPr>
          <w:rFonts w:ascii="arial" w:eastAsia="arial" w:hAnsi="arial" w:cs="arial"/>
          <w:color w:val="000000"/>
          <w:sz w:val="20"/>
          <w:lang w:val="en-US" w:eastAsia="en-US" w:bidi="ar-SA"/>
        </w:rPr>
        <w:t>, the Court of Appeal considered the general nature of the tribunal and some of the factors to be considered in assessing the standard of review applicable to its decisions: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the instant case there is neither a privative clause nor a right of appeal. The absence of such clauses in itself is not determinative; this is somewhat of a neutral factor. However, the statute is the constituent legislation of the tribunal. This latter circumstance could be said to indicate a more deferential standard of review. The relative expertise of the tribunal also falls to be considered. This area of access to information is a fairly specialized area and one with which the Commissioner will, over time, gain a familiarity. He is well situated to appreciate the issues and concerns that have arisen and will arise in the operation of the Act. The continuing administration of the Act will cause the Commissioner to be alive to issues such as the parameters of likely concern by those who could be potentially affected by decisions relating to the release of information under the Act. There is in my respectful opinion an obvious factual component to any decision made by the Commission under s. 54 concerning notice and participation. The effective administration of the Act requires that the Commissioner be afforded a reasonable ambit of discretion in deciding who it is appropriate to notify and to allow to formally participate in any inquiry. In </w:t>
      </w:r>
      <w:r>
        <w:rPr>
          <w:rFonts w:ascii="arial" w:eastAsia="arial" w:hAnsi="arial" w:cs="arial"/>
          <w:i/>
          <w:color w:val="000000"/>
          <w:sz w:val="20"/>
          <w:lang w:val="en-US" w:eastAsia="en-US" w:bidi="ar-SA"/>
        </w:rPr>
        <w:t>Macdonell v. Quebec (Commission d'accs à l'information)</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[2002] 3 S.C.R. 661</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2002 SCC 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Macdonell</w:t>
      </w:r>
      <w:r>
        <w:rPr>
          <w:rFonts w:ascii="arial" w:eastAsia="arial" w:hAnsi="arial" w:cs="arial"/>
          <w:color w:val="000000"/>
          <w:sz w:val="20"/>
          <w:lang w:val="en-US" w:eastAsia="en-US" w:bidi="ar-SA"/>
        </w:rPr>
        <w:t>], a case where a limited right of appeal in the legislation could have been indicative of a less deferential standard of review, Gonthier J., speaking for the majority, had this to say, at para. 8, regarding the expertise of privacy commissioners: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Quebec Commission d'accs à l'information has no special interest in the decision it must make, and so it is able to play its role independently. By virtue of the fact that it is always interpreting the same Act, and that it does so on a regular basis, the Quebec Commissioner develops general expertise in the field of access to information. That general expertise on the part of the Commission invites this Court to demonstrate a degree of deference.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Macdonell</w:t>
      </w:r>
      <w:r>
        <w:rPr>
          <w:rFonts w:ascii="arial" w:eastAsia="arial" w:hAnsi="arial" w:cs="arial"/>
          <w:color w:val="000000"/>
          <w:sz w:val="20"/>
          <w:lang w:val="en-US" w:eastAsia="en-US" w:bidi="ar-SA"/>
        </w:rPr>
        <w:t>, the court found it appropriate to apply a standard of reasonableness to the decision of the Commissioner.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determining the appropriate standard of review I am required to have regard to the particular issue(s) before the court and to assess those issues within the analysis set out in </w:t>
      </w:r>
      <w:r>
        <w:rPr>
          <w:rFonts w:ascii="arial" w:eastAsia="arial" w:hAnsi="arial" w:cs="arial"/>
          <w:i/>
          <w:color w:val="000000"/>
          <w:sz w:val="20"/>
          <w:lang w:val="en-US" w:eastAsia="en-US" w:bidi="ar-SA"/>
        </w:rPr>
        <w:t>New Brunswick (Board of Management) v. Dunsmuir</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(2008), 372 N.R. 1</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69 Admin. L.R. (4th) 1</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69 Imm. L.R. (3d) 1</w:t>
        </w:r>
      </w:hyperlink>
      <w:r>
        <w:rPr>
          <w:rFonts w:ascii="arial" w:eastAsia="arial" w:hAnsi="arial" w:cs="arial"/>
          <w:color w:val="000000"/>
          <w:sz w:val="20"/>
          <w:lang w:val="en-US" w:eastAsia="en-US" w:bidi="ar-SA"/>
        </w:rPr>
        <w:t xml:space="preserve">, (sub nom.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[2008] 1 S.C.R. 190</w:t>
        </w:r>
      </w:hyperlink>
      <w:r>
        <w:rPr>
          <w:rFonts w:ascii="arial" w:eastAsia="arial" w:hAnsi="arial" w:cs="arial"/>
          <w:color w:val="000000"/>
          <w:sz w:val="20"/>
          <w:lang w:val="en-US" w:eastAsia="en-US" w:bidi="ar-SA"/>
        </w:rPr>
        <w:t xml:space="preserve">, 844 A.P.R. 1, (sub nom.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2008 C.L.L.C. 220-020</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D.T.E. 2008T-223</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329 N.B.R. (2d) 1</w:t>
        </w:r>
      </w:hyperlink>
      <w:r>
        <w:rPr>
          <w:rFonts w:ascii="arial" w:eastAsia="arial" w:hAnsi="arial" w:cs="arial"/>
          <w:color w:val="000000"/>
          <w:sz w:val="20"/>
          <w:lang w:val="en-US" w:eastAsia="en-US" w:bidi="ar-SA"/>
        </w:rPr>
        <w:t xml:space="preserve">, (sub nom.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170 L.A.C. (4th), 1</w:t>
        </w:r>
      </w:hyperlink>
      <w:r>
        <w:rPr>
          <w:rFonts w:ascii="arial" w:eastAsia="arial" w:hAnsi="arial" w:cs="arial"/>
          <w:color w:val="000000"/>
          <w:sz w:val="20"/>
          <w:lang w:val="en-US" w:eastAsia="en-US" w:bidi="ar-SA"/>
        </w:rPr>
        <w:t xml:space="preserve"> (sub nom.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291 D.L.R. (4th) 577</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2008 CarswellNB 124</w:t>
        </w:r>
      </w:hyperlink>
      <w:r>
        <w:rPr>
          <w:rFonts w:ascii="arial" w:eastAsia="arial" w:hAnsi="arial" w:cs="arial"/>
          <w:color w:val="000000"/>
          <w:sz w:val="20"/>
          <w:lang w:val="en-US" w:eastAsia="en-US" w:bidi="ar-SA"/>
        </w:rPr>
        <w:t xml:space="preserve">, 2008 CarswellNB 125, </w:t>
      </w:r>
      <w:hyperlink r:id="rId421"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64 C.C.E.L. (3d) 1</w:t>
        </w:r>
      </w:hyperlink>
      <w:r>
        <w:rPr>
          <w:rFonts w:ascii="arial" w:eastAsia="arial" w:hAnsi="arial" w:cs="arial"/>
          <w:color w:val="000000"/>
          <w:sz w:val="20"/>
          <w:lang w:val="en-US" w:eastAsia="en-US" w:bidi="ar-SA"/>
        </w:rPr>
        <w:t xml:space="preserve">, (sub nom.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95 L.C.R. 65</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requires four factors to be taken into account:</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or absence of a privative clause;</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decision-maker as determined by the interpretation of the enabling legislation;</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question; and</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expertise of the decision 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stated, FIPPA does not contain a privative clause or a right of appeal: accordingly this is a neutral factor: see </w:t>
      </w:r>
      <w:r>
        <w:rPr>
          <w:rFonts w:ascii="arial" w:eastAsia="arial" w:hAnsi="arial" w:cs="arial"/>
          <w:i/>
          <w:color w:val="000000"/>
          <w:sz w:val="20"/>
          <w:lang w:val="en-US" w:eastAsia="en-US" w:bidi="ar-SA"/>
        </w:rPr>
        <w:t>Guide Outfitters Assoc.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 Freedom of Information and Privacy Association v. British Columbia (Information and Privacy Commissioner)</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2010 BCSC 1162</w:t>
        </w:r>
      </w:hyperlink>
      <w:r>
        <w:rPr>
          <w:rFonts w:ascii="arial" w:eastAsia="arial" w:hAnsi="arial" w:cs="arial"/>
          <w:color w:val="000000"/>
          <w:sz w:val="20"/>
          <w:lang w:val="en-US" w:eastAsia="en-US" w:bidi="ar-SA"/>
        </w:rPr>
        <w:t>, Madam Justice Gropper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Regarding the purpose of the decision maker, the Act creates a discrete and specialized administrative regime concerning the rights of access to information in records held by public bodies, the limited exceptions to those rights, and the Commissioner's independent oversight of the administration of the Act. The Act also provides for an independent review of decisions made under the Act (s. 2(1)(e)). The Act provides specialized tools and powers to the Commissioner. The Commissioner has multiple roles under the Act for education, research, public information, policy advice, compliance investigations and audits, complaint and review investigations and mediations, inquiries and order making. The Commissioner is charged to ensure public bodies comply with the Act to review their decisions about access requests. The Commissioner's responsibilities are not similar to the normal role of a court. This factor favours a deferential approach to the Commissioner's interpretation and application of the statutory machinery for access requests and reviews under the Act, including the disclosure exception in s. 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nature of the question, whether s. 13 protects submissions provided by stakeholders in the public consultation process, is an issue of interpretation and application within the parameters of the administration of the Act and the Commissioner's responsibility to monitor compliance with it. It is not the type of question, for example general law, which is of essential importance to the legal system as a whole or outside the Commissioner's specialized area of expertise. This factor favours the application of the correctness standards.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expertise of the decision maker was considered in </w:t>
      </w:r>
      <w:r>
        <w:rPr>
          <w:rFonts w:ascii="arial" w:eastAsia="arial" w:hAnsi="arial" w:cs="arial"/>
          <w:i/>
          <w:color w:val="000000"/>
          <w:sz w:val="20"/>
          <w:lang w:val="en-US" w:eastAsia="en-US" w:bidi="ar-SA"/>
        </w:rPr>
        <w:t>British Columbia Teachers' Federation</w:t>
      </w:r>
      <w:r>
        <w:rPr>
          <w:rFonts w:ascii="arial" w:eastAsia="arial" w:hAnsi="arial" w:cs="arial"/>
          <w:color w:val="000000"/>
          <w:sz w:val="20"/>
          <w:lang w:val="en-US" w:eastAsia="en-US" w:bidi="ar-SA"/>
        </w:rPr>
        <w:t xml:space="preserve">, at para. 27, which points out that the expertise must be considered in three dimensions: the characterization of the expertise of the tribunal; the courts own expertise relative to the tribunal; and the identification of the issue relative to that expertise. The Act describes a complex administrative scheme where the Commissioner is an independent officer of the legislature. He or she is legislatively chosen to monitor the administration of the Act, ensure compliance by public bodies, and review their decisions about access requests. The creation of the Commissioner's position and mandate to oversee access in privacy compliance under the Act through a range of specific tools is an expressed legislative statement of expertise: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(Attorney General) v. British Columbia (Information and Privacy Commissioner)</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2011 BCSC 112</w:t>
        </w:r>
      </w:hyperlink>
      <w:r>
        <w:rPr>
          <w:rFonts w:ascii="arial" w:eastAsia="arial" w:hAnsi="arial" w:cs="arial"/>
          <w:color w:val="000000"/>
          <w:sz w:val="20"/>
          <w:lang w:val="en-US" w:eastAsia="en-US" w:bidi="ar-SA"/>
        </w:rPr>
        <w:t xml:space="preserve">, Mr. Justice Joyce, referring to </w:t>
      </w:r>
      <w:r>
        <w:rPr>
          <w:rFonts w:ascii="arial" w:eastAsia="arial" w:hAnsi="arial" w:cs="arial"/>
          <w:i/>
          <w:color w:val="000000"/>
          <w:sz w:val="20"/>
          <w:lang w:val="en-US" w:eastAsia="en-US" w:bidi="ar-SA"/>
        </w:rPr>
        <w:t>Moreau-Berubé v. New Brunswick (Judicial Council)</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[2002] 1 S.C.R. 249</w:t>
        </w:r>
      </w:hyperlink>
      <w:r>
        <w:rPr>
          <w:rFonts w:ascii="arial" w:eastAsia="arial" w:hAnsi="arial" w:cs="arial"/>
          <w:color w:val="000000"/>
          <w:sz w:val="20"/>
          <w:lang w:val="en-US" w:eastAsia="en-US" w:bidi="ar-SA"/>
        </w:rPr>
        <w:t>, concluded, at para.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agree with the submission that the standard of review analysis in </w:t>
      </w:r>
      <w:r>
        <w:rPr>
          <w:rFonts w:ascii="arial" w:eastAsia="arial" w:hAnsi="arial" w:cs="arial"/>
          <w:i/>
          <w:color w:val="000000"/>
          <w:sz w:val="20"/>
          <w:lang w:val="en-US" w:eastAsia="en-US" w:bidi="ar-SA"/>
        </w:rPr>
        <w:t>Aquasource</w:t>
      </w:r>
      <w:r>
        <w:rPr>
          <w:rFonts w:ascii="arial" w:eastAsia="arial" w:hAnsi="arial" w:cs="arial"/>
          <w:color w:val="000000"/>
          <w:sz w:val="20"/>
          <w:lang w:val="en-US" w:eastAsia="en-US" w:bidi="ar-SA"/>
        </w:rPr>
        <w:t xml:space="preserve"> on questions of interpretation has been superceded by the Supreme Court's clarification of the law of judicial review, which establishes that deference is the norm for questions of law involving a decision maker's interpretation of its home statute and that correctness applies only to true jurisdictional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Based on the nature of the questions involved in the two petitions before me, I conclude the Commissioner's interpretation of the Court of Appeal judgment in </w:t>
      </w:r>
      <w:hyperlink r:id="rId450" w:history="1">
        <w:r>
          <w:rPr>
            <w:rFonts w:ascii="arial" w:eastAsia="arial" w:hAnsi="arial" w:cs="arial"/>
            <w:i/>
            <w:color w:val="0077CC"/>
            <w:sz w:val="20"/>
            <w:u w:val="single"/>
            <w:shd w:val="clear" w:color="auto" w:fill="FFFFFF"/>
            <w:lang w:val="en-US" w:eastAsia="en-US" w:bidi="ar-SA"/>
          </w:rPr>
          <w:t>2009 BCCA 203</w:t>
        </w:r>
      </w:hyperlink>
      <w:r>
        <w:rPr>
          <w:rFonts w:ascii="arial" w:eastAsia="arial" w:hAnsi="arial" w:cs="arial"/>
          <w:color w:val="000000"/>
          <w:sz w:val="20"/>
          <w:lang w:val="en-US" w:eastAsia="en-US" w:bidi="ar-SA"/>
        </w:rPr>
        <w:t xml:space="preserve"> is judicially reviewable on the correctness standard insofar as it defined the terms of remittal back to the Commissioner. The interpretation of the court's order required no exercise of any specialized expertise under FIPPA.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further conclude the grounds of review raised by the petitioner Mr. Harrison are judicially reviewable on a standard of reasonableness because they concern issues of fact, or involve the interpretation or application of the terms of the statute administered by the Commissioner and involve matters that are within the Commissioner's jurisdiction and expertise: see </w:t>
      </w:r>
      <w:r>
        <w:rPr>
          <w:rFonts w:ascii="arial" w:eastAsia="arial" w:hAnsi="arial" w:cs="arial"/>
          <w:i/>
          <w:color w:val="000000"/>
          <w:sz w:val="20"/>
          <w:lang w:val="en-US" w:eastAsia="en-US" w:bidi="ar-SA"/>
        </w:rPr>
        <w:t>Alliance Pipeline Ltd. v. Smith</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2011 SCC 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at para. 60 citing </w:t>
      </w:r>
      <w:r>
        <w:rPr>
          <w:rFonts w:ascii="arial" w:eastAsia="arial" w:hAnsi="arial" w:cs="arial"/>
          <w:i/>
          <w:color w:val="000000"/>
          <w:sz w:val="20"/>
          <w:lang w:val="en-US" w:eastAsia="en-US" w:bidi="ar-SA"/>
        </w:rPr>
        <w:t>Toronto (City) v. C.U.P.E.</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Local 79</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at para. 62. I also conclude the grounds of review raised by the MCFD as set out above involve the application of the reasonableness standard warranting some deference to the conclusions of the Commissioner.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OF RELIEF CLAIMED IN MR. HARRISON'S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turn to discuss the various claims for relief sought by Mr. Harrison, within the context to the reasonableness or deference tests described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The consent forms provided to MCFD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Mr. Harrison argues the Commissioner should have considered the consents he gave to MCFD did not comply with FIPPA. The issue of the consents he provided was considered by the Commissioner in its prior report of May 23, 2007. It was a matter argued before Pitfield J. and referred to in the subsequent Court of Appeal decision (see para. 64 of </w:t>
      </w:r>
      <w:hyperlink r:id="rId450" w:history="1">
        <w:r>
          <w:rPr>
            <w:rFonts w:ascii="arial" w:eastAsia="arial" w:hAnsi="arial" w:cs="arial"/>
            <w:i/>
            <w:color w:val="0077CC"/>
            <w:sz w:val="20"/>
            <w:u w:val="single"/>
            <w:shd w:val="clear" w:color="auto" w:fill="FFFFFF"/>
            <w:lang w:val="en-US" w:eastAsia="en-US" w:bidi="ar-SA"/>
          </w:rPr>
          <w:t>2009 BCCA 203</w:t>
        </w:r>
      </w:hyperlink>
      <w:r>
        <w:rPr>
          <w:rFonts w:ascii="arial" w:eastAsia="arial" w:hAnsi="arial" w:cs="arial"/>
          <w:color w:val="000000"/>
          <w:sz w:val="20"/>
          <w:lang w:val="en-US" w:eastAsia="en-US" w:bidi="ar-SA"/>
        </w:rPr>
        <w:t>). The Court of Appeal concluded that Mr. Egan had erred by focusing on the issues of the consents and s. 79 of CFCSA rather than s. 28 of FIPPA: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 agree with the chambers judge's conclusion (at paras. 63, 68) that the Commissioner (through his designate, Mr. Egan) unduly narrowed the focus of the investigation of Mr. Harrison's complaint by excluding the s. 28 issue, and thereby confining it to the question of whether Mr. Harrison's consents authorized the disclosure and, if not, whether the disclosure was authorized under s. 79(a)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Again, the Court of Appeal specifically referred the matter back to the Commissioner to consider the issues raised by s. 28 of FIPPA.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Section 28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Accuracy of personal information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If</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individual's personal information is in the custody or under the control of a public body, and</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information will be used by or on behalf of the public body to make a decision that directly affects the individual,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public body must make every reasonable effort to ensure that the personal information is accurate and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issue of the consent forms has been dealt with by both the Commissioner's office and by the court. I conclude this is not a proper ground to raise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Expunging of Mr. Harrison's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Harrison argues the Commissioner erred in failing to direct MCFD to expunge his personal information pursuant to s. 58(3)(f) of FIPPA.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Again, this matter was expressly dealt with in </w:t>
      </w:r>
      <w:hyperlink r:id="rId450" w:history="1">
        <w:r>
          <w:rPr>
            <w:rFonts w:ascii="arial" w:eastAsia="arial" w:hAnsi="arial" w:cs="arial"/>
            <w:i/>
            <w:color w:val="0077CC"/>
            <w:sz w:val="20"/>
            <w:u w:val="single"/>
            <w:shd w:val="clear" w:color="auto" w:fill="FFFFFF"/>
            <w:lang w:val="en-US" w:eastAsia="en-US" w:bidi="ar-SA"/>
          </w:rPr>
          <w:t>2009 BCCA 203</w:t>
        </w:r>
      </w:hyperlink>
      <w:r>
        <w:rPr>
          <w:rFonts w:ascii="arial" w:eastAsia="arial" w:hAnsi="arial" w:cs="arial"/>
          <w:color w:val="000000"/>
          <w:sz w:val="20"/>
          <w:lang w:val="en-US" w:eastAsia="en-US" w:bidi="ar-SA"/>
        </w:rPr>
        <w:t xml:space="preserve"> at para. 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chambers judge's instructions on the remedy issue are also complicated by the fact that the Commissioner's power to destroy personal information under s. 58(3)(f)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applies only in circumstances in which the personal information was </w:t>
      </w:r>
      <w:r>
        <w:rPr>
          <w:rFonts w:ascii="arial" w:eastAsia="arial" w:hAnsi="arial" w:cs="arial"/>
          <w:color w:val="000000"/>
          <w:sz w:val="20"/>
          <w:u w:val="single"/>
          <w:lang w:val="en-US" w:eastAsia="en-US" w:bidi="ar-SA"/>
        </w:rPr>
        <w:t>collected</w:t>
      </w:r>
      <w:r>
        <w:rPr>
          <w:rFonts w:ascii="arial" w:eastAsia="arial" w:hAnsi="arial" w:cs="arial"/>
          <w:color w:val="000000"/>
          <w:sz w:val="20"/>
          <w:lang w:val="en-US" w:eastAsia="en-US" w:bidi="ar-SA"/>
        </w:rPr>
        <w:t xml:space="preserve"> in contravention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which has never been said to be the case here.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The Commissioner be directed to find the MCFD committed offenses under ss. 74(1)(a) and (b) and 74.1(4) of FIPPA by not complying with s. 30.4 of FIPPA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Those sections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offences and penalties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(1) A person must not willfully do any of the following:</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 false statement to, or mislead or attempt to mislead, the commissioner or another person in the performance of the duties, powers or functions of the commissioner or other person under this Act;</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obstruct the commissioner or another person in the performance of the duties, powers or functions of the commissioner or other person under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Privacy protection offences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74.1(4) If a corporation commits an offence under this section, an officer, director or agent of the corporation who authorizes, permits or acquiesces in the commission of the offence also commits an offence, whether or not the corporation is prosecuted for the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Unauthorized disclosure prohibited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An employee, officer or director of a public body or an employee or associate of a service provider who has access, whether authorized or unauthorized, to personal information in the custody or control of a public body, must not disclose that information except as authorized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While it may be implicit in the Commissioner's Order that Ms. Bischoff did not comply with s. 30.4 because she did not comply with her responsibilities pursuant to s. 28, ss. 74(1) and 74.1 are general offense sections which do not fall within the jurisdiction of the Commissioner. Accordingly it cannot be said the Commissioner committed any error in failing to apply these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Failing to investigate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Harrison argues the Commissioner acted unreasonably in failing to investigate his complaint in good faith under s. 48 of FIPPA.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Section 48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Protection of commissioner and staff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No proceedings lie against the commissioner, or against a person acting on behalf of or under the direction of the commissioner, for anything done, reported or said in good faith in the exercise or performance or the intended exercise or performance of a duty, power or function under this Part or Part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is nothing in the record before me to substantiate such a claim. To the contrary, the Commissioner's delegate appears to have taken care to follow the directions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my view, this ground of appeal, as well as Mr. Harrison's assertions he has been denied procedural fairness and natural justice, arises from the frustration he must feel that the Commissioner did not, in addressing relief under s. 28, provide him with any substantive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Section 73(a) and (b)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Harrison argues the Commissioner erred in failing to find MCFD contravened s. 73(a) and (b) of FIPPA. He asks this Court to direct the Commissioner to conclude the Ministry's breach of ss. 28 and 29 constitute a breach of s. 73 of FIPPA.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Section 73(a) and (b)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Protection of public body from legal suit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No action lies and no proceeding may be brought against the government, a public body, the head of a public body, an elected official of a public body or any person acting on behalf of or under the direction of the head of a public body for damages resulting from</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disclosure, or failure to disclose, in good faith of all or part of a record under this Act or any consequences of that disclosure or failure to disclose, or</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give any notice required under this Act if reasonable care is taken to give the required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are several problems with Mr. Harrison's position. The first and primary one is that his civil action against MCFD was dismissed because it disclosed no reasonable cause of action. The Court of Appeal concluded there was simply no duty of care owed by MCFD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second difficulty is that the decision to determine whether there was a breach of s. 73 of FIPPA is one for the Commissioner to make, not for the courts to determine. This was the reason the Court of Appeal allowed the appeal in </w:t>
      </w:r>
      <w:hyperlink r:id="rId450" w:history="1">
        <w:r>
          <w:rPr>
            <w:rFonts w:ascii="arial" w:eastAsia="arial" w:hAnsi="arial" w:cs="arial"/>
            <w:i/>
            <w:color w:val="0077CC"/>
            <w:sz w:val="20"/>
            <w:u w:val="single"/>
            <w:shd w:val="clear" w:color="auto" w:fill="FFFFFF"/>
            <w:lang w:val="en-US" w:eastAsia="en-US" w:bidi="ar-SA"/>
          </w:rPr>
          <w:t>2009 BCCA 203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my view, the relief claimed in Mr. Harrison's petition ought to have been raised by Mr. Harrison in his original application for review or that has already been considered and dealt with by either Pitfield J. or by the Court of Appeal. In his original petition Mr. Harrison claimed the Commissioner erred when he failed to find the disclosure of information was contrary to s. 79(a) of the CFCSA; that he erred in finding the disclosure was authorized under and complied with s. 28 of the Act. He also alleged errors under ss. 30 and 56 of FIPPA. His applications were dismissed with the exception that Pitfield J. found Ms. Bischoff, the MCFD worker who had communicated the information to Mr. Harrison's employer, had breached s. 28 of FIPPA. The Court of Appeal allowed the appeal (</w:t>
      </w:r>
      <w:hyperlink r:id="rId450" w:history="1">
        <w:r>
          <w:rPr>
            <w:rFonts w:ascii="arial" w:eastAsia="arial" w:hAnsi="arial" w:cs="arial"/>
            <w:i/>
            <w:color w:val="0077CC"/>
            <w:sz w:val="20"/>
            <w:u w:val="single"/>
            <w:shd w:val="clear" w:color="auto" w:fill="FFFFFF"/>
            <w:lang w:val="en-US" w:eastAsia="en-US" w:bidi="ar-SA"/>
          </w:rPr>
          <w:t>2009 BCCA 203</w:t>
        </w:r>
      </w:hyperlink>
      <w:r>
        <w:rPr>
          <w:rFonts w:ascii="arial" w:eastAsia="arial" w:hAnsi="arial" w:cs="arial"/>
          <w:color w:val="000000"/>
          <w:sz w:val="20"/>
          <w:lang w:val="en-US" w:eastAsia="en-US" w:bidi="ar-SA"/>
        </w:rPr>
        <w:t>) and referred the matter back to the Commissioner for "consideration of the issues arising under s. 28 ... and remedies arising,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can be seen from the Order, the Commissioner concluded the Ministry had not complied with s. 28 of FIPPA (para. 80). It had made no effort to ensure the accuracy of the information relied on. The Commissioner found this to have had a "deleterious outcome for Mr. Harrison" which "has led to consequences that cannot be remedied". The Commissioner applied s. 58(3)(a) of the FIPPA and made an order recommending MCFD develop and implement policies that would prevent re-occurrence of the injustice which it found had occurred to Mr.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Commissioner's conclusion that the consequences of the breach could not be remedied was a conclusion drawn by a tribunal administering its own statute and as such must be given deference.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my view, Mr. Harrison's argument concerning the manner in which his "consent" was obtained and the other issues he raises under ss. 48, 73, 74 and 74.1 are not appropriate arguments on this judicial review. My jurisdiction is a limited one: that is, to consider whether the Order can be reviewed within the scope of the narrow terms of the referral to the Commissioner by the Court of Appeal and the applicable legal standard of review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his argument to the court, Mr. Harrison argued the court should revisit the facts underlying his termination. He asserted the Court of Appeal was wrong in concluding MCFD did not owe him a duty of care and argued Ms. Bischoff and MCFD did not act in good faith when they "snared" him into signing the second consent which, he argued, was obtained by "deception and concealment".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For the reasons expressed in para. 40 above, this Court, on a judicial review, cannot address these concerns. Many, if not all of which ask the court to revisit issues already addressed by the court. My jurisdiction is limited to a consideration of whether the Commissioner acted and made its decision within its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conclude it has and therefore Mr. Harrison's petition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OF RELIEF SOUGHT BY THE MCFD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The Commissioner failed to consider the "paramount" purposes of child protection underlying the CFCSA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One of the main arguments made by MCFD in its submission to the Commissioner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Public Body is responsible for the provision of child protection services in BC pursuant to the </w:t>
      </w:r>
      <w:r>
        <w:rPr>
          <w:rFonts w:ascii="arial" w:eastAsia="arial" w:hAnsi="arial" w:cs="arial"/>
          <w:i/>
          <w:color w:val="000000"/>
          <w:sz w:val="20"/>
          <w:lang w:val="en-US" w:eastAsia="en-US" w:bidi="ar-SA"/>
        </w:rPr>
        <w:t>Child, Family, and Community Services Act</w:t>
      </w:r>
      <w:r>
        <w:rPr>
          <w:rFonts w:ascii="arial" w:eastAsia="arial" w:hAnsi="arial" w:cs="arial"/>
          <w:color w:val="000000"/>
          <w:sz w:val="20"/>
          <w:lang w:val="en-US" w:eastAsia="en-US" w:bidi="ar-SA"/>
        </w:rPr>
        <w:t xml:space="preserve"> (the "CFCSA"). the governing principles in section 2 of the CFCSA state that the safety and well-being of children are the paramount considerations in the administration of the CFCSA.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"Initial Submissions for the Public Body" filed by the MCFD March 19,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MCFD argued the responsibilities to children and the duties imposed on social workers working under the CFCSA justified the action taken by Ms. Bischoff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MCFD cited the decisions of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Halford v. Chief Constable of Hampshire</w:t>
      </w:r>
      <w:r>
        <w:rPr>
          <w:rFonts w:ascii="arial" w:eastAsia="arial" w:hAnsi="arial" w:cs="arial"/>
          <w:color w:val="000000"/>
          <w:sz w:val="20"/>
          <w:lang w:val="en-US" w:eastAsia="en-US" w:bidi="ar-SA"/>
        </w:rPr>
        <w:t xml:space="preserve"> (2003), EWCA Civ. 102 para. 65, in support of its position "about the importance of child protection social work, and about the latitude within which social workers must be free to do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is apparent from a review of MCFD's submissions that the argument about the "paramount" purpose of the CFSA was raised in the context of its argument that Ms. Bischoff had not made a "decision" that "directly affected" Mr. Harrison. MCFD took the position Ms. Bischoff had simply made a "judgement call" which she was entitled or even required to make in the course of performing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Notwithstanding the context in which the argument was made, the issue raised is relevant to the Commissioner's determination whether the MCFD made "every reasonable effort" to ensure that the personal information was accurate and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is apparent from the face of the Order the Commissioner did not consider the MCFD's argument. There is simply no discussion in the Order about how, if at all, the principles underlying the CFCSA impact on the actions taken by Ms. Bischoff. There is no discussion by the Commissioner about whether there is a tension between the provisions of FIPPA and the CFCSA, and in particular s. 79 of the latter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Such interrelationship was referred to by the Court of Appeal in </w:t>
      </w:r>
      <w:hyperlink r:id="rId450" w:history="1">
        <w:r>
          <w:rPr>
            <w:rFonts w:ascii="arial" w:eastAsia="arial" w:hAnsi="arial" w:cs="arial"/>
            <w:i/>
            <w:color w:val="0077CC"/>
            <w:sz w:val="20"/>
            <w:u w:val="single"/>
            <w:shd w:val="clear" w:color="auto" w:fill="FFFFFF"/>
            <w:lang w:val="en-US" w:eastAsia="en-US" w:bidi="ar-SA"/>
          </w:rPr>
          <w:t>2009 BCCA 203</w:t>
        </w:r>
      </w:hyperlink>
      <w:r>
        <w:rPr>
          <w:rFonts w:ascii="arial" w:eastAsia="arial" w:hAnsi="arial" w:cs="arial"/>
          <w:color w:val="000000"/>
          <w:sz w:val="20"/>
          <w:lang w:val="en-US" w:eastAsia="en-US" w:bidi="ar-SA"/>
        </w:rPr>
        <w:t xml:space="preserve"> at paras 57-61. I refer in particular to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chambers judge made two essential findings that ground the Commissioner's and the Attorney General's appeals, the first of which relates to the chambers judge's interpretation of the interplay between the sections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discussed above. The chambers judge rejected the Commissioner's submission that he did not have the authority to investigate Mr. Harrison's complaint that Ms. Bischoff had improperly disclosed personal information contrary to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Based on the chambers judge's interpretation of ss. 74-79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the Commissioner was not required to refrain from investigating Mr. Harrison's complaint in this respect. The chambers judge explained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I do not find the effect of the amendments to be that urged by counsel. Were the interpretation counsel suggested to prevail, there would be no means to investigate or review a director's compliance with the access and privacy provisions contained in s. 74 to 79 of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CFCSA</w:t>
      </w:r>
      <w:r>
        <w:rPr>
          <w:rFonts w:ascii="arial" w:eastAsia="arial" w:hAnsi="arial" w:cs="arial"/>
          <w:color w:val="000000"/>
          <w:sz w:val="20"/>
          <w:u w:val="single"/>
          <w:lang w:val="en-US" w:eastAsia="en-US" w:bidi="ar-SA"/>
        </w:rPr>
        <w:t xml:space="preserve"> makes no provision for review</w:t>
      </w:r>
      <w:r>
        <w:rPr>
          <w:rFonts w:ascii="arial" w:eastAsia="arial" w:hAnsi="arial" w:cs="arial"/>
          <w:color w:val="000000"/>
          <w:sz w:val="20"/>
          <w:lang w:val="en-US" w:eastAsia="en-US" w:bidi="ar-SA"/>
        </w:rPr>
        <w:t xml:space="preserve">. If there were such a procedure, and the director were to have the powers of the Commissioner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as counsel suggested, the director would be in the invidious position of having to review the propriety of his or her own actions to ensure they complied with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That cannot have been the legislature's intent.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In my opinion the only effect of s. 74 to 79 of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is to override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in certain respects. By virtue of s. 74, some of the constraints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imposes do not apply for purposes of the accumulation and disclosure of information under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Nonetheless in the event of a complaint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that relates to the accumulation, use or disclosure of information obtained for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purposes, the complaint must be made to the Commissioner who, in the event an investigation ensues, is obliged to respect the fact that a director acting under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has been granted powers in respect of the accumulation and disclosure of information that other public authorities do not enjoy. That is the reasonable interpretation of s. 74(2)(f) which provides that the supervisory and investigatory powers of the Commissioner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apply in respect of the exercise of the powers, duties or functions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confers on a director, but the Commissioner must exercise that supervisory role with due regard for the rights s. 74 to 79 of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accord a director.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In my opinion nothing in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required the Commissioner to refrain from investigating Mr. Harrison's complaint regarding the information Ms. Bischoff disclosed in purported reliance on s. 79(a) of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On appeal, the Commissioner submits that the chambers judge misinterpreted ss. 74(2)(e) and (f)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As we have already observed, the effect of those subsections renders the Commissioner without jurisdiction to review complaints with respect to disclosures made under s. 79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The chambers judge was evidently concerned that, without such jurisdiction, there would be no proper review of a director's decision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There is, however, under s. 93.1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 mandated procedure "for reviewing the exercise of a director's powers, duties and functions" under that Act. Furthermore, as with any exercise of statutory power, the director's decision would be subject to judicial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In our opinion, the chambers judge erred in law in his interpretation of ss. 74(2)(e) and (f). The correct interpretation, as we have explained, limits the Commissioner's jurisdiction to review a director's decision </w:t>
      </w:r>
      <w:r>
        <w:rPr>
          <w:rFonts w:ascii="arial" w:eastAsia="arial" w:hAnsi="arial" w:cs="arial"/>
          <w:color w:val="000000"/>
          <w:sz w:val="20"/>
          <w:u w:val="single"/>
          <w:lang w:val="en-US" w:eastAsia="en-US" w:bidi="ar-SA"/>
        </w:rPr>
        <w:t xml:space="preserve">under </w:t>
      </w:r>
      <w:r>
        <w:rPr>
          <w:rFonts w:ascii="arial" w:eastAsia="arial" w:hAnsi="arial" w:cs="arial"/>
          <w:i/>
          <w:color w:val="000000"/>
          <w:sz w:val="20"/>
          <w:u w:val="single"/>
          <w:lang w:val="en-US" w:eastAsia="en-US" w:bidi="ar-SA"/>
        </w:rPr>
        <w:t>FIPPA</w:t>
      </w:r>
      <w:r>
        <w:rPr>
          <w:rFonts w:ascii="arial" w:eastAsia="arial" w:hAnsi="arial" w:cs="arial"/>
          <w:color w:val="000000"/>
          <w:sz w:val="20"/>
          <w:lang w:val="en-US" w:eastAsia="en-US" w:bidi="ar-SA"/>
        </w:rPr>
        <w:t xml:space="preserve"> and does not permit the Commissioner to review a director's decision under s. 79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In our opinion, it is necessary to rectify the trial judge's erroneous interpretation. To allow the misinterpretation to stand uncorrected would potentially affect the possible future judicial review by the Supreme Court with an inevitable and unnecessary appeal on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Unfortunately the Commissioner did not have the benefit of the Court of Appeal's decision in </w:t>
      </w:r>
      <w:hyperlink r:id="rId453"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decided May 5, 2010. The court considered the application of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In this case, the relationship at issue is not between child protection authorities and family members of children in their care, as it was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The material relationship in this case is between a MCFD resource social worker and an employee of a contracted agency, where the social worker is specifically responsible to review the employee's background to identify possible child safety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Despite this difference, the same basic concern arises in both: the recognition of an ancillary duty of care would create a conflict of duties that could interfere with the overriding mandate of child protection authorities -- to promote the best interests and welfare of the child.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is clear that where such potential for conflict exists, no duty should be recognized.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The primary obligation of social workers operating under the</w:t>
      </w:r>
      <w:r>
        <w:rPr>
          <w:rFonts w:ascii="arial" w:eastAsia="arial" w:hAnsi="arial" w:cs="arial"/>
          <w:i/>
          <w:color w:val="000000"/>
          <w:sz w:val="20"/>
          <w:lang w:val="en-US" w:eastAsia="en-US" w:bidi="ar-SA"/>
        </w:rPr>
        <w:t xml:space="preserve"> CFCSA</w:t>
      </w:r>
      <w:r>
        <w:rPr>
          <w:rFonts w:ascii="arial" w:eastAsia="arial" w:hAnsi="arial" w:cs="arial"/>
          <w:color w:val="000000"/>
          <w:sz w:val="20"/>
          <w:lang w:val="en-US" w:eastAsia="en-US" w:bidi="ar-SA"/>
        </w:rPr>
        <w:t>, including Ms. Bischoff, is found under s. 2 of the Act, which provides that the safety and well-being of children must be the paramount considerations in the administration of the statute. It is in the context of this statutory mandate that Ms. Bischoff was expressly required to review the background of individuals seeking to work with vulnerable children in the care of the MCFD.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Imposing a private law duty of care on a social worker to those whose background he or she must review for child safety concerns has the potential to interfere with their ability to discharge that vital task. More broadly, it would interfere with the paramount duty to the safety of the child. A social worker should not feel torn between her paramount obligation to the child and an ancillary duty to consider the employment status of those who seek to care for them. Accordingly, imposing a duty of care on Ms. Bischoff in these circumstances poses precisely the risk for inherent conflict that was found to be determinative by the Supreme Court of Canada in</w:t>
      </w:r>
      <w:r>
        <w:rPr>
          <w:rFonts w:ascii="arial" w:eastAsia="arial" w:hAnsi="arial" w:cs="arial"/>
          <w:i/>
          <w:color w:val="000000"/>
          <w:sz w:val="20"/>
          <w:lang w:val="en-US" w:eastAsia="en-US" w:bidi="ar-SA"/>
        </w:rPr>
        <w:t xml:space="preserve"> Syl Apps</w:t>
      </w:r>
      <w:r>
        <w:rPr>
          <w:rFonts w:ascii="arial" w:eastAsia="arial" w:hAnsi="arial" w:cs="arial"/>
          <w:color w:val="000000"/>
          <w:sz w:val="20"/>
          <w:lang w:val="en-US" w:eastAsia="en-US" w:bidi="ar-SA"/>
        </w:rPr>
        <w:t>. There is simply no basis to distinguish</w:t>
      </w:r>
      <w:r>
        <w:rPr>
          <w:rFonts w:ascii="arial" w:eastAsia="arial" w:hAnsi="arial" w:cs="arial"/>
          <w:i/>
          <w:color w:val="000000"/>
          <w:sz w:val="20"/>
          <w:lang w:val="en-US" w:eastAsia="en-US" w:bidi="ar-SA"/>
        </w:rPr>
        <w:t xml:space="preserve"> Syl Apps</w:t>
      </w:r>
      <w:r>
        <w:rPr>
          <w:rFonts w:ascii="arial" w:eastAsia="arial" w:hAnsi="arial" w:cs="arial"/>
          <w:color w:val="000000"/>
          <w:sz w:val="20"/>
          <w:lang w:val="en-US" w:eastAsia="en-US" w:bidi="ar-SA"/>
        </w:rPr>
        <w:t xml:space="preserve"> in this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The defence of qualified privilege operates to protect otherwise defamatory communications that are made on occasions of qualified privilege. Privileged occasions arise where the person making the statement has an interest -- legal, social or moral -- to make the statement to persons with a corresponding interest or duty to receive it: </w:t>
      </w:r>
      <w:r>
        <w:rPr>
          <w:rFonts w:ascii="arial" w:eastAsia="arial" w:hAnsi="arial" w:cs="arial"/>
          <w:i/>
          <w:color w:val="000000"/>
          <w:sz w:val="20"/>
          <w:lang w:val="en-US" w:eastAsia="en-US" w:bidi="ar-SA"/>
        </w:rPr>
        <w:t>Moises v. Canadian Newspaper Co.</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(1996), 24 B.C.L.R. (3d) 211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Haight-Smith v. Neden</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2002 BCCA 132</w:t>
        </w:r>
      </w:hyperlink>
      <w:r>
        <w:rPr>
          <w:rFonts w:ascii="arial" w:eastAsia="arial" w:hAnsi="arial" w:cs="arial"/>
          <w:color w:val="000000"/>
          <w:sz w:val="20"/>
          <w:lang w:val="en-US" w:eastAsia="en-US" w:bidi="ar-SA"/>
        </w:rPr>
        <w:t xml:space="preserve"> at paras. 52-55.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In this case, Ms. Bischoff had a legal and moral duty to ensure the protection of youth in the care of the MCFD. Ms. Ford had a corresponding duty to receive information about an individual providing care to youth through the Access House program. It is in accordance with both those duties that Ms. Bischoff communicated her concerns about the results of the PCC check to Ms. Ford.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The law is clear that statements made on such occasions are protected, as long as they are made in good faith and honestly for the purpose for which the privilege exists: </w:t>
      </w:r>
      <w:r>
        <w:rPr>
          <w:rFonts w:ascii="arial" w:eastAsia="arial" w:hAnsi="arial" w:cs="arial"/>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xml:space="preserve"> at para. 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The onus for defeating the defence rests entirely on the plaintiff: </w:t>
      </w:r>
      <w:r>
        <w:rPr>
          <w:rFonts w:ascii="arial" w:eastAsia="arial" w:hAnsi="arial" w:cs="arial"/>
          <w:i/>
          <w:color w:val="000000"/>
          <w:sz w:val="20"/>
          <w:lang w:val="en-US" w:eastAsia="en-US" w:bidi="ar-SA"/>
        </w:rPr>
        <w:t>Netupsky v. Craig</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I have already concluded that there is no evidence that Ms. Bischoff acted with bad faith. Mr. Harrison has therefore failed to meet this onus, and the defence of qualified privilege remains a complete defence to his claim in defamation. It follows that the appellants are entitled to have this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note Mr. Egan, the Commissioner's delegate who authored the report which was subject to the judicial review by Pitfield J., did assess the impact of the provisions of the CFCSA on FIPPA.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it would be difficult, if not impossible, for the Commissioner to conclude there was a breach of s. 28 of FIPPA without doing so. It seems to me an assessment of the impact of the provisions of the CFCSA on s. 28 of FIPPA must be conducted in order for the Commissioner to assess whether the MCFD made "every reasonable effort" within the context of the duties and responsibilities imposed on it under that statute. I find that in failing to consider this issue the Commissioner committed a reviewable error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Although the language of the statutes is similar, the facts of this case are different from those in </w:t>
      </w:r>
      <w:r>
        <w:rPr>
          <w:rFonts w:ascii="arial" w:eastAsia="arial" w:hAnsi="arial" w:cs="arial"/>
          <w:i/>
          <w:color w:val="000000"/>
          <w:sz w:val="20"/>
          <w:lang w:val="en-US" w:eastAsia="en-US" w:bidi="ar-SA"/>
        </w:rPr>
        <w:t>IMS Health Canada Limited v. Alberta (Information and Privacy Commissioner</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2008 ABQB 213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Stubicar v. Alberta (Office of the Information and Privacy Commissioner</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2008 ABCA 357</w:t>
        </w:r>
      </w:hyperlink>
      <w:r>
        <w:rPr>
          <w:rFonts w:ascii="arial" w:eastAsia="arial" w:hAnsi="arial" w:cs="arial"/>
          <w:color w:val="000000"/>
          <w:sz w:val="20"/>
          <w:lang w:val="en-US" w:eastAsia="en-US" w:bidi="ar-SA"/>
        </w:rPr>
        <w:t>. In the latter case the Alberta Court of Appeal stated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agree with Ross J.'s [</w:t>
      </w:r>
      <w:r>
        <w:rPr>
          <w:rFonts w:ascii="arial" w:eastAsia="arial" w:hAnsi="arial" w:cs="arial"/>
          <w:i/>
          <w:color w:val="000000"/>
          <w:sz w:val="20"/>
          <w:lang w:val="en-US" w:eastAsia="en-US" w:bidi="ar-SA"/>
        </w:rPr>
        <w:t>IMS Health Canada Limited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interpretation of the privative clauses, the nature of the tribunal and the OIPC's expertise. The question before us is perhaps an even clearer example of a decision which warrants deference. Section 10(a) requires that the custodian "make every reasonable effort to assist the applicant ..." The use of the words "reasonable effort" suggests an application of the facts to the legal requirement imposed on the custodian "to assist." This is not a pure question of law which can be separated from the facts. Deference ought to apply to issues where fact and law are difficult to separate: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present matter, the question of "whether the Ministry used "every reasonable effort" has a direct link to the purposes underlying the CFCSA. This is a question that in my view goes beyond the expertise of the Commissioner and accordingly invokes a correctness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result, I allow the MCFD's application on this basis and remit the matter back to the Commissioner for reconsideration based on my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The MCFD's argument that the Commissioner's finding that Ms. Bischoff made a "decision" that "directly affected" Mr. Harrison was an error in law and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Commissioner dismissed the MCFD's argument that Ms. Bischoff did not make a decision but simply made a recommendation Mr. Harrison work under supervision. The Commissioner also dismissed MCFD's argument that Ms. Bischoff's statement to Access House "directly affected" Mr.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my view, to determine whether a "decision" has been made and, if it has, whether such decision has "directly" affected an individual, involves a mixed question of law and fact. Such question goes to the heart of the Commissioner's responsibilities in interpreting and applying s. 28(b) of FIPPA. The standard of review, accordingly, is one of reasonableness and deserves a measure of deference by the court: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at para. 53. As stated in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Reasonableness is a deferential standard animated by the principle that underlies the development of the two previous standards of reasonableness: certain questions that come before administrative tribunals do not lend themselves to one specific, particular result. Instead, they may give rise to a number of possible, reasonable conclusions. Tribunals </w:t>
      </w:r>
      <w:r>
        <w:rPr>
          <w:rFonts w:ascii="arial" w:eastAsia="arial" w:hAnsi="arial" w:cs="arial"/>
          <w:i/>
          <w:color w:val="000000"/>
          <w:sz w:val="20"/>
          <w:lang w:val="en-US" w:eastAsia="en-US" w:bidi="ar-SA"/>
        </w:rPr>
        <w:t>have a margin of appreciation</w:t>
      </w:r>
      <w:r>
        <w:rPr>
          <w:rFonts w:ascii="arial" w:eastAsia="arial" w:hAnsi="arial" w:cs="arial"/>
          <w:color w:val="000000"/>
          <w:sz w:val="20"/>
          <w:lang w:val="en-US" w:eastAsia="en-US" w:bidi="ar-SA"/>
        </w:rPr>
        <w:t xml:space="preserve"> within the range of acceptable and rational solutions. A court conducting a review for reasonableness inquires into the qualities that make a decision reasonable, referring both to the process of articulating the reasons and to outcomes. In judicial review, reasonableness is concerned mostly with the existence of justification, transparency and intelligibility within the decision-making process. But it is also concerned with whether the decision falls within a range of possible, acceptable outcomes which are defensible in respect of the facts and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Law Society of New Brunswick v. Ryan</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2003 SCC 20</w:t>
        </w:r>
      </w:hyperlink>
      <w:r>
        <w:rPr>
          <w:rFonts w:ascii="arial" w:eastAsia="arial" w:hAnsi="arial" w:cs="arial"/>
          <w:color w:val="000000"/>
          <w:sz w:val="20"/>
          <w:lang w:val="en-US" w:eastAsia="en-US" w:bidi="ar-SA"/>
        </w:rPr>
        <w:t>, the Supreme Court of Canada described the standard of reasonableness: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A decision will be unreasonable only if there is no line of analysis within the given reasons that could reasonably lead the tribunal from the evidence before it to the conclusion at which it arrived. If any of the reasons that are sufficient to support the conclusion are tenable in the sense that they can stand up to a somewhat probing examination, then the decision will not be unreasonable and a reviewing court must not interfere (see </w:t>
      </w:r>
      <w:r>
        <w:rPr>
          <w:rFonts w:ascii="arial" w:eastAsia="arial" w:hAnsi="arial" w:cs="arial"/>
          <w:i/>
          <w:color w:val="000000"/>
          <w:sz w:val="20"/>
          <w:lang w:val="en-US" w:eastAsia="en-US" w:bidi="ar-SA"/>
        </w:rPr>
        <w:t>Southam</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[1997] 1 S.C.R. 748</w:t>
        </w:r>
      </w:hyperlink>
      <w:r>
        <w:rPr>
          <w:rFonts w:ascii="arial" w:eastAsia="arial" w:hAnsi="arial" w:cs="arial"/>
          <w:color w:val="000000"/>
          <w:sz w:val="20"/>
          <w:lang w:val="en-US" w:eastAsia="en-US" w:bidi="ar-SA"/>
        </w:rPr>
        <w:t xml:space="preserve">, at para. 56). This means that a decision may satisfy the reasonableness standard if it is supported by a tenable explanation even if this explanation is not one that the reviewing court finds compelling (see </w:t>
      </w:r>
      <w:r>
        <w:rPr>
          <w:rFonts w:ascii="arial" w:eastAsia="arial" w:hAnsi="arial" w:cs="arial"/>
          <w:i/>
          <w:color w:val="000000"/>
          <w:sz w:val="20"/>
          <w:lang w:val="en-US" w:eastAsia="en-US" w:bidi="ar-SA"/>
        </w:rPr>
        <w:t>Southam</w:t>
      </w:r>
      <w:r>
        <w:rPr>
          <w:rFonts w:ascii="arial" w:eastAsia="arial" w:hAnsi="arial" w:cs="arial"/>
          <w:color w:val="000000"/>
          <w:sz w:val="20"/>
          <w:lang w:val="en-US" w:eastAsia="en-US" w:bidi="ar-SA"/>
        </w:rPr>
        <w:t>, at para. 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This does not mean that every element of the reasoning given must independently pass a test for reasonableness. The question is rather whether the reasons, taken as a whole, are tenable as support for the decision. At all times, a court applying a standard of reasonableness must assess the basic adequacy of a reasoned decision remembering that the issue under review does not compel one specific result. Moreover, a reviewing court should not seize on one or more mistakes or elements of the decision which do not affect the decision as a whole.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K-Bro Linen Systems Inc. v. British Columbia (Information and Privacy Commissioner)</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2011 BCSC 904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my view the analysis contained in the Commissioner's decision-making process at paras. 72-79 is a reasonable one and the conclusions drawn from that analysis at paras. 80-82 are well within the range of possible, acceptable outcomes defensible both in respect of the law and the facts. In my view the MCFD's position on these two issues is disingenious. It ignores the reality of the impact Ms. Bischoff's remarks had on the options available to Access House. Access House had little choice in the matter but to terminate Mr. Harrison's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dismiss this portion of MCFD's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summary, I have concluded:</w:t>
      </w:r>
      <w:r>
        <w:rPr>
          <w:rFonts w:ascii="arial" w:eastAsia="arial" w:hAnsi="arial" w:cs="arial"/>
          <w:sz w:val="20"/>
          <w:lang w:val="en-US" w:eastAsia="en-US" w:bidi="ar-SA"/>
        </w:rPr>
        <w:cr/>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Harrison's application for judicial review is dismissed;</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General's application for judicial review on behalf of MCFD is allowed on the basis set out in these reasons but is otherwise dismissed;</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may file written submissions on the issue of costs should they be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Harrison v. Law Society of British Columbia, [2015] B.C.J. No. 262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3 and 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S-145358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Glen Harrison, Petitioner, and Law Society of British Columbia and Angus Gunn,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0"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9" w:name="Keywords_19"/>
      <w:bookmarkEnd w:id="129"/>
      <w:r>
        <w:rPr>
          <w:rFonts w:ascii="arial" w:eastAsia="arial" w:hAnsi="arial" w:cs="arial"/>
          <w:b/>
          <w:color w:val="000000"/>
          <w:sz w:val="20"/>
          <w:lang w:val="en-US" w:eastAsia="en-US" w:bidi="ar-SA"/>
        </w:rPr>
        <w:t>Administrative law — Judicial review and statutory appeal — When available — Bars — Application for judicial review of decision of Complainants' Review Committee of the Law Society of British Columbia that dismissed applicant's complaint against his lawyer dismissed — Committee decided that complaint had been appropriately investigated — There was insufficient evidence to support allegations of professional misconduct — Decision was both reasonable and correct — In any event it was not reviewable under Judicial Review Procedure Act (B.C.).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Administrative law — Bodies under review — Nature of body — Types — Miscellaneous — Powers or function — Administrative powers or function — Application for judicial review of decision of Complainants' Review Committee of the Law Society of British Columbia that dismissed applicant's complaint against his lawyer dismissed — Committee decided that complaint had been appropriately investigated — There was insufficient evidence to support allegations of professional misconduct — Decision was both reasonable and correct — In any event it was not reviewable under Judicial Review Procedure Act (B.C.).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profession — Barristers and solicitors — Relationship with client — Application for judicial review of decision of Complainants' Review Committee of the Law Society of British Columbia that dismissed applicant's complaint against his lawyer dismissed — Committee decided that complaint had been appropriately investigated — There was insufficient evidence to support allegations of professional misconduct — Decision was both reasonable and correct — In any event it was not reviewable under Judicial Review Procedure Act (B.C.).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Governing body — Complaints — Investigations — Professions — Legal — Barristers and solicitors — Application for judicial review of decision of Complainants' Review Committee of the Law Society of British Columbia that dismissed applicant's complaint against his lawyer dismissed — Committee decided that complaint had been appropriately investigated — There was insufficient evidence to support allegations of professional misconduct — Decision was both reasonable and correct — In any event it was not reviewable under Judicial Review Procedure Act (B.C.).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0" w:name="Case Summary_18"/>
            <w:bookmarkEnd w:id="1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Harrison for judicial review of a decision of the Complainants' Review Committee of the Law Society of British Columbia. The Committee decided that Harrison's complaint against a member named Gunn had been appropriately investigated. It resolved not to take further action since there was insufficient evidence to support allegations of professional misconduct. The complaint related to a decision that was made by the Ministry of Children and Family Development in 2006 to disclose information about Harrison to his employer, which resulted in Harrison's dismissal. Acting without legal counsel Harrison complained to the Office of the Information and Privacy Commissioner. He then sought judicial review of the Commissioner's decisions and he was successful. When the respondents to that review appealed, Gunn agreed to act for Harrison on a pro bono basis. The appeal was allowed. In his complaint Harrison claimed that Gunn deliberately provided him with incorrect advice about the appeal decision and, based on that advice he pursued a civil action, based on the disclosure, which was dismissed. Gunn played no role in the conduct of the civil proceeding. Harrison claimed that if he was properly advised he would have been able to defeat the application that was brought to dismiss his claim. In his complaint Harrison wanted the Law Society to reverse the decision of the court of appeal. The Law Society informed Harrison that it could not do anything about the court of appeal decision but it could review his concerns about Gunn. At the same time that he filed the complaint he unsuccessfully tried to get the court of appeal to reverse itself. The Law Society investigated the matter and the decision under review resulted. It claimed that the Committee's decision was not reviewable under the Judicial Review Procedure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1" w:name="Holdings of Court_15"/>
            <w:bookmarkEnd w:id="13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Committee's decision was both reasonable and correct. In any event it was not reviewable under the Act and it was not amenable to judicial review because the Committee exercised a discretionary administrative winnowing function that did not decide any legal rights, duties or liabilities. Accordingly, the Committee did not constitute a "tribunal" that exercised a "statutory power of decision" within the meaning of the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2" w:name="Legislation Cited_13"/>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1"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Child, Family and Community Services Act, </w:t>
      </w:r>
      <w:hyperlink r:id="rId482" w:history="1">
        <w:r>
          <w:rPr>
            <w:rFonts w:ascii="arial" w:eastAsia="arial" w:hAnsi="arial" w:cs="arial"/>
            <w:i/>
            <w:color w:val="0077CC"/>
            <w:sz w:val="20"/>
            <w:u w:val="single"/>
            <w:shd w:val="clear" w:color="auto" w:fill="FFFFFF"/>
            <w:lang w:val="en-US" w:eastAsia="en-US" w:bidi="ar-SA"/>
          </w:rPr>
          <w:t>RSBC 1996, CHAPTER 46, s. 79</w:t>
        </w:r>
      </w:hyperlink>
      <w:r>
        <w:rPr>
          <w:rFonts w:ascii="arial" w:eastAsia="arial" w:hAnsi="arial" w:cs="arial"/>
          <w:color w:val="000000"/>
          <w:sz w:val="20"/>
          <w:lang w:val="en-US" w:eastAsia="en-US" w:bidi="ar-SA"/>
        </w:rPr>
        <w:t>, s. 79(a)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Privacy Act, </w:t>
      </w:r>
      <w:hyperlink r:id="rId416" w:history="1">
        <w:r>
          <w:rPr>
            <w:rFonts w:ascii="arial" w:eastAsia="arial" w:hAnsi="arial" w:cs="arial"/>
            <w:i/>
            <w:color w:val="0077CC"/>
            <w:sz w:val="20"/>
            <w:u w:val="single"/>
            <w:shd w:val="clear" w:color="auto" w:fill="FFFFFF"/>
            <w:lang w:val="en-US" w:eastAsia="en-US" w:bidi="ar-SA"/>
          </w:rPr>
          <w:t>RSBC 1996, CHAPTER 165, s. 28</w:t>
        </w:r>
      </w:hyperlink>
      <w:r>
        <w:rPr>
          <w:rFonts w:ascii="arial" w:eastAsia="arial" w:hAnsi="arial" w:cs="arial"/>
          <w:color w:val="000000"/>
          <w:sz w:val="20"/>
          <w:lang w:val="en-US" w:eastAsia="en-US" w:bidi="ar-SA"/>
        </w:rPr>
        <w:t>, s. 33, s. 33.1, s. 33.1(1)(b), s. 33.1(1)(c), s. 33.1(1) (c.1)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Human Rights Code, R.S.B.V. 1996, c. 210, s.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hyperlink r:id="rId483" w:history="1">
        <w:r>
          <w:rPr>
            <w:rFonts w:ascii="arial" w:eastAsia="arial" w:hAnsi="arial" w:cs="arial"/>
            <w:i/>
            <w:color w:val="0077CC"/>
            <w:sz w:val="20"/>
            <w:u w:val="single"/>
            <w:shd w:val="clear" w:color="auto" w:fill="FFFFFF"/>
            <w:lang w:val="en-US" w:eastAsia="en-US" w:bidi="ar-SA"/>
          </w:rPr>
          <w:t>RSBC 1996, CHAPTER 241, s. 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 Society Rules, Rule 3-2, Rule 3-4, Rule 3-5(1), Rule 3-5(1.1), Rule 3-6, Rule 3-6(1), Rule 3-6(1)(a), Rule 3-6(3), Rule 3-9, Rule 3-9(1), Rule 3-9(5), Rule 4-4(1), Rule 4-9(6), Rule 5-12, Part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Legal Profession Act, </w:t>
      </w:r>
      <w:hyperlink r:id="rId484" w:history="1">
        <w:r>
          <w:rPr>
            <w:rFonts w:ascii="arial" w:eastAsia="arial" w:hAnsi="arial" w:cs="arial"/>
            <w:i/>
            <w:color w:val="0077CC"/>
            <w:sz w:val="20"/>
            <w:u w:val="single"/>
            <w:shd w:val="clear" w:color="auto" w:fill="FFFFFF"/>
            <w:lang w:val="en-US" w:eastAsia="en-US" w:bidi="ar-SA"/>
          </w:rPr>
          <w:t>SBC 1998, CHAPTER 9, s. 3</w:t>
        </w:r>
      </w:hyperlink>
      <w:r>
        <w:rPr>
          <w:rFonts w:ascii="arial" w:eastAsia="arial" w:hAnsi="arial" w:cs="arial"/>
          <w:color w:val="000000"/>
          <w:sz w:val="20"/>
          <w:lang w:val="en-US" w:eastAsia="en-US" w:bidi="ar-SA"/>
        </w:rPr>
        <w:t>, s. 26, s. 38, s. 41, s. 47, s. 48, s.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Services Act, R.S.O. 1990 c. P-15,</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judicial review from a decision from the Law Society of British Columbia's Complainants' Review Committee, dated June 13, 2014, in the matter of a complaint by Robert Harrison against Angus Gunn.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3" w:name="Counsel_19"/>
      <w:bookmarkEnd w:id="1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2"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appearing on his own behalf: Robert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Law Society of British Columbia: Michael Armstrong,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Angus Gunn: Michael Stephens, Brent Olthuis.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4" w:name="Judgment_19"/>
      <w:bookmarkEnd w:id="134"/>
      <w:r>
        <w:pict>
          <v:line id="_x0000_s1123"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5" w:name="J.C. GRAUER J."/>
            <w:bookmarkEnd w:id="135"/>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Harrison applies for judicial review of a decision by the Law Society's Complainants' Review Committee ("CRC") concluding that Mr. Harrison's complaint against a member had been appropriately investigated, and resolving to take no further action on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complaint was against Angus Gunn, Q.C. It relates back to a decision by the Ministry of Children and Family Development ("the Ministry") in 2006 to disclose information about Mr. Harrison to his then employer (the "disclosure"). In the result, Mr. Harrison was dismissed from that employment. Acting without legal counsel, he complained to the Office of the Information and Privacy Commissioner ("OIPC") under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and then sought judicial review of the Commissioner's decisions: </w:t>
      </w:r>
      <w:r>
        <w:rPr>
          <w:rFonts w:ascii="arial" w:eastAsia="arial" w:hAnsi="arial" w:cs="arial"/>
          <w:i/>
          <w:color w:val="000000"/>
          <w:sz w:val="20"/>
          <w:lang w:val="en-US" w:eastAsia="en-US" w:bidi="ar-SA"/>
        </w:rPr>
        <w:t>Harrison v British Columbia (Information and Privacy Commissioner),</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2008 BCSC 411</w:t>
        </w:r>
      </w:hyperlink>
      <w:r>
        <w:rPr>
          <w:rFonts w:ascii="arial" w:eastAsia="arial" w:hAnsi="arial" w:cs="arial"/>
          <w:color w:val="000000"/>
          <w:sz w:val="20"/>
          <w:lang w:val="en-US" w:eastAsia="en-US" w:bidi="ar-SA"/>
        </w:rPr>
        <w:t>. In that decision, Mr. Justice Pitfield granted Mr. Harrison's petition for judicial review,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When the respondents to that review appealed, Mr. Gunn agreed to act for Mr. Harrison on that appeal on a </w:t>
      </w:r>
      <w:r>
        <w:rPr>
          <w:rFonts w:ascii="arial" w:eastAsia="arial" w:hAnsi="arial" w:cs="arial"/>
          <w:i/>
          <w:color w:val="000000"/>
          <w:sz w:val="20"/>
          <w:lang w:val="en-US" w:eastAsia="en-US" w:bidi="ar-SA"/>
        </w:rPr>
        <w:t>pro bono</w:t>
      </w:r>
      <w:r>
        <w:rPr>
          <w:rFonts w:ascii="arial" w:eastAsia="arial" w:hAnsi="arial" w:cs="arial"/>
          <w:color w:val="000000"/>
          <w:sz w:val="20"/>
          <w:lang w:val="en-US" w:eastAsia="en-US" w:bidi="ar-SA"/>
        </w:rPr>
        <w:t xml:space="preserve"> basis. The Court of Appeal rendered its decision allowing the appeals on May 7, 2009: </w:t>
      </w:r>
      <w:r>
        <w:rPr>
          <w:rFonts w:ascii="arial" w:eastAsia="arial" w:hAnsi="arial" w:cs="arial"/>
          <w:i/>
          <w:color w:val="000000"/>
          <w:sz w:val="20"/>
          <w:lang w:val="en-US" w:eastAsia="en-US" w:bidi="ar-SA"/>
        </w:rPr>
        <w:t>Harrison v British Columbia (Information and Privacy Commissioner)</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2009 BCCA 203</w:t>
        </w:r>
      </w:hyperlink>
      <w:r>
        <w:rPr>
          <w:rFonts w:ascii="arial" w:eastAsia="arial" w:hAnsi="arial" w:cs="arial"/>
          <w:color w:val="000000"/>
          <w:sz w:val="20"/>
          <w:lang w:val="en-US" w:eastAsia="en-US" w:bidi="ar-SA"/>
        </w:rPr>
        <w:t xml:space="preserve"> ("CA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his complaint to the Law Society, Mr. Harrison alleged that after that decision came down, Mr. Gunn deliberately provided him with a completely unreasonable and incorrect interpretation of the judgment and was in a position of conflict of interest. The result, Mr. Harrison claims, is that he pursued his civil action arising out of the disclosure on the basis of a critical misapprehension of how the law applied to his situation, leading ultimately to the dismissal of that claim by the Court of Appeal in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("CA 2010"). I should point out that Mr. Gunn played no role in the conduct of the civil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Had he been properly advised and informed, Mr. Harrison says, he would have been in a position to defeat the summary judgment application to dismiss his civil claim, and the Court of Appeal would not have been led into error in deciding CA 2010. As it is, he maintains, the Court of Appeal in CA 2010 failed to appreciate the significance of its decision in CA 2009, because Mr. Harrison was not in a position to bring it to their attention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For those interested, the full background of this much-litigated matter is set out in a number of decisions in addition to the ones cited above: see those indexed at </w:t>
      </w:r>
      <w:hyperlink r:id="rId452" w:history="1">
        <w:r>
          <w:rPr>
            <w:rFonts w:ascii="arial" w:eastAsia="arial" w:hAnsi="arial" w:cs="arial"/>
            <w:i/>
            <w:color w:val="0077CC"/>
            <w:sz w:val="20"/>
            <w:u w:val="single"/>
            <w:shd w:val="clear" w:color="auto" w:fill="FFFFFF"/>
            <w:lang w:val="en-US" w:eastAsia="en-US" w:bidi="ar-SA"/>
          </w:rPr>
          <w:t>2009 BCSC 460</w:t>
        </w:r>
      </w:hyperlink>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2011 BCSC 1204</w:t>
        </w:r>
      </w:hyperlink>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2012 BCCA 277</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2013 BCCA 465</w:t>
        </w:r>
      </w:hyperlink>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2014 BCSC 398</w:t>
        </w:r>
      </w:hyperlink>
      <w:r>
        <w:rPr>
          <w:rFonts w:ascii="arial" w:eastAsia="arial" w:hAnsi="arial" w:cs="arial"/>
          <w:color w:val="000000"/>
          <w:sz w:val="20"/>
          <w:lang w:val="en-US" w:eastAsia="en-US" w:bidi="ar-SA"/>
        </w:rPr>
        <w:t xml:space="preserve"> and </w:t>
      </w:r>
      <w:hyperlink r:id="rId488" w:history="1">
        <w:r>
          <w:rPr>
            <w:rFonts w:ascii="arial" w:eastAsia="arial" w:hAnsi="arial" w:cs="arial"/>
            <w:i/>
            <w:color w:val="0077CC"/>
            <w:sz w:val="20"/>
            <w:u w:val="single"/>
            <w:shd w:val="clear" w:color="auto" w:fill="FFFFFF"/>
            <w:lang w:val="en-US" w:eastAsia="en-US" w:bidi="ar-SA"/>
          </w:rPr>
          <w:t>2014 BCCA 210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the reasons that follow, I have concluded that this petition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CRC'S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Harrison submitted his complaint to the Law Society on May 15, 2013. He stated that the result of the misconduct he alleged was the dismissal of his civil action. In answer to the intake form question, "What would you like to see happen as a result of your complaint?", he answered, "Reverse dismissal of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pause to note that in parallel proceedings, Mr. Harrison was seeking to achieve that very result in the courts, including an attempt to persuade the Court of Appeal to reverse itself. His efforts were unsuccessful. As Groberman J.A. commented in </w:t>
      </w:r>
      <w:r>
        <w:rPr>
          <w:rFonts w:ascii="arial" w:eastAsia="arial" w:hAnsi="arial" w:cs="arial"/>
          <w:i/>
          <w:color w:val="000000"/>
          <w:sz w:val="20"/>
          <w:lang w:val="en-US" w:eastAsia="en-US" w:bidi="ar-SA"/>
        </w:rPr>
        <w:t>Harrison v British Columbia (Ministry of the Attorney General)</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2014 BCCA 210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I am not persuaded by Mr. Harrison's arguments. The 2010 judgment of this Court was a fully considered judgment, and is final. It cannot be displaced simply by commencing a new action alleging that it was wrong or wrongly procured.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Further, Mr. Harrison's contention that this Court's judgments in his other appeals show that its 2010 judgment was wrong is without merit. This Court was fully aware of its 2009 judgment when it pronounced its judgment in 2010, and referred to it in its reasons. Further, this Court was fully aware, in pronouncing its 2012 judgment, that Mr. Harrison's civil claim had been dismissed. This Court did not suggest that its disposition of the 2012 appeal cast any doubt on the finality or validity of the 2010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Returning to the complaint process, the Law Society intake officer corresponded with Mr. Harrison, noting in her letter of June 4,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cannot, under any circumstances, do anything whatsoever about the Court of Appeal's decision in your matter. This is something about which you will have to speak with another lawyer to determine if you have any further legal recourse is available to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can, however, review your concerns about the professional conduct or competence of Mr. Gunn on receipt of [specific information requests].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Harrison duly provided the requested information, and pursuant to Rule 3-5(1) of the </w:t>
      </w:r>
      <w:r>
        <w:rPr>
          <w:rFonts w:ascii="arial" w:eastAsia="arial" w:hAnsi="arial" w:cs="arial"/>
          <w:i/>
          <w:color w:val="000000"/>
          <w:sz w:val="20"/>
          <w:lang w:val="en-US" w:eastAsia="en-US" w:bidi="ar-SA"/>
        </w:rPr>
        <w:t>Law Society Rules</w:t>
      </w:r>
      <w:r>
        <w:rPr>
          <w:rFonts w:ascii="arial" w:eastAsia="arial" w:hAnsi="arial" w:cs="arial"/>
          <w:color w:val="000000"/>
          <w:sz w:val="20"/>
          <w:lang w:val="en-US" w:eastAsia="en-US" w:bidi="ar-SA"/>
        </w:rPr>
        <w:t>, the Law Society decided to investigate the complaint. It was not obliged to do so. It could have declined to investigate the complaint if satisfied that it was frivolous or vexatious or an abuse of process, or that it did not allege facts that, if proved, would constitute a discipline violation. Instead, it retained outside counsel, Ms. Paula Kalsi, to investigate and assess the complaint in accordance with the procedure set out in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followed a lengthy process of obtaining and exchanging information and submissions from Mr. Harrison and Mr. Gunn. Mr. Harrison made it quite clear that he was alleging that Mr. Gunn deliberately misled him in order to assist the Attorney General in defeating his civil claim. There was, of course, no evidence of such intent on the part of Mr. Gunn. Mr. Harrison maintained, however, that an intent to mislead was the only reasonable inference to be drawn given the proper (and in his view the only rational) interpretation of CA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Gunn responded at length, describing his dealings with Mr. Harrison, setting out the effect of the Court of Appeal judgments, refuting Mr. Harrison's allegations, and concluding: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Harrison's allegations against me are meritless and outrageous. I continue to regard Mr. Harrison as a victim of errors by the Ministry in the handling of his personal information. It is most unfortunate that Mr. Harrison has elected to respond to that victimization by turning on those who sought only to help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Kalsi completed her assessment and advised Mr. Harrison of the result on February 3, 2014. She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having reviewed the evidence, for the reasons set out below, my view is that there is insufficient evidence to support the allegations of professional misconduct on the part of Mr. Gunn that would warrant further action by the Law Society. Accordingly, I am closing this file pursuant to Rule 3-6(1)(a) of the Law Society Rules which provides: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Action after investigation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3-6(1) After investigating a complaint, the Executive Director must take no further action if the Executive Director is satisfied that the complaint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not valid or its validity cannot be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her reasons, Ms. Kalsi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complaint about Mr. Gunn arises out of his representation of you in appeals which were heard on February 25 and 26,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particular, you allege that Mr. Gunn failed to properly explain the May 2009 Reasons. You assert that Mr. Gunn "knowingly disguised these benefits [of the May 2009 Reasons] so as to protect the province from liability". You further assert that Mr. Gunn deliberately failed to disclose all relevant information and consequently, did not keep you reasonably informed. Mr. Gunn provided detailed responses to your complaint. He denied that he provided you with anything other than appropriate advice regarding the May 2009 Reasons. He stated that he provided you accurate advice regarding the effects of the May 2009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there is a dispute regarding the interpretation of the effects of the May 2009 Reasons. For example, you claim that Mr. Gunn perpetrated a false interpretation that the May 2009 Reasons had no bearing on your civil claim. You assert that the May 2009 Reasons rejected various grounds and found that you were owed a duty of care. Mr. Gunn maintains that the May 2009 Reasons did not make a finding that you were owed a duty of care. Because Mr. Gunn's interpretation of the May 2009 Reasons may not be your interpretation, does not mean he has offered you a false interpretation. As well, it does not mean that Mr. Gunn was advancing the interests of the opposing parties. He was simply exercising his professional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take disciplinary action against Mr. Gunn, there must be clear and convincing evidence that he did not meet Law Society requirements. We do not have that evidence and as a result of the allegations in your complaint cannot be proved and no further action will be taken.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disagree with this assessment, you have the right to have your complaint reviewed by the Law Society's Complainants' Review Committee.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Harrison exercised his right to have his complaint reviewed by the CRC.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acknowledging receipt of his review request, the CRC's paralegal wrote to Mr. Harrison on February 25, 2014. Her letter included the following advice: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Committee's review of your complaint is to determine whether an adequate investigation was conducted and whether the decision of the staff of the Professional Conduct Department was appropriate in light of the information before them. The Committee has no authority to conduct a further investigation of your complaint.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the Law Society's authority is limited to taking disciplinary or remedial action concerning a lawyer. We cannot order that you be paid for any loss you feel you may have suffered as a result of Mr. Gunn's conduct. Only the courts can do this and you should seek legal advice if you wish to pursue a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review by the Committee is not a formal disciplinary hearing. Neither the lawyer nor the complainant can attend this review. After a review of the file materials, the Committee may send a written request seeking further information from you, the lawyer or any other individual as it considers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Committee does not have the authority to make a finding of professional misconduct or incompetence on the part of any lawyer. It also cannot authorize disciplinary action. At the conclusion of the review, the Committee may refer your matter to the Discipline Committee, the Practice Standards Committee or decide to take no further action on your complaint. Once the review on your file has been completed you will receive a letter from the Committee reporting its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28, 2014, the CRC resolved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Robert Harrison v. Angus Gunn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rule 3-9 of the </w:t>
      </w:r>
      <w:r>
        <w:rPr>
          <w:rFonts w:ascii="arial" w:eastAsia="arial" w:hAnsi="arial" w:cs="arial"/>
          <w:i/>
          <w:color w:val="000000"/>
          <w:sz w:val="20"/>
          <w:lang w:val="en-US" w:eastAsia="en-US" w:bidi="ar-SA"/>
        </w:rPr>
        <w:t>Law Society Rules</w:t>
      </w:r>
      <w:r>
        <w:rPr>
          <w:rFonts w:ascii="arial" w:eastAsia="arial" w:hAnsi="arial" w:cs="arial"/>
          <w:color w:val="000000"/>
          <w:sz w:val="20"/>
          <w:lang w:val="en-US" w:eastAsia="en-US" w:bidi="ar-SA"/>
        </w:rPr>
        <w:t xml:space="preserve">, and after reviewing the investigation and decision of the Executive Director concerning a complaint from a client that the lawyer failed to properly explain the Reasons for Judgment, failed to disclose all relevant information and did not keep the complainant reasonably informed, </w:t>
      </w:r>
      <w:r>
        <w:rPr>
          <w:rFonts w:ascii="arial" w:eastAsia="arial" w:hAnsi="arial" w:cs="arial"/>
          <w:b/>
          <w:color w:val="000000"/>
          <w:sz w:val="20"/>
          <w:u w:val="single"/>
          <w:lang w:val="en-US" w:eastAsia="en-US" w:bidi="ar-SA"/>
        </w:rPr>
        <w:t>it was resolved</w:t>
      </w:r>
      <w:r>
        <w:rPr>
          <w:rFonts w:ascii="arial" w:eastAsia="arial" w:hAnsi="arial" w:cs="arial"/>
          <w:color w:val="000000"/>
          <w:sz w:val="20"/>
          <w:lang w:val="en-US" w:eastAsia="en-US" w:bidi="ar-SA"/>
        </w:rPr>
        <w:t xml:space="preserve"> to take no further action. The Committee agreed with the detailed staff assessment and determined the matter was appropriately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Law Society advised Mr. Harrison of this result by letter of June 13,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Committee's review was to determine whether an adequate investigation was conducted and whether the assessment made by staff of the Professional Conduct Department was appropriate in light of the information before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a review of your complaint and the file materials, the committee concluded that your complaint does not disclose evidence of professional misconduct or incompetence on the part of Mr. Gunn to warrant any further action on the part of the Law Society. The Committee noted this matter was appropriately investigated and agreed with Ms. Kalsi's assessment of your complaints as set out in her letter to you dated February 3, 2014 (copy enclosed).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the Committee has resolved to take no further action on your complaint and our file is now closed.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Ombudsperson is empowered by legislation to investigate complaints about regulatory bodies. If you have remaining concerns about the Law Society's processes please visit their website at www.ombudsman.bc.ca for further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Harrison does not complain about the process leading up to Ms. Kalsi's decision and the review of that decision by the CRC. He does not suggest that he was denied an opportunity to submit appropriate information or to respond to information from Mr. Gunn, or that the Law Society failed to follow its rules. What Mr. Harrison challenges is the conclusion and the basis for it as articulated by Ms. Kalsi, with which the CRC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Mr.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Pursuant to his petition for judicial review, Mr. Harrison seeks an order by way of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quashing the CRC's decision, and orders by way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requiring the Law Society to make various findings against Mr. Gunn, and to disbar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Since the CRC clearly had no jurisdiction to discipline Mr. Gunn or to make findings against him, Mr. Harrison accepted during the course of this hearing that the most that the CRC could be ordered to do, apart from reconsidering his complaint, would be to refer it to the Law Society's Discipline Committee for consideration, which </w:t>
      </w:r>
      <w:r>
        <w:rPr>
          <w:rFonts w:ascii="arial" w:eastAsia="arial" w:hAnsi="arial" w:cs="arial"/>
          <w:i/>
          <w:color w:val="000000"/>
          <w:sz w:val="20"/>
          <w:lang w:val="en-US" w:eastAsia="en-US" w:bidi="ar-SA"/>
        </w:rPr>
        <w:t>is</w:t>
      </w:r>
      <w:r>
        <w:rPr>
          <w:rFonts w:ascii="arial" w:eastAsia="arial" w:hAnsi="arial" w:cs="arial"/>
          <w:color w:val="000000"/>
          <w:sz w:val="20"/>
          <w:lang w:val="en-US" w:eastAsia="en-US" w:bidi="ar-SA"/>
        </w:rPr>
        <w:t xml:space="preserve"> within the CRC's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But fundamentally, Mr. Harrison seeks a "proper answer" to the issue of the correct interpretation of the Court of Appeal's judgment in CA 2009 -- an answer that he maintains Ms. Kalsi ought to have expressly provided in considering his complaint. Instead, he submits, she made no express finding but inferentially supported Mr. Gunn's interpretation by concluding that there was no evidence to substantiate the complaint. With respect to an interpretation of a court decision, Mr. Harrison says that the proper standard of review is correctness.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Law Society asserts that the impugned decision is not reviewable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because the CRC is not a "tribunal" clothed with a "statutory power of decision" within the meaning of that legislation. In the alternative, even if the decision is reviewable, the Law Society maintains that Mr. Harrison has no standing to bring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Finally, if the decision is reviewable and if Mr. Harrison has standing, the Law Society submits that the appropriate standard of review is reasonableness.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Mr. Gunn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Gunn takes no position on the questions of whether the impugned decision is reviewable, and if so, whether Mr. Harrison has standing to seek it. If the decision is to be reviewed, Mr. Gunn agrees with the Law Society that the proper standard of review is reasonableness. In any event, he maintains that the CRC's decision was not only reasonable, but also correct, and that there was no reviewable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Gunn also applies for an order excluding from the evidentiary record before me three affidavits sworn and filed by Mr. Harrison in support of his application for judicial review. None of these was in the record that formed the basis for the impugned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Some Preliminary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I have already noted, this cascade of litigation all flows from the disclosure made by the Ministry to Mr. Harrison's employer in 2006. Mr. Harrison stated in his submissions before me that he was "profoundly wronged" by that disclosure, and I observe that none of the many judges and adjudicators who considered the matter has ever suggested otherwise. On the contrary, Mr. Justice Pitfield described Mr. Harrison's original judicial review application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striking example of the harm that an individual may suffer as a consequence of a provincial government ministry accumulating, retaining, using and disclosing personal information... [</w:t>
      </w:r>
      <w:hyperlink r:id="rId415" w:history="1">
        <w:r>
          <w:rPr>
            <w:rFonts w:ascii="arial" w:eastAsia="arial" w:hAnsi="arial" w:cs="arial"/>
            <w:i/>
            <w:color w:val="0077CC"/>
            <w:sz w:val="20"/>
            <w:u w:val="single"/>
            <w:shd w:val="clear" w:color="auto" w:fill="FFFFFF"/>
            <w:lang w:val="en-US" w:eastAsia="en-US" w:bidi="ar-SA"/>
          </w:rPr>
          <w:t>2008 BCSC 411</w:t>
        </w:r>
      </w:hyperlink>
      <w:r>
        <w:rPr>
          <w:rFonts w:ascii="arial" w:eastAsia="arial" w:hAnsi="arial" w:cs="arial"/>
          <w:color w:val="000000"/>
          <w:sz w:val="20"/>
          <w:lang w:val="en-US" w:eastAsia="en-US" w:bidi="ar-SA"/>
        </w:rPr>
        <w:t xml:space="preserve"> at para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in 2010, the OIPC determined that,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Ministry breached its duty under s.28 [of FIPPA] to make every reasonable effort to ensure that Mr. Harrison's personal information in its custody and control was accurate and complete before it was used in a decision that directly affected Mr. Harrison. [2010 BCIPC 44 at para 80 (CanLII), "OIPC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That determination was made pursuant to the Court of Appeal's decision in CA 2009, which set aside Pitfield J.'s finding of a breach of section 28, and remitted that question to the OIPC. The OIPC adjudicator's decision was delivered after Mr. Harrison's civil action was dismissed in CA 2010, and was ultimately upheld in </w:t>
      </w:r>
      <w:r>
        <w:rPr>
          <w:rFonts w:ascii="arial" w:eastAsia="arial" w:hAnsi="arial" w:cs="arial"/>
          <w:i/>
          <w:color w:val="000000"/>
          <w:sz w:val="20"/>
          <w:lang w:val="en-US" w:eastAsia="en-US" w:bidi="ar-SA"/>
        </w:rPr>
        <w:t>British Columbia (Ministry of Children and Family Development) v Harrison</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2012 BCCA 277</w:t>
        </w:r>
      </w:hyperlink>
      <w:r>
        <w:rPr>
          <w:rFonts w:ascii="arial" w:eastAsia="arial" w:hAnsi="arial" w:cs="arial"/>
          <w:color w:val="000000"/>
          <w:sz w:val="20"/>
          <w:lang w:val="en-US" w:eastAsia="en-US" w:bidi="ar-SA"/>
        </w:rPr>
        <w:t xml:space="preserve"> ("CA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Taken together, CA 2009, CA 2010, OIPC 2010 and CA 2012 (it is worth noting that Mr. Harrison was the respondent in all three of the appeals) left Mr. Harrison somewhat bewildered. How is it that the Ministry breached its duty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yet owed no duty of care to him? The issue, he said, was murky. It has now, however, become clear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Regrettably, this clarity has manifested itself in the conclusion that he was the victim not only of a wrongful disclosure in 2006, but also of an ongoing conspiracy from the time of CA 2009 to rob him of the fruits of a civil claim against the Ministry. This conspiracy, Mr. Harrison believes, was designed to achieve this result by depriving him of the ability to argue his claim properly. To implement this design, Mr. Gunn was enlisted to mislead Mr. Harrison about the true effect of CA 2009. Implicated in the conspiracy along with Mr. Gunn are the Ministry, the Ministry of the Attorney General and its counsel, and probably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Why prominent professionals and public servants of blameless reputation would go to such lengths to attempt to disguise what always remained in plain sight--a seemingly futile endeavour--was something Mr. Harrison could not explain.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Interpretation is, by definition, a matter of opinion. None of us is infallible, and I suppose it possible that even the Court of Appeal might miss the implication of an earlier decision that is not properly brought to its attention. But I reject any notion of conspiracy or intent to mislead, on the part of Mr. Gunn or anyone else. There is nothing in any of the volumes of materials before me that even hints at, let alone supports, such a suggestion. There is only Mr. Harrison's speculation born of a struggle to understand what has happened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But that is the problem. It is reverse reasoning. Mr. Harrison begins with his particular interpretation of CA 2009. Because what he was advised and what happened to him do not fit with that interpretation, he reasons that the only rational explanation is conspiracy and deliberate misinformation. He then searches for evidence to support that proposition, but finds nothing beyond the speculative. With respect, that speculation is unfounded and of no help in attempting to comprehend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Nevertheless, this reasoning has led Mr. Harrison into pursuing a series of claims, appeals, complaints and applications in an attempt to establish the correctness of his position, and ultimately to restore his civil claim. He freely acknowledges that he has invoked the process of complaints to tribunals in the hope of obtaining findings that will assist him in subsequent civil actions: in the present case, presumably against Mr. Gunn for professional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I will shortly explain, I have concluded that Mr. Harrison's application fails on the preliminary basis that the impugned decision is not judicially reviewable under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I sense, however, that I am unlikely to be the only Supreme Court judge involved in this litigation whose decision is not appealed. Accordingly, in case I am found to have erred on the preliminary point, and in view of the observations I have just made, I propose to go on to address the fundamental issue of what the Court of Appeal decided in 2009. But I turn first to the question of reviewability.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Is the CRC's Decision Judicially Reviewable?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begin with a review of the process that takes place when the Law Society receives a complaint, as set out in the </w:t>
      </w:r>
      <w:r>
        <w:rPr>
          <w:rFonts w:ascii="arial" w:eastAsia="arial" w:hAnsi="arial" w:cs="arial"/>
          <w:i/>
          <w:color w:val="000000"/>
          <w:sz w:val="20"/>
          <w:lang w:val="en-US" w:eastAsia="en-US" w:bidi="ar-SA"/>
        </w:rPr>
        <w:t>Law Society Rules</w:t>
      </w:r>
      <w:r>
        <w:rPr>
          <w:rFonts w:ascii="arial" w:eastAsia="arial" w:hAnsi="arial" w:cs="arial"/>
          <w:color w:val="000000"/>
          <w:sz w:val="20"/>
          <w:lang w:val="en-US" w:eastAsia="en-US" w:bidi="ar-SA"/>
        </w:rPr>
        <w:t xml:space="preserve"> under Part 3 - Protection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Rule 3-2, any person may deliver a written complaint against a lawyer to the Executive Director. By Rule 3-4, the Executive Director must consider every complaint received under Rule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By Rule 3-5 (1) and (1.1), the Executive Director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investigate a complaint to determine its validity, and may designate an employee of the Society, or appoint a practising lawyer to conduct an investigation. In this case, the Executive Director decided to investigate Mr. Harrison's complaint, and appointed Ms. Kalsi to carry out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By Rule 3-6 (1), after investigating a complaint, the Executive Director </w:t>
      </w:r>
      <w:r>
        <w:rPr>
          <w:rFonts w:ascii="arial" w:eastAsia="arial" w:hAnsi="arial" w:cs="arial"/>
          <w:i/>
          <w:color w:val="000000"/>
          <w:sz w:val="20"/>
          <w:lang w:val="en-US" w:eastAsia="en-US" w:bidi="ar-SA"/>
        </w:rPr>
        <w:t>must</w:t>
      </w:r>
      <w:r>
        <w:rPr>
          <w:rFonts w:ascii="arial" w:eastAsia="arial" w:hAnsi="arial" w:cs="arial"/>
          <w:color w:val="000000"/>
          <w:sz w:val="20"/>
          <w:lang w:val="en-US" w:eastAsia="en-US" w:bidi="ar-SA"/>
        </w:rPr>
        <w:t xml:space="preserve"> take no further action if satisfied that the complaint is not valid, or that its validity cannot be proved, or that it does not disclose conduct serious enough to warrant further action. That is what occurred here. Otherwise, by Rule 3-6 (3), the Executive Director must refer the complaint to the Practice Standards Committee or to the Discipline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By Rule 3-9 (1), a complainant may apply to the Complainants' Review Committee for a review of a decision by the Executive Director under Rule 3-6 to take no further action after investigating a complaint. Mr. Harrison so applied. By Rule 3-9 (5), after its review and enquiries, the CRC must either confirm the decision of the Executive Director (or delegate) to take no further action, or refer the complaint to the Practice Standards Committee or to the Discipline Committee. Here, it confirmed the Executive Director's delegate's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If a complaint is referred to the Discipline Committee, which is what Mr. Harrison asks me to order, that committee may decide to take no further action on the complaint, or require the lawyer to appear before the Conduct Review Subcommittee, or direct that a citation be issued: Rule 4-4 (1). By Rule 4-9 (6), upon considering a report from the Conduct Review Subcommittee, the Discipline Committee may decide to take no further action, or among other things, recommend the issuance of a citation.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Only when a citation is issued is a tribunal or "panel" established, by statute, for the purpose of holding a hearing: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sections 38 and 41. Decisions from hearing panels are reviewable by the Law Society's Review Board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section 47; Rule 5-12). By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section 48, decisions of the Review Board may be appealed to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noteworthy that the complainant has no role to play once investigation is complete. In particular, the complainant is not a party to a hearing concerning a citation, to a review by the Review Board, or to an appeal under section 48. The focus is on the lawyer, not on the complainant, and as the Law Society pointed out to Mr. Harrison, it was not empowered to grant him any remedy or compensation. For that, he must look to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Law Society submits that it is clear from this scheme that the Executive Director and the CRC perform a review and investigatory function only. Neither has the jurisdiction to determine or decide the merits of any complaint, or to find professional misconduct. That jurisdiction is reserved for hearing panels considering citations, and Review Boards. Even they can only deal with the professional status of the lawyer, and cannot affect the rights of the complainant.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these circumstances, the Law Society asserts, both Ms. Kalsi and the CRC were carrying out purely administrative functions in their handling of Mr. Harrison's complaint, and were not exercising a "statutory power of decision" within the meaning of section 1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"statutory power of decision"</w:t>
      </w:r>
      <w:r>
        <w:rPr>
          <w:rFonts w:ascii="arial" w:eastAsia="arial" w:hAnsi="arial" w:cs="arial"/>
          <w:color w:val="000000"/>
          <w:sz w:val="20"/>
          <w:lang w:val="en-US" w:eastAsia="en-US" w:bidi="ar-SA"/>
        </w:rPr>
        <w:t xml:space="preserve"> means a power or right conferred by an enactment to make a decision deciding or prescribing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rights, powers, privileges, immunities, duties or liabilities of a person,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eligibility of a person to receive, or to continue to receive, a benefit or license, whether or not the person is legally entitled to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includes the powers of the Provincial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That kind of process would not take place unless the matter reached a hearing panel. Accordingly, the Law Society argues, the CRC's decision is not reviewable: </w:t>
      </w:r>
      <w:r>
        <w:rPr>
          <w:rFonts w:ascii="arial" w:eastAsia="arial" w:hAnsi="arial" w:cs="arial"/>
          <w:i/>
          <w:color w:val="000000"/>
          <w:sz w:val="20"/>
          <w:lang w:val="en-US" w:eastAsia="en-US" w:bidi="ar-SA"/>
        </w:rPr>
        <w:t>Pierce v Law Society (British Columbia)</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(1993), 103 DLR (4th) 233</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Greene v Law Society of British Columbia</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2005 BCSC 390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Taylor v The Law Society of British Columbia</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2010 BCSC 1098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Pierce</w:t>
      </w:r>
      <w:r>
        <w:rPr>
          <w:rFonts w:ascii="arial" w:eastAsia="arial" w:hAnsi="arial" w:cs="arial"/>
          <w:color w:val="000000"/>
          <w:sz w:val="20"/>
          <w:lang w:val="en-US" w:eastAsia="en-US" w:bidi="ar-SA"/>
        </w:rPr>
        <w:t xml:space="preserve">, Mr. Justice Clancy of this Court concluded that a decision by the Discipline Committee to issue a citation was purely administrative because it neither decided nor prescribed legal rights, powers, privileges, immunities, duties or liabilities of the member. The decision was therefore not reviewable under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Greene</w:t>
      </w:r>
      <w:r>
        <w:rPr>
          <w:rFonts w:ascii="arial" w:eastAsia="arial" w:hAnsi="arial" w:cs="arial"/>
          <w:color w:val="000000"/>
          <w:sz w:val="20"/>
          <w:lang w:val="en-US" w:eastAsia="en-US" w:bidi="ar-SA"/>
        </w:rPr>
        <w:t>, Madam Justice Gerow of this Court came to the same conclusion concerning a decision of the Practice Standards Committee to order a practice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xml:space="preserve">, Madam Justice Fisher of this Court considered a decision of the Discipline Committee not to accept a recommendation by the Conduct Review Subcommittee to issue a citation, but instead to file the Subcommittee's report in the lawyer's professional conduct record and take no further action. Once again, the Court concluded that the impugned decision did not involve the exercise of a statutory power of decision as defined in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and accordingly was not subject to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Subject to what I say below in relation to a recent decision of the Ontario Court of Appeal, those decisions are binding upon me in accordance with the principles expressed in </w:t>
      </w:r>
      <w:r>
        <w:rPr>
          <w:rFonts w:ascii="arial" w:eastAsia="arial" w:hAnsi="arial" w:cs="arial"/>
          <w:i/>
          <w:color w:val="000000"/>
          <w:sz w:val="20"/>
          <w:lang w:val="en-US" w:eastAsia="en-US" w:bidi="ar-SA"/>
        </w:rPr>
        <w:t>Re Hansard Spruce Mills</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(1954), 13 WWR (NS) 285</w:t>
        </w:r>
      </w:hyperlink>
      <w:r>
        <w:rPr>
          <w:rFonts w:ascii="arial" w:eastAsia="arial" w:hAnsi="arial" w:cs="arial"/>
          <w:color w:val="000000"/>
          <w:sz w:val="20"/>
          <w:lang w:val="en-US" w:eastAsia="en-US" w:bidi="ar-SA"/>
        </w:rPr>
        <w:t xml:space="preserve"> (BCSC), and I am unable to distinguish them factually from the circumstances before me. As I see it, both Ms. Kalsi and the CRC were exercising, in effect, a discretionary administrative winnowing function that did not decide any legal rights, duties or liabilities. The situation is distinguishable from, for instance, a member of the Human Rights Tribunal exercising a gatekeeping function pursuant to section 27 of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--a power that is specifically conferred by statute, and which directly affects a complainant's rights in relation to remedies available under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Accordingly, the CRC did not constitute a "tribunal" exercising a "statutory power of decision" within the meaning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It follows that the impugned decision is not amenable to judicial review, and the petition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Mr. Harrison submitted that to conclude that the decision was not judicially reviewable would run counter to the Law Society's object and duty, as set out in section 3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to "uphold and protect the public interest in the administration of justice". The public would be without protection, he argued, if an unreasonable or incorrect decision not to pursue a complaint were immune to judicial review. I am unable to agree. Mr. Harrison confuses the public interest in the administration of justice with his private interest in personal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This object set out in section 3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is furthered by section 26, which provides for members of the public to submit complaints that a lawyer, former lawyer or articled student has practised law incompetently or been guilty of professional misconduct or a breach of the Act, and authorizes the benchers to make rules for the investigation of such complaints--the rules I have described above. Again, unlike the process under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the focus of any such investigation is not on the rights of the complainant, but on the conduct of the lawyer. That accords with the public interest. The private rights of the complainant are the domain of the civil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precisely in furtherance of this object that the Law Society has established its complaints procedure and the administrative process it comprises, protecting the public interest by providing for the review of lawyers' professional conduct. This objective does not call for the exercise of statutory powers of decision at the intake stage, because the complainant's rights are not in question. Neither does that objective require the Law Society to substitute itself for the courts in order to determine the private civil rights of its members' clients. What it does compel is the establishment of an administrative process that facilitates the acceptance and consideration of complaints from the public, and that has been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After the hearing of argument in this matter, counsel for the Law Society brought to my attention two decisions from Ontario that he thought might be relevant to this issue: </w:t>
      </w:r>
      <w:r>
        <w:rPr>
          <w:rFonts w:ascii="arial" w:eastAsia="arial" w:hAnsi="arial" w:cs="arial"/>
          <w:i/>
          <w:color w:val="000000"/>
          <w:sz w:val="20"/>
          <w:lang w:val="en-US" w:eastAsia="en-US" w:bidi="ar-SA"/>
        </w:rPr>
        <w:t>Endicott v Ontario (Independent Police Review Office)</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2014 ONCA 363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Harrison v Association of Professional Engineers of Ontario</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2014 ONSC 6549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Both judgments considered whether a particular decision not to deal further with a complaint constituted the exercise of a statutory power of decision, albeit in a very different context. In </w:t>
      </w:r>
      <w:r>
        <w:rPr>
          <w:rFonts w:ascii="arial" w:eastAsia="arial" w:hAnsi="arial" w:cs="arial"/>
          <w:i/>
          <w:color w:val="000000"/>
          <w:sz w:val="20"/>
          <w:lang w:val="en-US" w:eastAsia="en-US" w:bidi="ar-SA"/>
        </w:rPr>
        <w:t>Endicott</w:t>
      </w:r>
      <w:r>
        <w:rPr>
          <w:rFonts w:ascii="arial" w:eastAsia="arial" w:hAnsi="arial" w:cs="arial"/>
          <w:color w:val="000000"/>
          <w:sz w:val="20"/>
          <w:lang w:val="en-US" w:eastAsia="en-US" w:bidi="ar-SA"/>
        </w:rPr>
        <w:t xml:space="preserve">, the Ontario Court of Appeal concluded that a decision by the Independent Police Review Director not to deal with a complaint about police conduct involved the exercise of a statutory power of decision. In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xml:space="preserve">, Beaudoin J. of the Ontario Superior Court of Justice found the </w:t>
      </w:r>
      <w:r>
        <w:rPr>
          <w:rFonts w:ascii="arial" w:eastAsia="arial" w:hAnsi="arial" w:cs="arial"/>
          <w:i/>
          <w:color w:val="000000"/>
          <w:sz w:val="20"/>
          <w:lang w:val="en-US" w:eastAsia="en-US" w:bidi="ar-SA"/>
        </w:rPr>
        <w:t>Endicott</w:t>
      </w:r>
      <w:r>
        <w:rPr>
          <w:rFonts w:ascii="arial" w:eastAsia="arial" w:hAnsi="arial" w:cs="arial"/>
          <w:color w:val="000000"/>
          <w:sz w:val="20"/>
          <w:lang w:val="en-US" w:eastAsia="en-US" w:bidi="ar-SA"/>
        </w:rPr>
        <w:t xml:space="preserve"> decision to be distinguishable, and came to the opposite conclusion about a decision of the Complaints Committee of the Association of Professional Engineers of Ontario not to refer a complaint to its Discipline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too, consider the </w:t>
      </w:r>
      <w:r>
        <w:rPr>
          <w:rFonts w:ascii="arial" w:eastAsia="arial" w:hAnsi="arial" w:cs="arial"/>
          <w:i/>
          <w:color w:val="000000"/>
          <w:sz w:val="20"/>
          <w:lang w:val="en-US" w:eastAsia="en-US" w:bidi="ar-SA"/>
        </w:rPr>
        <w:t>Endicott</w:t>
      </w:r>
      <w:r>
        <w:rPr>
          <w:rFonts w:ascii="arial" w:eastAsia="arial" w:hAnsi="arial" w:cs="arial"/>
          <w:color w:val="000000"/>
          <w:sz w:val="20"/>
          <w:lang w:val="en-US" w:eastAsia="en-US" w:bidi="ar-SA"/>
        </w:rPr>
        <w:t xml:space="preserve"> decision to be distinguishable given the very different statutory scheme there considered, and the nature of the Independent Police Review process. As the Ontario Court of Appeal pointed out in para 25, the statutory provisions of the </w:t>
      </w:r>
      <w:r>
        <w:rPr>
          <w:rFonts w:ascii="arial" w:eastAsia="arial" w:hAnsi="arial" w:cs="arial"/>
          <w:i/>
          <w:color w:val="000000"/>
          <w:sz w:val="20"/>
          <w:lang w:val="en-US" w:eastAsia="en-US" w:bidi="ar-SA"/>
        </w:rPr>
        <w:t>Police Services Act,</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RSO 1990, c P 15</w:t>
        </w:r>
      </w:hyperlink>
      <w:r>
        <w:rPr>
          <w:rFonts w:ascii="arial" w:eastAsia="arial" w:hAnsi="arial" w:cs="arial"/>
          <w:color w:val="000000"/>
          <w:sz w:val="20"/>
          <w:lang w:val="en-US" w:eastAsia="en-US" w:bidi="ar-SA"/>
        </w:rPr>
        <w:t xml:space="preserve"> establishing the complaints procedure and assigning the Independent Police Review Director his role were quite different from the complaints procedures set out in other statutes. They are very different indeed from the Law Society provisions, creating a legal right that does not, in my view, arise under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Accordingly, I see no reason to depart from the previous decisions of this Court to which I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view of my conclusion on this issue, it is unnecessary to consider the question of Mr. Harrison's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the reasons discussed above, including the possibility of error, I now turn to the fundamental question of the effect of CA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What Did the Court of Appeal Decide in CA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might be suggested that the Court of Appeal should speak for itself. I point out that it already has. Often. It has done so the way all courts must, through Reasons for Judgment. "Mr. Harrison's contention," said Groberman J.A. succinctly, "that this Court's judgments in his other appeals show that its 2010 judgment was wrong is without merit" ( </w:t>
      </w:r>
      <w:hyperlink r:id="rId488" w:history="1">
        <w:r>
          <w:rPr>
            <w:rFonts w:ascii="arial" w:eastAsia="arial" w:hAnsi="arial" w:cs="arial"/>
            <w:i/>
            <w:color w:val="0077CC"/>
            <w:sz w:val="20"/>
            <w:u w:val="single"/>
            <w:shd w:val="clear" w:color="auto" w:fill="FFFFFF"/>
            <w:lang w:val="en-US" w:eastAsia="en-US" w:bidi="ar-SA"/>
          </w:rPr>
          <w:t>2014 BCCA 210</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Nevertheless, interpreting appellate reasons for judgment is part of the daily task of trial judges, and in order to address Mr. Harrison's concerns fulsomely for the purpose of this application, I propose to embark on this interpretive journey, meaning no disrespect to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At the root of the problem Mr. Harrison raises is the interplay between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Child, Family and Community Services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in relation to the disclosure of information by an employee of the Ministry (the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Ministry had been contacted in 2006 by Mr. Harrison's employer because Mr. Harrison's new job involved one-on-one supervision of a troubled youth, and he had signed a standard consent for the release of information. The employee discovered a decade-old intake report suggesting a suspicion of abuse five years earlier, which the Ministry had decided at the time was not worthy of concern. In 2006, however, the employee was unclear about what follow-up had occurred, and apparently concluded, after discussion with a supervisor, that there should be a comprehensive review of the assessment that had been undertaken a decade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obtaining a further consent from Mr. Harrison, the employee advised Mr. Harrison's employer of the nature of the allegation, and of her concern that it had not been properly investigated. She said that a review was being undertaken, and recommended that the employer consider arranging for Mr. Harrison to be supervised in his position until the review was complete. Because supervision was impracticable, the employer dismissed Mr.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Mr. Harrison was stunned by this extraordinary turn of events and complained both to the Ministry and to the OIPC. The issue centred on this: by what authority did the employee make the disclosure? Was the disclosure authorized by sections 33 and 33.1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Was it authorized under section 79(a) of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Did the employee comply with the requirements of these sections? Did she breach section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How do these interrelate?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that time, these provisions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FIPPA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individual's personal information is in the custody or under control of a public body,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information will be used by or on behalf of the public body to make a decision that directly affects the individual,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public body must make every reasonable effort to ensure that the personal information is accurate and complete.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A public body must ensure that personal information in its custody or under its control is disclosed only as permitted under section 33.1 or 33.2.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33.1(1) A public body may disclose personal information referred to in section 33 inside or outside Canada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individual the information is about has identified the information and consented, and the prescribed manner, to its disclosure inside or outside Canada, as applicable;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an enactment of British Columbia or Canada that authorizes or requires its disclosure;</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made available to the public in British Columbia under an enactment, other than this Act, that authorizes or requires the information to be made public;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CFCSA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A director may, without the consent of any person, disclose information obtained under this Act if the disclosure is</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necessary to ensure the safety or well-being of a child,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CA 2009, the court considered two issues arising from Pitfield J.'s judgment that are relevant for present purposes:</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judge's conclusion that the OIPC had authority to investigate a complaint with respect to disclosures made under section 79 of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finding that the employee had breached section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the first issue, the court found that the chambers judge had erred: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When one traverses this statutory labyrinth, the result is that the Commissioner's complaint investigation jurisdiction is limited to the director's powers, duties and investigations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but does not include the investigation of a director's powers under s. 79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This is because s. 79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is not a provision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and is not incorporated into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by operation of s. 33.1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[as a result of amendments carried out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the Court noted in para 58, the effect of amendments in 2006 "renders the Commissioner without jurisdiction to review complaints with respect to disclosures made under s. 79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It is on this passage that Mr. Harrison focuses.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On the second issue, the Court again found that the chambers judge had erred. The problem here was that there had been no inquiry or finding by the Commissioner in the decision under review concerning that question of whether the employee had breached section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Accordingly, it was not open for the reviewing judge to make such a finding; it went beyond his jurisdiction on judicial review: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In short, the chambers judge's remarks concerning s. 28 and possible remedies were made without the benefit of submissions from either the Attorney General or the Commissioner as to the evidentiary or legal basis on which such finding or orders could be made, or their utility. In these circumstances, the only sensible alternative is to remit the complaint relating to the s. 28 issue and any remedies to the Commissioner.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combined effect of these findings, Mr. Harrison asserts, is that the disclosure that was made in his case </w:t>
      </w:r>
      <w:r>
        <w:rPr>
          <w:rFonts w:ascii="arial" w:eastAsia="arial" w:hAnsi="arial" w:cs="arial"/>
          <w:i/>
          <w:color w:val="000000"/>
          <w:sz w:val="20"/>
          <w:lang w:val="en-US" w:eastAsia="en-US" w:bidi="ar-SA"/>
        </w:rPr>
        <w:t>could not have been one authorized by section 79 of CFCSA</w:t>
      </w:r>
      <w:r>
        <w:rPr>
          <w:rFonts w:ascii="arial" w:eastAsia="arial" w:hAnsi="arial" w:cs="arial"/>
          <w:color w:val="000000"/>
          <w:sz w:val="20"/>
          <w:lang w:val="en-US" w:eastAsia="en-US" w:bidi="ar-SA"/>
        </w:rPr>
        <w:t xml:space="preserve">. This is because, having found that the Commissioner was "without jurisdiction to review complaints with respect to disclosures made under s. 79 of the CFCSA", the Court went on to remit Mr. Harrison's complaint to the Commissioner to consider whether there had been a breach of section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How could the Commissioner do so, Mr. Harrison asks, if that complaint related to disclosure made under section 79? Given the Court of Appeal's ruling, Mr. Harrison answers, he could not. It would have been outside his jurisdiction. It follows, Mr. Harrison maintains, that the disclosure must have been one made by the director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and not one made under section 79 of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That being the case, says Mr. Harrison, the Court of Appeal's dismissal of his civil claim in CA 2010 was clearly wrong. This applies particularly to its handling of his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question turned on whether, in law, the employee in question owed a duty of care to Mr. Harrison. The Court accepted that the employee had been operating under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which provides that the safety and well-being of children must to be the paramount considerations in the administration of the statute. In these circumstances, in accordance with the decision of the Supreme Court of Canada in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 the Court of Appeal concluded that no private law duty of care could arise, as it would conflict with the employee's paramount obligation, or public law duty, to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As Mr. Harrison stated before me, he fully understands and accepts that as a matter of law, the Ministry and its employees, in pursuing public law objectives while discharging their responsibilities under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will not be subject to private law duties owed to anyone other than the children whose interests they are obliged to protect: </w:t>
      </w:r>
      <w:r>
        <w:rPr>
          <w:rFonts w:ascii="arial" w:eastAsia="arial" w:hAnsi="arial" w:cs="arial"/>
          <w:i/>
          <w:color w:val="000000"/>
          <w:sz w:val="20"/>
          <w:lang w:val="en-US" w:eastAsia="en-US" w:bidi="ar-SA"/>
        </w:rPr>
        <w:t>CD v Cunningham</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2014 BCCA 180</w:t>
        </w:r>
      </w:hyperlink>
      <w:r>
        <w:rPr>
          <w:rFonts w:ascii="arial" w:eastAsia="arial" w:hAnsi="arial" w:cs="arial"/>
          <w:color w:val="000000"/>
          <w:sz w:val="20"/>
          <w:lang w:val="en-US" w:eastAsia="en-US" w:bidi="ar-SA"/>
        </w:rPr>
        <w:t xml:space="preserve"> at para 12. But that could not apply to his case, he says, because the Court of Appeal made it clear in CA 2009 that the employee had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been discharging a public law duty under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In those circumstances, the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case was inapplicable; there could be no conflict that would oust a private law duty of care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It was this distinction, Mr. Harrison alleges, that was hidden from him by Mr. Gunn through Mr. Gunn's deliberate misinterpretation of the effect of CA 2009. As a result, Mr. Harrison was not in a position to explain to the Court of Appeal in 2010 why its decision in 2009 meant that his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not be dismissed on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But as I see it, there is a serious flaw in what Mr. Harrison has come to believe is the correct interpretation of CA 2009 (apart from the fact that it rests on the questionable proposition, rejected by Groberman J.A. in the passage quoted above, that the Court of Appeal failed to appreciate the effect of its own previous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That flaw is the conclusion that the existence of a statutory duty under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cannot coexist with a public law duty under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put another way, that recognition of the OIPC's jurisdiction to review a complaint of a breach by the Ministry of section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in relation to the collection and use of information, must mean that the disclosure of that information could not have been authorized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The Court of Appeal never said as much, and it does not follow from what the Court of Appeal did say. Mr. Harrison takes the passage quoted from para 58 of CA 2009 (see para 67 above) out of context.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section 28 does not deal with the disclosure of information. That is covered by sections 33 and 33.1.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we have seen, the principal question that arose in the aftermath of the disclosure was by what authority it was made. After reviewing what the Court of Appeal aptly described as a "statutory labyrinth", its first conclusion was that the Commissioner's </w:t>
      </w:r>
      <w:r>
        <w:rPr>
          <w:rFonts w:ascii="arial" w:eastAsia="arial" w:hAnsi="arial" w:cs="arial"/>
          <w:i/>
          <w:color w:val="000000"/>
          <w:sz w:val="20"/>
          <w:lang w:val="en-US" w:eastAsia="en-US" w:bidi="ar-SA"/>
        </w:rPr>
        <w:t>complaint investigation jurisdiction</w:t>
      </w:r>
      <w:r>
        <w:rPr>
          <w:rFonts w:ascii="arial" w:eastAsia="arial" w:hAnsi="arial" w:cs="arial"/>
          <w:color w:val="000000"/>
          <w:sz w:val="20"/>
          <w:lang w:val="en-US" w:eastAsia="en-US" w:bidi="ar-SA"/>
        </w:rPr>
        <w:t xml:space="preserve"> did not extend to the question of whether a disclosure was authorized under section 79(a) of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In other words, it was not open to the OIPC to second-guess the director about whether the disclosure was "necessary to ensure the safety or well-being of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It is clear that nothing about that conclusion took the employee's disclosure in this case outside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Rather, it recognized that the disclosure came squarely within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second conclusion was that the chambers judge had no jurisdiction to determine the validity of Mr. Harrison's complaint that the employee was in breach of section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That was a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issue, and </w:t>
      </w:r>
      <w:r>
        <w:rPr>
          <w:rFonts w:ascii="arial" w:eastAsia="arial" w:hAnsi="arial" w:cs="arial"/>
          <w:i/>
          <w:color w:val="000000"/>
          <w:sz w:val="20"/>
          <w:lang w:val="en-US" w:eastAsia="en-US" w:bidi="ar-SA"/>
        </w:rPr>
        <w:t>was</w:t>
      </w:r>
      <w:r>
        <w:rPr>
          <w:rFonts w:ascii="arial" w:eastAsia="arial" w:hAnsi="arial" w:cs="arial"/>
          <w:color w:val="000000"/>
          <w:sz w:val="20"/>
          <w:lang w:val="en-US" w:eastAsia="en-US" w:bidi="ar-SA"/>
        </w:rPr>
        <w:t xml:space="preserve"> within the complaint investigation jurisdiction of the Commissioner. It had nothing to do with whether the disclosure was authorized. In fact, it had nothing directly to do with disclosure at all. It concerned only the duty imposed on all public bodies by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in relation to information they collect and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Once again, nothing about this conclusion took the employee's disclosure in this case outside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It was irrelevant to the issue of whether, in accordance with section 79(a), the disclosure was "necessary to ensure the safety or well-being of the child". Rather, the act of disclosure in this context was relevant only to the question subsequently considered by the OIPC of whether there had been a </w:t>
      </w:r>
      <w:r>
        <w:rPr>
          <w:rFonts w:ascii="arial" w:eastAsia="arial" w:hAnsi="arial" w:cs="arial"/>
          <w:i/>
          <w:color w:val="000000"/>
          <w:sz w:val="20"/>
          <w:lang w:val="en-US" w:eastAsia="en-US" w:bidi="ar-SA"/>
        </w:rPr>
        <w:t>use</w:t>
      </w:r>
      <w:r>
        <w:rPr>
          <w:rFonts w:ascii="arial" w:eastAsia="arial" w:hAnsi="arial" w:cs="arial"/>
          <w:color w:val="000000"/>
          <w:sz w:val="20"/>
          <w:lang w:val="en-US" w:eastAsia="en-US" w:bidi="ar-SA"/>
        </w:rPr>
        <w:t xml:space="preserve"> of personal information "to make a decision that directly affects the individual" within the meaning of section 28. The personal information did not thereby become information that could not be disclosed. The authority for its disclosure remained section 79(a)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In the absence of bad faith, the paramount consideration of the safety and well-being of children still trumped any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Accordingly, holding the Ministry accountable to the OIPC in relation to the duty imposed by section 28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does not, as Mr. Harrison would have it, exclude an underlying disclosure that is necessary to ensure the safety or well-being of a child from the scope of the Ministry's public law duty to children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That duty will continue to be accorded precedence over any private law duty to a person harmed by a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Thus, in OIPC 2010, as affirmed by CA 2012, the consequences of the breach of section 28 found by the adjudicator were recommendations that the Ministry develop, implement and clarify its policies and procedures. No remedy of any kind was fashioned for Mr.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Read in context, then, the Court of Appeal's comment in para 58 of CA 2009 refers to the Commissioner's lack of jurisdiction to review complaints about whether disclosure was authorized under section 79 of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It cannot be taken to mean further that any remaining jurisdiction to consider a complaint about how the Ministry collected and used information takes any related disclosure outside of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so as to alter the Minister's public law duty. That question was never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must also be remembered that when the Court of Appeal rendered this decision, it did not purport to rule on what the outcome of Mr. Harrison's section 28 complaint would be. That was the very mistake it found the chambers judge to have made. Consequently, as Mr. Gunn advised Mr. Harrison, the true effect of CA 2009 would not become known until that complaint had been remitted to the OIPC. That was sound advice. The outcome of that process took some time, as the adjudicator's decision in OIPC 2010 was challenged, and not finally affirmed until CA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conclude that the interpretation of CA 2009 for which Mr. Harrison contends is incorrect. There is accordingly no basis on which I (or any other judge or adjudicator) could presume to question the correctness of CA 2010, even if I had jurisdiction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What About the CRC's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follows from the analysis I have just undertaken that the entire underpinning of Mr. Harrison's complaint to the Law Society against Mr. Gunn was misconceived. There was no misinterpretation, deliberate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Although I am satisfied that if the CRC's decision is reviewable, the proper standard of review is reasonableness, I am equally satisfied that its decision was not only reasonable, but also correct. There was simply no basis for taking further action on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For a discussion of the law concerning the deference due to decision-makers where the standard of review is reasonableness, see </w:t>
      </w:r>
      <w:r>
        <w:rPr>
          <w:rFonts w:ascii="arial" w:eastAsia="arial" w:hAnsi="arial" w:cs="arial"/>
          <w:i/>
          <w:color w:val="000000"/>
          <w:sz w:val="20"/>
          <w:lang w:val="en-US" w:eastAsia="en-US" w:bidi="ar-SA"/>
        </w:rPr>
        <w:t>Chriscan Enterprises Ltd v St Pierre</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2014 BCSC 1890</w:t>
        </w:r>
      </w:hyperlink>
      <w:r>
        <w:rPr>
          <w:rFonts w:ascii="arial" w:eastAsia="arial" w:hAnsi="arial" w:cs="arial"/>
          <w:color w:val="000000"/>
          <w:sz w:val="20"/>
          <w:lang w:val="en-US" w:eastAsia="en-US" w:bidi="ar-SA"/>
        </w:rPr>
        <w:t xml:space="preserve"> at paras 16-20; for a discussion of the proper approach to a review of a decision made at the gatekeeping stage, see </w:t>
      </w:r>
      <w:r>
        <w:rPr>
          <w:rFonts w:ascii="arial" w:eastAsia="arial" w:hAnsi="arial" w:cs="arial"/>
          <w:i/>
          <w:color w:val="000000"/>
          <w:sz w:val="20"/>
          <w:lang w:val="en-US" w:eastAsia="en-US" w:bidi="ar-SA"/>
        </w:rPr>
        <w:t>Lee v British Columbia (Attorney General)</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2004 BCCA 457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Berezoutskaia v British Columbia (Human Rights Tribunal)</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2006 BCCA 95</w:t>
        </w:r>
      </w:hyperlink>
      <w:r>
        <w:rPr>
          <w:rFonts w:ascii="arial" w:eastAsia="arial" w:hAnsi="arial" w:cs="arial"/>
          <w:color w:val="000000"/>
          <w:sz w:val="20"/>
          <w:lang w:val="en-US" w:eastAsia="en-US" w:bidi="ar-SA"/>
        </w:rPr>
        <w:t>. Such a decision, if reviewable, attracts "the highest degree of curial deference"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For this reason as well, the petition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 </w:t>
      </w:r>
      <w:r>
        <w:rPr>
          <w:rFonts w:ascii="arial" w:eastAsia="arial" w:hAnsi="arial" w:cs="arial"/>
          <w:b/>
          <w:color w:val="000000"/>
          <w:sz w:val="20"/>
          <w:u w:val="single"/>
          <w:lang w:val="en-US" w:eastAsia="en-US" w:bidi="ar-SA"/>
        </w:rPr>
        <w:t>Are the Affidavits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short answer is no. Mr. Gunn's position is well-founded. On an application for judicial review, the court is normally limited to consideration of the record that was before the body that made the impugned decision. The reviewing court is not to embark upon a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xml:space="preserve"> hearing: </w:t>
      </w:r>
      <w:r>
        <w:rPr>
          <w:rFonts w:ascii="arial" w:eastAsia="arial" w:hAnsi="arial" w:cs="arial"/>
          <w:i/>
          <w:color w:val="000000"/>
          <w:sz w:val="20"/>
          <w:lang w:val="en-US" w:eastAsia="en-US" w:bidi="ar-SA"/>
        </w:rPr>
        <w:t>Actton Transport Ltd. v British Columbia (Employment Standards)</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2010 BCCA 272</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Harrison's affidavits are problematic in a number of ways: they consist largely of argument; they adduce evidence that is contained in the record, but in a format different from what was put before the CRC; they include statements that are no more than speculation and suspicion; and they attach documents that were not in the record before the CRC and are irrelevant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An example of the last is a statement of account rendered by Mr. Gunn to Mr. Harrison, setting out the work he performed, the time he expended, and its value at normal hourly rates. The statement then shows a discount of 100%. It bears no relevance to the complaint. But Mr. Harrison says he believes that this statement of account was paid by the Ministry of the Attorney General, and if he finds a copy of it in the Attorney General's files, showing payment, that will prove the conflict of interest and conspiracy that he alleges. If.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the meantime, there is not a whit of evidence to support Mr. Harrison's suspicion. It is yet another example of his reverse reasoning. </w:t>
      </w:r>
      <w:r>
        <w:rPr>
          <w:rFonts w:ascii="arial" w:eastAsia="arial" w:hAnsi="arial" w:cs="arial"/>
          <w:i/>
          <w:color w:val="000000"/>
          <w:sz w:val="20"/>
          <w:lang w:val="en-US" w:eastAsia="en-US" w:bidi="ar-SA"/>
        </w:rPr>
        <w:t>If</w:t>
      </w:r>
      <w:r>
        <w:rPr>
          <w:rFonts w:ascii="arial" w:eastAsia="arial" w:hAnsi="arial" w:cs="arial"/>
          <w:color w:val="000000"/>
          <w:sz w:val="20"/>
          <w:lang w:val="en-US" w:eastAsia="en-US" w:bidi="ar-SA"/>
        </w:rPr>
        <w:t xml:space="preserve"> Mr. Gunn deliberately misinterpreted CA 2009, and </w:t>
      </w:r>
      <w:r>
        <w:rPr>
          <w:rFonts w:ascii="arial" w:eastAsia="arial" w:hAnsi="arial" w:cs="arial"/>
          <w:i/>
          <w:color w:val="000000"/>
          <w:sz w:val="20"/>
          <w:lang w:val="en-US" w:eastAsia="en-US" w:bidi="ar-SA"/>
        </w:rPr>
        <w:t>if</w:t>
      </w:r>
      <w:r>
        <w:rPr>
          <w:rFonts w:ascii="arial" w:eastAsia="arial" w:hAnsi="arial" w:cs="arial"/>
          <w:color w:val="000000"/>
          <w:sz w:val="20"/>
          <w:lang w:val="en-US" w:eastAsia="en-US" w:bidi="ar-SA"/>
        </w:rPr>
        <w:t xml:space="preserve"> he were part of a conspiracy with the Ministry of the Attorney General, </w:t>
      </w:r>
      <w:r>
        <w:rPr>
          <w:rFonts w:ascii="arial" w:eastAsia="arial" w:hAnsi="arial" w:cs="arial"/>
          <w:i/>
          <w:color w:val="000000"/>
          <w:sz w:val="20"/>
          <w:lang w:val="en-US" w:eastAsia="en-US" w:bidi="ar-SA"/>
        </w:rPr>
        <w:t>then</w:t>
      </w:r>
      <w:r>
        <w:rPr>
          <w:rFonts w:ascii="arial" w:eastAsia="arial" w:hAnsi="arial" w:cs="arial"/>
          <w:color w:val="000000"/>
          <w:sz w:val="20"/>
          <w:lang w:val="en-US" w:eastAsia="en-US" w:bidi="ar-SA"/>
        </w:rPr>
        <w:t xml:space="preserve"> that ministry probably paid his account. But Mr. Gunn did not misinterpret CA 2009. On the evidence that we have, he worked long and diligently on Mr. Harrison's behalf for free, and is living proof of the adage that no good deed goes unpunished.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affidavits are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F. </w:t>
      </w:r>
      <w:r>
        <w:rPr>
          <w:rFonts w:ascii="arial" w:eastAsia="arial" w:hAnsi="arial" w:cs="arial"/>
          <w:b/>
          <w:color w:val="000000"/>
          <w:sz w:val="20"/>
          <w:u w:val="single"/>
          <w:lang w:val="en-US" w:eastAsia="en-US" w:bidi="ar-SA"/>
        </w:rPr>
        <w:t>Should the Sealing Order and Ban on Publication Be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September 25, 2014, on the application of the Law Society, Mr. Justice Funt pronounced an order sealing the court file in this matter and banning publication of this proceeding pending further order of the court. With the consent of the parties, that sealing order and publication ban are now lifted and of no further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prohibitions set out in section 87 of the </w:t>
      </w:r>
      <w:r>
        <w:rPr>
          <w:rFonts w:ascii="arial" w:eastAsia="arial" w:hAnsi="arial" w:cs="arial"/>
          <w:i/>
          <w:color w:val="000000"/>
          <w:sz w:val="20"/>
          <w:lang w:val="en-US" w:eastAsia="en-US" w:bidi="ar-SA"/>
        </w:rPr>
        <w:t>LPA</w:t>
      </w:r>
      <w:r>
        <w:rPr>
          <w:rFonts w:ascii="arial" w:eastAsia="arial" w:hAnsi="arial" w:cs="arial"/>
          <w:color w:val="000000"/>
          <w:sz w:val="20"/>
          <w:lang w:val="en-US" w:eastAsia="en-US" w:bidi="ar-SA"/>
        </w:rPr>
        <w:t xml:space="preserve"> continue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Gunn requests leave to make further submissions as to costs following my disposition of Mr. Harrison's petition. Leave is granted. Submissions should be made in writing. I should say, though, that I can conceive of no basis upon which costs should be awarded either to or against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Gunn should file his written submissions, and serve them on Mr. Harrison, within 14 days of the date of this judgment. Mr. Harrison should file and deliver his response 14 days after receipt of Mr. Gunn's submissions. Mr. Gunn will then have seven days to file and deliver a reply, if any. Submissions should not exceed five pages in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petition is dismissed. The decision of the CRC was both reasonable and correct, and in any event is not reviewable under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The parties other than the Law Society have leave to make written submissions concerning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4"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Insurance Corp. of British Columbia v. Hoang, [2003] B.C.J. No. 1743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S004632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1743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42 M.V.R. (4th) 183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935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plaintiff, and Thi Dinh Hoang, Quang Thuong Nguyen, Hien Gia Hoang, Ha Thi Vu, Van Hong Nguyen, Phi Long Dinh, Thi Bac Do, Thi Hien Nguyen, Trong Dai Tran, Thuy Thi Nguyen, Chung Minh Tran, Thi Luyen Bui, Van Quyet Nguyen, Them Thi To, Nguyen Son Tran, Van Quang Vu, Quoc Thai Diep, Van Huy Nguyen, Minh Son Nguyen, Lap Thi Le, Em Thi Bui, Huong Thi Hoang, Xuan Tinh Dong, Y Van Le, Hai Trong Le, Thu Quyet Dang, Kin My Che, Son Nhu Nguyen, Van Cuong Nguyen, Van Thong Nguyen, Phung Sunny Wong, Loan Thi Nguyen, Quoc Thanh Tu, Manh Cong Tran and Huong Thi Nguyen,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5"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6" w:name="Keywords_20"/>
      <w:bookmarkEnd w:id="136"/>
      <w:r>
        <w:rPr>
          <w:rFonts w:ascii="arial" w:eastAsia="arial" w:hAnsi="arial" w:cs="arial"/>
          <w:b/>
          <w:color w:val="000000"/>
          <w:sz w:val="20"/>
          <w:lang w:val="en-US" w:eastAsia="en-US" w:bidi="ar-SA"/>
        </w:rPr>
        <w:t>Insurance — Automobile insurance, compulsory government schemes — Recovery by insurer — Overpayment, error or fraud — Damages — Punitive damages — Costs — Special orders.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7" w:name="Case Summary_19"/>
            <w:bookmarkEnd w:id="1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the Insurance Corporation of British Columbia, for judgment in accordance with the jury verdict, quantification of damages on default judgments, and costs, including special costs. ICBC brought an action against 35 defendants alleging fraud by staging accidents and making false claims. Many of the defendants settled or had default judgment awarded against them. The matter proceeded to trial with a jury against two defendants. The jury had awarded punitive damages of $20,000 against one of the defendants and found both liable for costs paid by ICBC for car repair and medical expenses.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8" w:name="Holdings of Court_16"/>
            <w:bookmarkEnd w:id="13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Judgment was granted in accordance with the jury verdict. Damages were quantified for the default judgments. Punitive damages were assessed against these defendants according to the nature and circumstances of the fraud. ICBC was awarded costs, but not special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9" w:name="Legislation Cited_14"/>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6"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19(9), 57(3).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0" w:name="Counsel_20"/>
      <w:bookmarkEnd w:id="1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F.G. Potts, for the plaintiff. Son Nhu Nguyen, appeared in person. No one appeared for Van Cuong Nguyen.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1" w:name="Judgment_20"/>
      <w:bookmarkEnd w:id="141"/>
      <w:r>
        <w:pict>
          <v:line id="_x0000_s1128" style="position:absolute;z-index:2518333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2" w:name="BENNETT J."/>
            <w:bookmarkEnd w:id="142"/>
            <w:r>
              <w:rPr>
                <w:rFonts w:ascii="arial" w:eastAsia="arial" w:hAnsi="arial" w:cs="arial"/>
                <w:b/>
                <w:color w:val="000000"/>
                <w:sz w:val="30"/>
                <w:lang w:val="en-US" w:eastAsia="en-US" w:bidi="ar-SA"/>
              </w:rPr>
              <w:t>BENNETT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for judgment, in accordance with the jury verdict, quantification of special and punitive damages for some of the default judgments, and costs, by the plaintiff, the Insurance Corporation of British Columbia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ICBC brought suit against 35 defendants alleging fraud, primarily by staging accidents and making false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number of the defendants settled with ICBC, some default judgments were taken and the matter proceeded to trial with a jury against only Mr. Son Nhu Nguyen and Mr. Van Cuong Nguyen, father and son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deal first with the applications for a judgment based on the jury verdict and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suggested that Van Cuong Nguyen and others staged an accident. Van Cuong Nguyen was driving Son Nhu Nguyen's car. Son Nhu Nguyen claimed for the repairs of the car and the car was repaired at a cost of $1,477.09. A further bill for towing was paid in the amount of $213.60.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Van Cuong Nguyen contacted a lawyer regarding filing a law suit, but did not file a writ. ICBC had become suspicious of the claim and after paying for the costs of some medical treatment, declined to pay anything further. The cost paid for medical treatment was $313.55. The total claim against the two men was $2,564.39.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his address to the jury, counsel for ICBC told the jury that ICBC's main concern was the issue of punitive damages in order to deter people from committing fraud in relation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jury found both Son Nhu Nguyen and Van Cuong Nguyen liable for $2,564.39. The jury found punitive damages against Van Cuong Nguyen for $20,000.00 and no punitive damages against Son Nhu Nguyen.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clear from the answer to the questions that the jury found that Van Cuong Nguyen did stage an accident. They found that Son Nhu Nguyen was not part of a conspiracy to the staging of the accident, but that he learned afterwards that the accident was staged and fraudulently did not disclose that to ICBC when interviewed by ICBC investigators.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ICBC seeks prejudgment interest on punitive damages from the date that the writ was filed. Further, they seek special costs against both of the defendants based on the conduct of the litigation by the two Nguyens. ICBC is not seeking full indemnity of the legal costs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Rule 57(3) states as follows:</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court orders that costs be assessed as special costs, the registrar shall allow those fees that the registrar considers were proper or reasonably necessary to conduct the proceeding to which the fees relate, and, in exercising that discretion, the registrar shall consider all of the circumstances, including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 and the difficulty or the novelty of the issues involved,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solicitor,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expended in conducting the proceeding,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any party that tended to shorten, or to unnecessarily lengthen, the duration of the proceeding,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proceeding to the party whose bill is being assessed, and the result obtained, and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benefit to the party whose bill is being assessed of the services rendered by the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Special costs are awarded where the conduct of the parties during the course of the litigation is "reprehensible", which includes conduct "deserving of reproof or rebuke". See Garcia v. Crestbrook Forest Industries Ltd. </w:t>
      </w:r>
      <w:hyperlink r:id="rId112"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at p. 746-7. In determining whether to order special costs, I must consider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submits that the basis for special costs are the allegations by the defendants that ICBC acted maliciously and that the investigators were racist. As well, ICBC says that a witness, the ex-wife of Son Nhu Nguyen, could not be cross-examined until they had a matrimonial file available with the result that the witness had to wait several days before testifying. Once she testified there was no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Further, Van Cuong Nguyen was called as an adverse party and during the course of questioning stood up and shouted, "I surrender", and left the courtroom. Essentially he abandoned the case. The jury was instructed that they could draw an adverse inference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law is very clear that a fraudulent claim may attract an order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ICBC v. Katinic et al, </w:t>
      </w:r>
      <w:hyperlink r:id="rId507" w:history="1">
        <w:r>
          <w:rPr>
            <w:rFonts w:ascii="arial" w:eastAsia="arial" w:hAnsi="arial" w:cs="arial"/>
            <w:i/>
            <w:color w:val="0077CC"/>
            <w:sz w:val="20"/>
            <w:u w:val="single"/>
            <w:shd w:val="clear" w:color="auto" w:fill="FFFFFF"/>
            <w:lang w:val="en-US" w:eastAsia="en-US" w:bidi="ar-SA"/>
          </w:rPr>
          <w:t>[2003] B.C.J. No. 603</w:t>
        </w:r>
      </w:hyperlink>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2003 BCCA 147</w:t>
        </w:r>
      </w:hyperlink>
      <w:r>
        <w:rPr>
          <w:rFonts w:ascii="arial" w:eastAsia="arial" w:hAnsi="arial" w:cs="arial"/>
          <w:color w:val="000000"/>
          <w:sz w:val="20"/>
          <w:lang w:val="en-US" w:eastAsia="en-US" w:bidi="ar-SA"/>
        </w:rPr>
        <w:t>, Southin J.A. speaking for the court said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fraud action she [the trial judge] ordered special costs. No appeal has been taken against that award by the defendants... That is not to say that if the defendants to that action had argued that special costs were not appropriate in the fraud action, that they might not have a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Further, Southin J.A. said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that is the actions brought by these fraudsters, in my view, special costs ought to have been awarded rather than costs on scale 4 simply because those persons by making fraudulent claims to the Insurance Corporation of British Columbia and then bringing the actions based on those fraudulent claims were engaging in perverting the course of justice. That is the sort of thing which attracts an award of special costs. It is not necessary in such circumstances that there be some other form of reprehensible conduct in the action. The very bringing of the actions themselves with their fraudulent foundation was sufficient to attract an order for special costs. That is the point that I was making in Sanghera </w:t>
      </w:r>
      <w:hyperlink r:id="rId508" w:history="1">
        <w:r>
          <w:rPr>
            <w:rFonts w:ascii="arial" w:eastAsia="arial" w:hAnsi="arial" w:cs="arial"/>
            <w:i/>
            <w:color w:val="0077CC"/>
            <w:sz w:val="20"/>
            <w:u w:val="single"/>
            <w:shd w:val="clear" w:color="auto" w:fill="FFFFFF"/>
            <w:lang w:val="en-US" w:eastAsia="en-US" w:bidi="ar-SA"/>
          </w:rPr>
          <w:t>(1991), 55 B.C.L.R. (2d) 125</w:t>
        </w:r>
      </w:hyperlink>
      <w:r>
        <w:rPr>
          <w:rFonts w:ascii="arial" w:eastAsia="arial" w:hAnsi="arial" w:cs="arial"/>
          <w:color w:val="000000"/>
          <w:sz w:val="20"/>
          <w:lang w:val="en-US" w:eastAsia="en-US" w:bidi="ar-SA"/>
        </w:rPr>
        <w:t>. I think, with respect, the learned judge put a little too low a value on what was said by me in Sanghera.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court may have drawn a distinction between a successful suit by ICBC against defendants for fraud and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fraudulently brought in the courts when imposing an order for special costs. The difference between the two is the invocation of the court's process to perpetrate a fraud in the latter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other hand, ICBC initially took the position that they were not proceeding against Son Nhu Nguyen. This appears in a letter from the Ombudsman's office to Son Nhu Nguyen. ICBC made errors in its allegations by claiming that one of the defendants was the son of Son Nhu Nguyen, and in spite of Mr. Nguyen's repeatedly pointing this out, the statement of claim was not amended until the eve of trial. Indeed I requested that ICBC look into the matter very early on in the case management proceedings. This was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One of the ICBC investigators, Mr. Elkin was, to be generous, not careful with his evidence. He gave testimony that was simply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ICBC complains about the ex-wife of Mr. Son Nhu Nguyen, Miss Diepe, having to wait to testify because I ordered that the matrimonial file be produced from Nanaimo. Mr. Nguyen requested the matrimonial files to be delivered and I found he was entitled to cross-examine Miss Diepe on matters in the file as relevant to her credibility. However, the main reason for the delay was because counsel for ICBC chose not to identify her as a witness until the eve of trial. That is a decision that ICBC made, however, they cannot lay the fault for the delay in calling her as a witness at the feet of the defendants. Further, once she gave her evidence, the lack of cross-examination by the defendant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Son Nhu Nguyen filed an affidavit in the proceedings stating that when ICBC served him with the writ of summons, they did so at his place of business, accompanied by a TV news cameraman. I find this conduct unacceptable.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there were some intemperate allegations made against ICBC, ICBC also did not act in an appropriate manner. I must make it perfectly clear that once Mr. Potts took over conduct of the file, apart from the misstatements in evidence made by Mr. Elkin over which Mr. Potts had no control, Mr. Potts and those assisting him conducted themselves in an exemplary and fair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some of the conduct by Son Nhu Nguyen and Van Cuong Nguyen, which ICBC characterizes as at least deserving of rebuke or reproof, no doubt was a response to the manner in which they were treated or at least perceived themselves to have been treated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Further, I take into account that both of these persons were lay litigants and did not have the benefit of counsel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have concluded that this is not a case for special costs. Although the defendants were held liable for the money paid out by ICBC, it is clear from the jury verdict that the only act that Son Nhu Nguyen was liable for was not advising ICBC of the fraud when he learned of it, and he had been a recipient of repairs to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thrust of the case against the defendants was a case for punitive damages. Mr. Son Nhu Nguyen was successful on that point. Therefore I find that Mr. Son Nhu Nguyen is not liable for any costs with respect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that Van Cuong Nguyen is liable for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Given the findings of the jury, the two defendants are jointly and severally liable for $2,564.39. Van Cuong Nguyen is also liable for the $20,000.00 in punitive damages the jury assessed against him. The motion for judgment is granted in those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ICBC also seeks prejudgment interest from the date the writ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Prejudgment interest will be awarded on the award of $2,564.39 from the date the writ was filed. I do not order any prejudgment interest on the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also asked to fix punitive and special damages against the defaulted defendants for the remainder of the accidents which have not been dealt with by settlement or in another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will deal first with special damages. From accident number three, ICBC seeks joint and several liability of a total claim of $707.41 from Thuy Thi Nguyen, Chung Minh Tran and Them Thi To. There is nothing in the claim that substantiates a claim of fraud against Thuy Thi Nguyen. Therefore, no damages or costs are awarded. However, there will be an award of $46.00 against Tran and $69.00 against To. From accident number five, ICBC seeks an award of special damages of $4,633.56 against Lap Thi Le. ICBC is not seeking an order of joint and several liability with respect to the others. That order is granted. In accident number six they seek an award of $375.90 from Loan Thi Nguyen and are not seeking joint and several liability with respect to that accident. This is in relation to investigative costs and will be dealt with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real issue is whether punitive damages should be awarded against those defendants and, if so, the amount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ICBC claims punitive damages from all of the above named save and except Loan Thi Nguyen. They only seek an order with respect to investigative costs against Loan Thi Nguyen.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ICBC takes the position that because these actions were not defended then the allegations in the statement of claim are deemed to be admissions pursuant to Rule 19(19):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allegation of fact in a pleading, if not denied or stated to be not admitted in the pleading of the opposite party, shall be taken to be admitted, except as against an infant or mentally incompetent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issue of punitive damages with respect to the litigants who have not defended the claim presents an interesting legal problem. Some of the default judgments in this case were dealt with previously by Madam Justice Sinclair Prowse: see ICBC v. Hoang et al. </w:t>
      </w:r>
      <w:hyperlink r:id="rId509" w:history="1">
        <w:r>
          <w:rPr>
            <w:rFonts w:ascii="arial" w:eastAsia="arial" w:hAnsi="arial" w:cs="arial"/>
            <w:i/>
            <w:color w:val="0077CC"/>
            <w:sz w:val="20"/>
            <w:u w:val="single"/>
            <w:shd w:val="clear" w:color="auto" w:fill="FFFFFF"/>
            <w:lang w:val="en-US" w:eastAsia="en-US" w:bidi="ar-SA"/>
          </w:rPr>
          <w:t>(2002), 42 C.C.L.I. (3d) 235</w:t>
        </w:r>
      </w:hyperlink>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2002 BCSC 1162</w:t>
        </w:r>
      </w:hyperlink>
      <w:r>
        <w:rPr>
          <w:rFonts w:ascii="arial" w:eastAsia="arial" w:hAnsi="arial" w:cs="arial"/>
          <w:color w:val="000000"/>
          <w:sz w:val="20"/>
          <w:lang w:val="en-US" w:eastAsia="en-US" w:bidi="ar-SA"/>
        </w:rPr>
        <w:t>. ICBC submits that I should not follow her decision because full submissions were not made before her. Further, Justice Sinclair Prowse was told that there was a cap of $10,000.00 on punitive damages as a result of another judge's decision. ICBC sought before her a range of punitive damages between $3,000.00 to $10,000.00. Further, Justice Sinclair Prowse asked whether there was a correlation between the special damage award and the punitive damage award and was told that there was such a correlation. The plaintiff is not taking that position before me. The plaintiff says there is no correlation between the special damage award and the punitive damage award. Further, Justice Sinclair Prowse was not provided with any of the jury awards made in other cases. Finally, the jury award in this case had not been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ICBC submits that the decision in Whiten v. Pilot Insurance Co., </w:t>
      </w:r>
      <w:hyperlink r:id="rId185"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at para. 94 stands for the proposition that the jury verdict keeps the judge in touch with the community, including financial realities: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very much the exception rather than the rule, (2) imposed only if there has been high-handed, malicious, arbitrary or highly reprehensible misconduct that departs to a marked degree from ordinary standards of decent behaviour. (3) Where they are awarded, punitive damages should be assessed in an amount reasonably proportionate to such factors as the harm caused, the degree of the misconduct, the relative vulnerability of the plaintiff and any advantage or profit gained by the defendant, (4) having regard to any other fines or penalties suffered by the defendant for the misconduct in question. (5) Punitive damages are generally given only where the misconduct would otherwise be unpunished or where other penalties are or are likely to be inadequate to achieve the objectives of retribution, deterrence and denunciation. (6) Their purpose is not to compensate the plaintiff, but (7) to give a defendant his or her just desert (retribution), to deter the defendant and others from similar misconduct in the future (deterrence), and to mark the community's collective condemnation (denunciation) of what has happened. (8) Punitive damages are awarded only where compensatory damages, which to some extent are punitive, are insufficient to accomplish these objectives, and (9) they are given in an amount that is no greater than necessary to rationally accomplish their purpose. (10) While normally the state would be the recipient of any fine or penalty for misconduct, the plaintiff will keep punitive damages as a "windfall" in addition to compensatory damages. (11) Judges and juries in our system have usually found that moderate awards of punitive damages, which inevitably carry a stigma in the broader community, are generally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ICBC submits that I should give more substance to the punitive awards granted by juries as opposed to those granted by judges.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proceedings before Sinclair Prowse J., she raised the concern of inconsistent verdicts as between her decision and mine, given we are both dealing with parties in the same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Now, ICBC takes the position that I should not follow Sinclair Prowse J., in the same litigation, because she was misinformed by ICBC. I note that Sinclair Prowse J. relied on the Whiten case in coming to her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her Reasons for Judgment, Sinclair Prowse J. succinctly sets out the purpose of punitive damages and the applicable factors. I can do no better than to reproduce those Reasons here. See paras. 50-57: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are a separate head of damages. Their purpose is to punish the defendant through specific and general deterrence and denunciation. See Vorvis v. Insurance Corp. of British Columbia, </w:t>
      </w:r>
      <w:hyperlink r:id="rId510"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and Huff v. Price </w:t>
      </w:r>
      <w:hyperlink r:id="rId511"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at 298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may be granted in situations in which the defendant has committed an actionable wrong; that wrong has injured the plaintiff; and the conduct of the defendant in committing that wrong is deserving of the condemnation of the court. See Vorvis, supra. Conduct that is deserving of the condemnation of the court includes conduct that is extreme in the sense that it is harsh, malicious, high-handed, oppressive, vindictive, and/or reprehensible. See Vorvis, supra; Hill v. Church of Scientology of Toronto, </w:t>
      </w:r>
      <w:hyperlink r:id="rId512"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Whiten v. Pilot Insurance Co., </w:t>
      </w:r>
      <w:r>
        <w:rPr>
          <w:rFonts w:ascii="arial" w:eastAsia="arial" w:hAnsi="arial" w:cs="arial"/>
          <w:i/>
          <w:color w:val="000000"/>
          <w:sz w:val="20"/>
          <w:lang w:val="en-US" w:eastAsia="en-US" w:bidi="ar-SA"/>
        </w:rPr>
        <w:t>[2002] S.C.J. No. 19</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Huff,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paras. 56-57: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the determination of the quantum of these punitive damage awards is concerned, the proper approach is to focus on the defendant's misconduct and not the plaintiff's loss. A formulaic approach, such as imposing a fixed ratio between compensatory and punitive damages, does not permit a consideration of the many variables necessary to reach a fair award. The facts of each case should be related to the underlying purposes of punitive damages. The quantum of the damages should be the lowest award that will serve those purposes. Proportionality is the governing rule for quantum. See Whiten v. Pilot Insurance Co., supra at paras. 71-74.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suggested in cases such as Sanghera, supra, Sam, supra and Le, supra, when reviewing the defendants' conduct and the underlying principles of punitive damages, consideration should be given to such factors as: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claims pertain to a fraud on the public and, if so, the public interest, and, in particular, to the multiplied effect of those fraudulent claims on that public body and the public taxpayers;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conduct includes criminal conduct. If it does, the criminal penalty for that conduct and the amount of the punitive damage award should be consistent with it. If the defendant has been charged criminally, that fact should be taken into account;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circumstances of the conduct. If, for example, the conduct is based on the commission of fraudulent acts, consideration should be given to such facts as whether: the acts were planned, organized, and/or deliberate; specialized knowledge was used; persons were recruited for profit; families and children were used; and/or the defendants participated in multiple claims;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has abused the court process by such conduct as commencing actions in pursuit of his or her fraudulent claims; and</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means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Needless to say, each claim must be considered on an individual basis. I add, parenthetically, that no evidence of the financial means of the defendants, is before me, other than what appears in the statement of claim. It would be speculation to make any inference regarding financial circumstances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ICBC acknowledges that the fact the litigant did not require ICBC to prove its claim is a factor to take into account in assessing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my view, I am bound by the parameters of other judge- decided cases when I assess the appropriate amount of punitive damages. These include the Reasons of Sinclair Prowse J. in Hoang, ICBC v. Sanghera </w:t>
      </w:r>
      <w:hyperlink r:id="rId508" w:history="1">
        <w:r>
          <w:rPr>
            <w:rFonts w:ascii="arial" w:eastAsia="arial" w:hAnsi="arial" w:cs="arial"/>
            <w:i/>
            <w:color w:val="0077CC"/>
            <w:sz w:val="20"/>
            <w:u w:val="single"/>
            <w:shd w:val="clear" w:color="auto" w:fill="FFFFFF"/>
            <w:lang w:val="en-US" w:eastAsia="en-US" w:bidi="ar-SA"/>
          </w:rPr>
          <w:t>(1991), 55 B.C.L.R. (2d) 125</w:t>
        </w:r>
      </w:hyperlink>
      <w:r>
        <w:rPr>
          <w:rFonts w:ascii="arial" w:eastAsia="arial" w:hAnsi="arial" w:cs="arial"/>
          <w:color w:val="000000"/>
          <w:sz w:val="20"/>
          <w:lang w:val="en-US" w:eastAsia="en-US" w:bidi="ar-SA"/>
        </w:rPr>
        <w:t xml:space="preserve"> (C.A.), ICBC v. Sam, </w:t>
      </w:r>
      <w:hyperlink r:id="rId513" w:history="1">
        <w:r>
          <w:rPr>
            <w:rFonts w:ascii="arial" w:eastAsia="arial" w:hAnsi="arial" w:cs="arial"/>
            <w:i/>
            <w:color w:val="0077CC"/>
            <w:sz w:val="20"/>
            <w:u w:val="single"/>
            <w:shd w:val="clear" w:color="auto" w:fill="FFFFFF"/>
            <w:lang w:val="en-US" w:eastAsia="en-US" w:bidi="ar-SA"/>
          </w:rPr>
          <w:t>[1997] B.C.J. No. 571</w:t>
        </w:r>
      </w:hyperlink>
      <w:r>
        <w:rPr>
          <w:rFonts w:ascii="arial" w:eastAsia="arial" w:hAnsi="arial" w:cs="arial"/>
          <w:color w:val="000000"/>
          <w:sz w:val="20"/>
          <w:lang w:val="en-US" w:eastAsia="en-US" w:bidi="ar-SA"/>
        </w:rPr>
        <w:t xml:space="preserve"> (S.C.) and ICBC v. Le, </w:t>
      </w:r>
      <w:hyperlink r:id="rId514" w:history="1">
        <w:r>
          <w:rPr>
            <w:rFonts w:ascii="arial" w:eastAsia="arial" w:hAnsi="arial" w:cs="arial"/>
            <w:i/>
            <w:color w:val="0077CC"/>
            <w:sz w:val="20"/>
            <w:u w:val="single"/>
            <w:shd w:val="clear" w:color="auto" w:fill="FFFFFF"/>
            <w:lang w:val="en-US" w:eastAsia="en-US" w:bidi="ar-SA"/>
          </w:rPr>
          <w:t>[1997] B.C.J. No. 3135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will deal first with Chung Minh Tran. Chung Minh Tran was involved in a staged accident. Although not claimed in the statement of claim, ICBC submits that it paid for physiotherapy on behalf of the defendant Tran.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this staged accident, children were in one of the cars. This is an aggravating feature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Taking into account the nature and circumstances of the fraud, and the other factors noted above, I assess punitive damages at $7,500.00.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Next, Them Thi To was involved in the same accident as Minh. She claimed for injuries. The children in the car were her own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her conduct all around was considerably more serious than Minh's. Taking into account all of the factors, especially the fact that she put her own children at risk for fraudulent financial gain, I assess punitive damages at $15,000.00.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Next, is Lap Thi Le. Lap Thi Le was involved in a staged accident, made a claim for injuries and was paid $4,000.00 for general damages. Taking into account the nature of the fraud and the factors noted above, I fix punitive damages at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Next, is the issue of costs of the investigation. The amount claimed for Chung Minh Tran for investigative costs is $16.68 for the adjuster's work and $220.75 for the investigator's work for a total of $237.43. That award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amount claimed for Them Thi To is $31.51 for adjuster's costs and $225.07 for investigative costs for a total of $256.58. That award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special damages, adjuster and investigative costs against Tran and To are awarded on a joint and several liability basis. This award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amount claimed from Lap Thi Le is $44.48 for adjuster's costs and $225.01 for investigative costs for a total of $269.49 and that award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Finally, the amount claim against Loan Thi Nguyen is $55.60 for adjuster costs and $320.30 for investigative costs for a total of $375.90. That award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will have its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Finally, court ordered interest will apply to the special damages and the award for adjusters' and investigative costs from the date of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Juelfs v. McCue, [2019] B.C.J. No. 1361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W.P. Riley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19-22 and 25-27,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M163153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1361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1195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Felicia Keely Juelfs, Plaintiff, and Robert McCue and Courtesy Window Cleaners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0"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3" w:name="Keywords_21"/>
      <w:bookmarkEnd w:id="143"/>
      <w:r>
        <w:rPr>
          <w:rFonts w:ascii="arial" w:eastAsia="arial" w:hAnsi="arial" w:cs="arial"/>
          <w:b/>
          <w:color w:val="000000"/>
          <w:sz w:val="20"/>
          <w:lang w:val="en-US" w:eastAsia="en-US" w:bidi="ar-SA"/>
        </w:rPr>
        <w:t>Damages — Types of damages — For personal injuries — Cost of future care — Loss of earning capacity — Special damages — Past loss of income — Expenses and expenditures — Therapy and rehabilitation — Transportation — Non-pecuniary damages — Pain and suffering — Action for personal injuries suffered in a 2014 motor vehicle accident allowed -- plaintiff was awarded damages totalling $257,037 — Plaintiff, a wildlife biologist, suffered ongoing soft tissue injuries to neck and back — Plaintiff thus limited to sustained sitting demands in office component of her work and strenuous activities required in field work — Plaintiff awarded non-pecuniary damages of $65,000, loss of past earning capacity of $15,516, loss of future earning capacity of $131,500, special damages of $11,030 and costs of future care of $33,990.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4" w:name="Case Summary_20"/>
            <w:bookmarkEnd w:id="1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2014 motor vehicle accident. The plaintiff, now 36, was an avid athlete and worked as a wildlife biologist. Her work contained a significant component of physical activity. As a result of the accident, the plaintiff experienced jaw pain, headaches, and pain in her neck and back. She continued to suffer from the soft tissue injuries to her neck and back. Five years after the collision, her symptoms had plateaued. In 2018, the plaintiff took a job as a wildlife biologist at an environmental services company. Her new position would be viewed as a promotion. After the collision, the plaintiff took three days off from her job. Thereafter, she was on modified duties, with no field assignments until early 2015. The plaintiff testified that when she returned to field assignments, she had difficulty with some aspects of the work due to her injuries. She claimed damages for lost capacity to earn overtime pay in the 12 months following the collision. She argued the bulk of her overtime pay came from field work, and that due to her collision-related injuries, she was unable to perform the same amount of field work in the 12-month period following the collision.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5" w:name="Holdings of Court_17"/>
            <w:bookmarkEnd w:id="14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totalling $257,037. Her ability to remain physically active had been impacted by pain, fatigue, and discomfort from her collision. She would continue to experience intermittent neck, upper back, and lower back pain into the indefinite future. As a result of the soft tissue injuries, the plaintiff was limited in her occupation in regards to the sustained sitting demands in the office component of her work and strenuous activities required in field work. The soft tissue injuries also had an effect on the plaintiff's lifestyle as she was restricted in her ability to participate in strenuous physical activities such as weight lifting, hiking, and running. The plaintiff was awarded non-pecuniary damages of $65,000. She was awarded $15,516 for loss of past earning capacity for lost overtime earnings in the 12 months following the collision. She was awarded $131,500 for loss of future earning capacity. As a result of her injuries, the plaintiff would experience limitations in her chosen occupation as a wildlife biologist, in terms of both field work and office work and thus impair her future income-earning capacity. The present-day value of the plaintiff's income was $1,315,000. Her injuries had led to a 10 per cent reduction in her income-earning capacity. The plaintiff was entitled to special damages totalling $11,030. She was awarded $11,030 for special damages. She was not entitled to claim cross-fit membership fees which she would have incurred in any event or to recover travel costs for treatment received at facilities in close proximity to her workplace during the week when she would have had to travel to work in any event. She was awarded $33,990 for costs for future care for chiropractic treatment and massage therapy, kinesiology, ergonomic workstation, and participation in a structured monthly fitness program.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6" w:name="Counsel_21"/>
      <w:bookmarkEnd w:id="1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1"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J.L. Harbut.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 Loewen.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7" w:name="Judgment_21"/>
      <w:bookmarkEnd w:id="147"/>
      <w:r>
        <w:pict>
          <v:line id="_x0000_s1132" style="position:absolute;z-index:25178316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Corrections were released by the Court August 8, 2019; the changes have been made to the text and the corrigenda are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INTRODUCTION</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Background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Effects of the Collision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Diagnosis and Treatment of the Plaintiff's Injuries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Dr. Sudol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Dr. Shore</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Dr. Gharsaa</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Dr. Saini</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(2.5) Impact of the Plaintiff's Injuries on Her Employment and Ability to Work</w:t>
      </w:r>
      <w:r>
        <w:rPr>
          <w:rFonts w:ascii="arial" w:eastAsia="arial" w:hAnsi="arial" w:cs="arial"/>
          <w:sz w:val="20"/>
          <w:lang w:val="en-US" w:eastAsia="en-US" w:bidi="ar-SA"/>
        </w:rPr>
        <w:cr/>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Impact of Plaintiff's Injuries on Her Ability to do Field Work</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(2.5.2) Impact of the Plaintiff's Injuries on Her Ability to do Office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Impact of the Injuries on the Plaintiff's Lifestyle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Functional Capacity Evaluation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(2.8) Conclusions as to the Nature, Extent, and Duration of Plaintiff's Injuries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Post-Collision Change in Employment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Earning Capacity</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Chiropractic Treatment and Massage Therapy</w:t>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Kinesiology</w:t>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Ergonomic Workstation</w:t>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Cross-Fit Training</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Costs of Care in relation to TMJ Dysfunction</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Assistance with Heavy Yard Work, Home Cleaning and Maintenance</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8" w:name="W.P. RILEY J."/>
            <w:bookmarkEnd w:id="148"/>
            <w:r>
              <w:rPr>
                <w:rFonts w:ascii="arial" w:eastAsia="arial" w:hAnsi="arial" w:cs="arial"/>
                <w:b/>
                <w:color w:val="000000"/>
                <w:sz w:val="30"/>
                <w:lang w:val="en-US" w:eastAsia="en-US" w:bidi="ar-SA"/>
              </w:rPr>
              <w:t>W.P. RILEY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Felicia Juelfs seeks damages arising from personal injuries sustained in a motor vehicle collision. The collision occurred on 12 May 2014, in Burnaby, when a van owned by the defendant Courtesy Window Cleaners Ltd. and driven by the defendant Robert McCue turned into Ms. Sangha's car in the middle of an intersection. The defendants have admitted liability. These reasons for judgment deal with the nature, extent, and duration of injuries suffered by Ms. Juelfs, and the quantum of her damages.</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Facts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Juelfs is currently 36 years old. She was born and raised in Fort St. John, British Columbia, and moved to the Lower Mainland region of the province when she was in her late 20s.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Juelfs has always been an active person. She played competitive soccer in high school and university. She has been involved in many other sports and recreational pursuits, including downhill skiing, snowboarding, cross-country skiing, squash, rock climbing, water polo, and under water hockey. Since her graduation from university, she has regularly attended a variety of fitness programs, including spin classes, aerobics, and cross-fit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Juelfs also chose to pursue a career with a significant component of physical activity, namely wildlife biology. Her work in this area has been made of up a mixture of field work and office work. The field work generally involves the study of wildlife and wildlife habitat, often in remote areas, which can be physically demanding.</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collision occurred on 12 May 2014. Ms. Juelfs was the driver and sole occupant in her car, a Volkswagen hatchback. She was wearing her seatbelt. At around 6:30 a.m., Ms. Juelfs was traveling west on Lougheed Highway, in the process of turning south onto Gaglardi Way when a van travelling east on Lougheed entered the intersection and drove into the front of her car. The airbags in Ms. Juelfs' car deployed. The force of the impact caused the car to spin around, and it ended up facing east on Lougheed. Photographs show significant damage to the front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Juelfs was stunned. She got out of her car and started walking along the side of the road. After receiving assistance from a bystander who happened to be a paramedic, Ms. Juelfs was taken to the hospital in an ambulance. She was discharged later that day and got a ride home from a friend.</w:t>
      </w:r>
      <w:r>
        <w:rPr>
          <w:rFonts w:ascii="arial" w:eastAsia="arial" w:hAnsi="arial" w:cs="arial"/>
          <w:sz w:val="20"/>
          <w:lang w:val="en-US" w:eastAsia="en-US" w:bidi="ar-SA"/>
        </w:rPr>
        <w:cr/>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asked to describe the immediate physical effects of the collision, Ms. Juelfs recalls that she had pain in the back of her neck, but as of the date of trial she was unable to recall anything more specific. In terms of visible injuries, Ms. Juelfs received a minor contusion on the ring finger of her right hand, and small bruises on her hip and collar 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days following the collision Ms. Juelfs began to experience jaw pain, headaches, and pain in her neck and back. In particular:</w:t>
      </w:r>
      <w:r>
        <w:rPr>
          <w:rFonts w:ascii="arial" w:eastAsia="arial" w:hAnsi="arial" w:cs="arial"/>
          <w:sz w:val="20"/>
          <w:lang w:val="en-US" w:eastAsia="en-US" w:bidi="ar-SA"/>
        </w:rPr>
        <w:cr/>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Juelfs had sharp pain in her jaw on the day of the collision. The sharp pain went away, but within a few months she started to experience aching or throbbing in her jaw. The jaw pain is brought on by fatigue from eating, chewing gum, or even talking. Ms. Juelfs has been able to manage the jaw pain by wearing a mouth guard at night and, as noted below, the jaw condition is expected to resolve.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Juelfs has headaches, on a periodic basis. These headaches normally occur during flare-ups, or when Ms. Juelfs pushes the limits of her physical abilities as discussed below.</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Juelfs experiences pain in her neck when she keeps it in a fixed position, for example when she looks up in the air for a prolonged period of time. In her testimony, Ms. Juelfs described the pain as a sharp, burning feeling at the base of the neck. It comes on within two to five minutes of holding her neck in a fixed position. It goes away with changes in position, but then returns within a matter of seconds.</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Juelfs has pain in her lower back when leaning backward or sitting for prolonged periods. Ms. Juelfs described this pain as a burning feeling.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Juelfs has been able to manage her jaw pain. However, she has continued to suffer from the soft tissue injuries to her neck and back. Ms. Juelfs initially thought these symptoms would disappear, but over time she came to realize that some of them are persistent. Ms. Juelfs testified that if there was any improvement over the first two years, it was slight. Since then, she has realized some further improvement, but now, five years after the collision, her symptoms have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the collision, Ms. Juelfs sought treatment from her chiropractor, Dr. Shore. Ms. Juelfs has received chiropractic treatment from Dr. Shore at regular intervals since the collision. Ms. Juelfs has also received physiotherapy and massage therapy. Finally, since the collision Ms. Juelfs has continued to lift weights, stretch, and attend cross-fit classes at a gym. She regularly attends four cross-fit classes per week. She finds that keeping up her fitness helps to alleviate some of the pain, particularly in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of the date of trial, Ms. Juelfs continues to suffer pain in her neck and back with prolonged sitting or static postures. She also has occasional flare-ups during which she suffers debilitating neck and back pain. When these flare-ups occur, Ms. Juelfs cannot get comfortable and suffers until they pass. She has flare-ups once every six weeks or so. Sometimes she can go as long a two months without a flare-up. However, Ms. Juelfs has found that flare-ups occur with greater frequency when she does too much or exceeds her physical limits.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Diagnosis and Treatment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parties tendered opinion evidence from a number of expert witnesses, all of whom were in agreement that Ms. Juelfs suffered whiplash-type soft tissue injuries as a result of the collision. What was really in dispute was the nature, extent and duration of the plaintiff's injuries, and her prognosis for recovery.</w:t>
      </w:r>
      <w:r>
        <w:rPr>
          <w:rFonts w:ascii="arial" w:eastAsia="arial" w:hAnsi="arial" w:cs="arial"/>
          <w:sz w:val="20"/>
          <w:lang w:val="en-US" w:eastAsia="en-US" w:bidi="ar-SA"/>
        </w:rPr>
        <w:cr/>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Dr. Sudol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called Dr. Sudol, a physiatrist, as an expert in physical medicine and rehabilitation. I found Dr. Sudol's expert report and testimony to be reliable, objective, and balanced, and she was not shaken on cross-examination. Dr. Sudol examined Ms. Juelfs on 8 October 2015 and again on 20 February 2018. I would summarize Dr. Sudol's expert opinion evidence as follows:</w:t>
      </w:r>
      <w:r>
        <w:rPr>
          <w:rFonts w:ascii="arial" w:eastAsia="arial" w:hAnsi="arial" w:cs="arial"/>
          <w:sz w:val="20"/>
          <w:lang w:val="en-US" w:eastAsia="en-US" w:bidi="ar-SA"/>
        </w:rPr>
        <w:cr/>
      </w:r>
    </w:p>
    <w:p>
      <w:pPr>
        <w:numPr>
          <w:numId w:val="5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collision, Ms. Juelfs suffers from (i) muscoligamentous injuries to the neck, shoulder, and mid-back, (ii) temporomandibular joint ("TMJ") dysfunction, (iii) musculoligamentous injuries to the lumbar region, and (iv) mood disturbance. (I note that Ms. Juelfs is not seeking damages for any psychological injury or mood disturbance, so nothing more needs to be said about this aspect of Dr. Sudol's opinion).</w:t>
      </w:r>
    </w:p>
    <w:p>
      <w:pPr>
        <w:numPr>
          <w:numId w:val="5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"jarring forces of the collision" resulted in "injury to the muscles and ligaments of the neck and upper back with persistent tension, pain, and activity limitations". The collision was also the cause of the TMJ injuries and the lumbar injuries.</w:t>
      </w:r>
    </w:p>
    <w:p>
      <w:pPr>
        <w:numPr>
          <w:numId w:val="5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TMJ injuries, Ms. Juelfs was treated by a dental specialist who prescribed a conservative course of treatment, including a mouth guard. Ms. Juelfs has been able to manage her TMJ condition by wearing the mouth guard at night.</w:t>
      </w:r>
    </w:p>
    <w:p>
      <w:pPr>
        <w:numPr>
          <w:numId w:val="5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neck and shoulder injuries, Ms. Juelfs has "improved overall", but (i) she continues to have "lateral neck and upper shoulder tension a few days per week lasting a few hours", (ii) her symptoms are aggravated by neck rotation, static positioning, wide-grip overhead workouts, and pressure over the shoulders, and (iii) the sharp pains in her left upper shoulder occur once every few months.</w:t>
      </w:r>
    </w:p>
    <w:p>
      <w:pPr>
        <w:numPr>
          <w:numId w:val="5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lumbar injuries, Ms. Juelfs experiences low back pain with prolonged sitting and awkward postures. She has week-long bouts of low back tension three or four times per year. The aggravating factors are sitting for more than two hours at a time, and intense gym exercises involving repetitive bending or awkward strains through the low back.</w:t>
      </w:r>
    </w:p>
    <w:p>
      <w:pPr>
        <w:numPr>
          <w:numId w:val="5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Juelfs has taken an appropriate approach in managing her symptoms, through therapy, maintaining a regular exercise program, and modification of activities to avoid movements that exacerbate her symptoms.</w:t>
      </w:r>
    </w:p>
    <w:p>
      <w:pPr>
        <w:numPr>
          <w:numId w:val="5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the date of Dr. Sudol's report - written some four years after the collision - the soft tissue injuries to the neck and shoulder "continue[d] to be symptomatic despite a good treatment regime". These neck and shoulder injuries will likely continue to be symptomatic going forward.</w:t>
      </w:r>
    </w:p>
    <w:p>
      <w:pPr>
        <w:numPr>
          <w:numId w:val="5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lumbar injury, Ms. Juelfs should be able to manage the symptoms quite well by avoiding prolonged sitting and intense workouts involving low back strain. The low back injury will continue to be "mildly symptomatic" in the future.</w:t>
      </w:r>
    </w:p>
    <w:p>
      <w:pPr>
        <w:numPr>
          <w:numId w:val="5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treatment and future care, Ms. Juelfs should continue with her regular exercise program, and she should continue to modify or adjust her activities to manage her symptoms, by "changing her position regularly, avoiding static awkward neck postures, and reducing weight in her upper shoulders such as wearing a backpack".</w:t>
      </w:r>
    </w:p>
    <w:p>
      <w:pPr>
        <w:numPr>
          <w:numId w:val="5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multiple injuries from the collision have made Ms. Juelfs "partially disabled in her occupation" in several ways. First, the "more physical components" of her work are likely to aggravate her symptoms. Second, in the office setting, Ms. Juelfs must manage her symptoms by changing position regularly to avoid prolonged sitting.</w:t>
      </w:r>
    </w:p>
    <w:p>
      <w:pPr>
        <w:numPr>
          <w:numId w:val="6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injuries have also impacted Ms. Juelfs in her recreational activities. The impacts were significant in the first year after the collision. Since then, Ms. Juelfs has been able to resume substantially all of her recreational and fitness-related activities, with modifications to avoid carrying heavy loads, lifting heavy weights, or holding awkward positions.</w:t>
      </w:r>
    </w:p>
    <w:p>
      <w:pPr>
        <w:numPr>
          <w:numId w:val="6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Dr. 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also called Dr. Shore, a chiropractor. Dr. Shore has been treating Ms. Juelfs for an extended period of time and thus testified as a fact witness. Dr. Shore was also qualified as an expert witness to give opinion evidence in relation to musculoskeletal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Shore saw Ms. Juelfs as a treating chiropractor prior to the collision. I am satisfied that all of the pre-collision chiropractic treatments were for minor sports or fitness program-related injuries. With respect to her collision-related injuries, Ms. Juelfs sought treatment from Dr. Shore on 26 May 2014, two weeks after the event. On that date, Ms. Juelfs made a subjective report of pain in the neck and back. Dr. Shore made objective observations of tightness, tenderness, and mild muscle spasms in the neck and mid back. Dr. Shore's assessment was that Ms. Juelfs had a "grade 2" whiplash disorder and acute thoracic joint irritation with myofascial pain. Since then, Dr. Shore has continued to provide chiropractic treatment to Ms. Juelfs, whose chief complaint has been continuing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her expert report, Dr. Shore diagnosed Ms. Juelfs with (a) injuries to the muscles and ligaments of the neck, moderate in severity, (b) injuries to the muscles, ligaments, and joints of the middle and low back, mild in severity, (c) injury to the joint and soft tissues of the jaw, moderate in severity, and (d) chronic pain. Although this diagnosis is not at all inconsistent with that of Dr. Sudol, I nevertheless have serious concerns about the reliability of Dr. Shore's report, owing to discrepancies between the report and her clinic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particular, under the heading "Examination Findings", Dr. Shore's report states, "[i]n my examination of Ms. Juelfs preceding the writing of this report, I found the following", followed by a list of observations. In cross-examination, Dr. Shore's initial position was that she made the listed observations in the last examination before her report. However, listed observations were not noted in Dr. Shore's clinical records, and some of the observations documented during Dr. Shore's most recent examination of Ms. Juelfs were actually inconsistent with those listed in the expert report. Dr. Shore maintained that the observations in her report were based on a specific entry in her clinical records, but was unable to identify a particular record containing the observations noted in her report. Later in cross-examination, Dr. Shore said the observations in her report reflected the totality of the observations in her clinical notes, and she further confirmed that she reviewed all of her clinical notes before writing the report. This explanation does not fit with either the text of the report, or with Dr. Shore's initial answer in cross-examination. What is more, to the extent that Dr. Shore's report is based on the cumulative effect of her clinical observations, some of the symptoms listed in the report had not been present for two years or more before the report was written. All of this indicates a lack of attention to detail in relation to both the preparation of the report and answering questions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left with serious questions as to the reliability of Dr. Shore's report. This should not be seen as a criticism of Dr. Shore's honesty or personal integrity. It is, rather, a concern about the reliability of her report, which was lacking in precision and shown to be inaccurate on a key point. In the result, I am unable to give any weight to the opinions expressed in Dr. Shore's report.</w:t>
      </w:r>
      <w:r>
        <w:rPr>
          <w:rFonts w:ascii="arial" w:eastAsia="arial" w:hAnsi="arial" w:cs="arial"/>
          <w:sz w:val="20"/>
          <w:lang w:val="en-US" w:eastAsia="en-US" w:bidi="ar-SA"/>
        </w:rPr>
        <w:cr/>
      </w:r>
    </w:p>
    <w:p>
      <w:pPr>
        <w:numPr>
          <w:numId w:val="6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Dr. Gharsaa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called Dr. Gharsaa, an orthopaedic surgeon. I found Dr. Gharsaa to be an expert qualified to give opinion evidence with respect to orthopaedic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Gharsaa examined Ms. Juelfs on 17 November 2018. Under the heading "Impression" in his expert report, Dr. Gharsaa opined that the symptoms reported by Ms. Juelfs are consistent with a "soft tissue injury which typically should have resolved within three months" of the collision. The report goes on to state that Dr. Gharsaa's examination "failed to identify any radiculopathy or any musculoskeletal pathology or any signs of ongoing objective orthopaedic impairment that can be attributed to the subject motor vehicle accident". The thrust of Dr. Gharsaa's opinion was that, from his perspective as an orthopaedic surgeon, there is little objective indication that Ms. Juelfs suffered any functional impairment as a result of the collision. Dr. Gharsaa diagnosed Ms. Juelfs with strain or sprain of the upper and lower back, and a Grade II whiplash associated disorder in relation to her neck. Dr. Gharsaa's prognosis, "from an orthopaedic point of view", was "very good", provided that Ms. Juelfs pursues the recommendations outlined in Dr. Gharsaa's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do not find Dr. Gharsaa's opinion helpful in assessing the nature, extent, duration, and effects of the injuries suffered by Ms. Juelfs,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To begin with, Dr. Gharsaa's report fails to set out the facts and assumptions on which his opinion was based. Dr. Gharsaa's report states, "[m]y opinions are based upon the history and physical examination obtained from the patient regarding the circumstances of the injury, her past health and current symptoms", and "my review of the documents provided to me". This is a stock answer. It fails to set out the case-specific facts and assumptions relied upon by Dr. Gharsaa to develop his opinion in this case. Dr. Gharsaa was unable to shed any light on this deficiency in cross-examination. When it was suggested that his report leaves the reader to guess at his underlying facts and assumptions, Dr. Gharsaa's only response was, "I am not really sure what to tell you to be honest". I take this answer to be a tacit acknowledgment that his report failed to comply with Rule 11-6(1)(f)(i)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and the common law principles regarding presentation of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2003 BCSC 472</w:t>
        </w:r>
      </w:hyperlink>
      <w:r>
        <w:rPr>
          <w:rFonts w:ascii="arial" w:eastAsia="arial" w:hAnsi="arial" w:cs="arial"/>
          <w:color w:val="000000"/>
          <w:sz w:val="20"/>
          <w:lang w:val="en-US" w:eastAsia="en-US" w:bidi="ar-SA"/>
        </w:rPr>
        <w:t xml:space="preserve"> at para. 12, "[t]he facts, known or assumed, should be immediately apparent", and the reader should not have to "cull them" out of the report or supporting documents. This is important because an expert's opinion is only useful insofar as the facts and assumptions on which it is based are established in evidence. Dr. Gharsaa's failure to identify the operative facts and assumptions made his opinions difficult to test through cross-examination, and difficult for the Court to critically evaluate.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Moreover, Dr. Gharsaa's opinion is expressly limited to the field of orthopaedics. His report notes an absence of "any signs of ongoing objective </w:t>
      </w:r>
      <w:r>
        <w:rPr>
          <w:rFonts w:ascii="arial" w:eastAsia="arial" w:hAnsi="arial" w:cs="arial"/>
          <w:color w:val="000000"/>
          <w:sz w:val="20"/>
          <w:u w:val="single"/>
          <w:lang w:val="en-US" w:eastAsia="en-US" w:bidi="ar-SA"/>
        </w:rPr>
        <w:t>orthopaedic</w:t>
      </w:r>
      <w:r>
        <w:rPr>
          <w:rFonts w:ascii="arial" w:eastAsia="arial" w:hAnsi="arial" w:cs="arial"/>
          <w:color w:val="000000"/>
          <w:sz w:val="20"/>
          <w:lang w:val="en-US" w:eastAsia="en-US" w:bidi="ar-SA"/>
        </w:rPr>
        <w:t xml:space="preserve"> impairment" [underlining added]. In cross-examination, Dr. Gharsaa acknowledged the "inescapable conclusion" that Ms. Juelfs suffered soft tissue injuries to her neck, back, and jaw, and that her symptoms have persisted. However, Dr. Gharsaa maintained that from a musculoskeletal perspective, pain without objective findings does not amount to an impairment. Dr. Gharsaa agreed that a physiatrist would be more qualified than an orthopaedic surgeon to offer an opinion on the extent to which pain, including chronic pain from a soft tissue injury, can limit a subject's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Finally, some aspects of Dr. Gharsaa's opinion are directly at odds with the post-collision activities and experiences of Ms. Juelfs. In particular, the section of Dr. Gharsaa's report titled "Impression" includes the following two paragraphs: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I would strongly recommend that she work on an active program of exercise to help her with conditioning, allow work on a core strengthening program to help with any residual back pain. She should be strongly encouraged to continue resuming all her pre-accident activity to prevent further deconditioning, understanding that avoiding such activity would be more detrimental to her outcome. She also should be educated about pain and hurt versus pain and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do not discount the fact that Ms. Juelfs continues to experience some residual discomfort, she should be reassured that her symptoms are benign as they have not manifested themselves in any overt organic pathology suggestive of any ongoing physical impairment or physical disability that can be attributed to the subject motor vehicle accident. She should be reassured that it is safe to resume her pre-accident activities without any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These recommendations do not fit with the undisputed evidence that Ms. Juelfs has been an active and fit person, both before and after the collision. Post-collision, she maintained her fitness because, as she put it, staying fit helps her to alleviate some of the pain from her injuries. To this end, Ms. Juelfs visits the gym regularly, attending cross-fit training classes four times per week. The thrust of Dr. Gharsaa's remarks is that Ms. Juelfs is hesitant to resume her "pre-accident activities", leading to general unfitness and deconditioning. This is entirely at odds with the evidence of Ms. Juelfs, and other witnesses called by the plaintiff, including Ms. Higginson and Dr. Shore, confirming that Ms. Juelfs continues to be a very active person, interested in maintaining her fitness. As Dr. Sudol put it, Ms. Juelfs has "taken an appropriate approach with therapy" by "maintaining a very regular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defendants cites the assertion in Ms. Craig's report that Ms. Juelfs has "slight dysfunction in muscle recruitment when under strain in the neck and upper back". However, Ms. Craig made this assertion in support of a recommendation for "exercise sessions with a kinesiologist to work on strengthening, flexibility, and muscle dysfunction". Earlier in her report, Ms. Craig stated that "Ms. Juelfs has participated in a comprehensive and regular exercise program" and "she does not show signs of deconditioning". Thus, Ms. Craig was not recommending an exercise program to address "deconditioning"; she was recommending exercise training with a kinesiologist to target specific muscles or muscle groups in need of particular attention for Ms. Juelfs to cope with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Finally, Dr. Gharsaa's suggestion that it is "safe" for Ms. Juelfs to "resume her pre-accident activities without any restrictions" ignores the first hand experience of Ms. Juelfs. In her testimony, Ms. Juelfs explained that her symptoms are aggravated by certain activities, including carrying a backpack, holding certain postures, and lifting weights beyond her limitations. I find Dr. Gharsaa's opinion that Ms. Juelfs should "resume her pre-accident activities without any restrictions" inapt. I prefer instead Dr. Sudol's opinion that Ms. Juelfs should continue to modify or adjust her activities to manage her symptoms, thereby avoiding flare-ups triggered by exceeding her limits of strength and endurance.</w:t>
      </w:r>
      <w:r>
        <w:rPr>
          <w:rFonts w:ascii="arial" w:eastAsia="arial" w:hAnsi="arial" w:cs="arial"/>
          <w:sz w:val="20"/>
          <w:lang w:val="en-US" w:eastAsia="en-US" w:bidi="ar-SA"/>
        </w:rPr>
        <w:cr/>
      </w:r>
    </w:p>
    <w:p>
      <w:pPr>
        <w:numPr>
          <w:numId w:val="6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Dr. Saini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Finally, the defendants tendered the expert report of Dr. Saini, a dental specialist in oral medicine. By the time that Dr. Saini examined Ms. Juelfs on 15 November 2018, she had seen a dental specialist for the treatment of her jaw pain, received treatment, and had been wearing a night guard to manage her TMJ condition. Dr. Saini's opinion, which was not challenged by plaintiff's counsel, is that the jaw pain experienced by Ms. Juelfs is consistent with a "resolving" TMJ dysfunction. In Dr. Saini's opinion, the prognosis for recovery is good.</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Impact of the Plaintiff's Injuries on Her Employment and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of the collision, Ms. Juelfs was working as a wildlife biologist at Hatfield Consultants ("Hatfield"), an environmental services business based in North Vancouver. After the collision, Ms. Juelfs continued to work at Hatfield for almost three more years. In February 2018, Ms. Juelfs left Hatfield and took a job as a wildlife biologist at Pinchin Ltd. ("Pinchin"), an environmental services company based in Abbotsford.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Juelfs testified that her decision to change jobs was "multi-factorial". She says some of the reasons were tied, directly or indirectly, to the limitations created by her collision-related injuries. She also concedes that there were other reasons for her move, including a belief that the change in employers would be beneficial to her career, and a wish to have a better work-life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challenge the extent to which the plaintiff's change in employment was driven by any physical limitations from her collision-related injuries. They say, rather, that Ms. Juelfs was unhappy in her old job at Hatfield, that she was seeking a better work-life balance, that she wanted to do more office work and less field work, and that she basically received a promotion when she accepted a new job at Pinchin.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will address the dispute between the parties regarding the plaintiff's change in employment later in these reasons. Before addressing the controversy concerning Ms. Juelfs' change in employment, it is necessary to consider how the plaintiff's collision-related injuries have impacted upon her ability to work in her chosen occupation as a wildlife biologist, which involves a mixture of field work and office work. Ms. Juelfs alleges that her injuries have impacted on both the field component and the office component of her occupation.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(2.5.1) Impact of Plaintiff's Injuries on Her Ability to do Field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Juelfs testified that the field work component of her occupation is physically demanding. Her field work at Hatfield involved travel to remote locations in small aircraft and in vehicles over rough terrain, carrying clothing, provisions, and survival gear in a backpack, navigating rugged terrain on foot, lugging lab equipment including electrofishers and coolers for samples, operating small boats, fishing nets and other devices, and taking up awkward positions for prolonged periods of time while surveying wildlife.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the collision, Ms. Juelfs took three days off from her job at Hatfield. Thereafter, she was on modified duties, with no field assignments until Dr. Shore cleared her to resume field work. In her testimony, Ms. Juelfs had a recollection that this was in early 2015, although her 2014 employee performance review at Hatfield indicates that she was cleared to resume full field work duties in October of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Juelfs testified that when she returned to field assignments, she had difficulty with some aspects of the work due to her injuries. Travelling to sites in vehicles over rough terrain was hard on her lower back. Wearing a backpack for extended periods of time caused pain in her neck. She had difficulty carrying heavy equipment for extended periods of time. She also found it hard to survey birds due to pain from holding her neck in certain positions. The only "work around" was to hold her neck in place with her hands. Ms. Juelfs also testified about how her injuries could be expected to limit her ability to do other aspects of the field work she used to perform, including travelling in and operating a boat, use fishing gear, and carrying certain pieces of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an effort to challenge Ms. Juelfs on the extent to which her injuries have truly limited her ability to do field work, counsel for the defendants questioned Ms. Juelfs on a social media post that included a photograph of Ms. Juelfs apparently hiking. The photograph shows Ms. Juelfs in a wilderness setting, wearing a backpack with a pair of snowshoes tied to the pack. Ms. Juelfs appears to be smiling with no obvious signs of pain or discomfort. In her testimony, Ms. Juelfs recognized the photograph as a "selfie" taken some time in early 2015, possibly in her first field assignment after her return from modified duties. She could recall the event but could not remember exactly how she was feeling at the time. She had a vague recollection that the show shoes were causing her some discomfort so she had to rig them up to the backpack to get some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agree with the observation in the case law that social media evidence tendered to test a plaintiff's credibility in personal injury litigation should be approached with caution. See </w:t>
      </w:r>
      <w:r>
        <w:rPr>
          <w:rFonts w:ascii="arial" w:eastAsia="arial" w:hAnsi="arial" w:cs="arial"/>
          <w:i/>
          <w:color w:val="000000"/>
          <w:sz w:val="20"/>
          <w:lang w:val="en-US" w:eastAsia="en-US" w:bidi="ar-SA"/>
        </w:rPr>
        <w:t>Dakin v. Roth</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2013 BCSC 8</w:t>
        </w:r>
      </w:hyperlink>
      <w:r>
        <w:rPr>
          <w:rFonts w:ascii="arial" w:eastAsia="arial" w:hAnsi="arial" w:cs="arial"/>
          <w:color w:val="000000"/>
          <w:sz w:val="20"/>
          <w:lang w:val="en-US" w:eastAsia="en-US" w:bidi="ar-SA"/>
        </w:rPr>
        <w:t xml:space="preserve"> at para. 55-56; </w:t>
      </w:r>
      <w:r>
        <w:rPr>
          <w:rFonts w:ascii="arial" w:eastAsia="arial" w:hAnsi="arial" w:cs="arial"/>
          <w:i/>
          <w:color w:val="000000"/>
          <w:sz w:val="20"/>
          <w:lang w:val="en-US" w:eastAsia="en-US" w:bidi="ar-SA"/>
        </w:rPr>
        <w:t>Carlisle v. Vanthof</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2015 BCSC 2427</w:t>
        </w:r>
      </w:hyperlink>
      <w:r>
        <w:rPr>
          <w:rFonts w:ascii="arial" w:eastAsia="arial" w:hAnsi="arial" w:cs="arial"/>
          <w:color w:val="000000"/>
          <w:sz w:val="20"/>
          <w:lang w:val="en-US" w:eastAsia="en-US" w:bidi="ar-SA"/>
        </w:rPr>
        <w:t xml:space="preserve"> at para. 114-118; </w:t>
      </w:r>
      <w:r>
        <w:rPr>
          <w:rFonts w:ascii="arial" w:eastAsia="arial" w:hAnsi="arial" w:cs="arial"/>
          <w:i/>
          <w:color w:val="000000"/>
          <w:sz w:val="20"/>
          <w:lang w:val="en-US" w:eastAsia="en-US" w:bidi="ar-SA"/>
        </w:rPr>
        <w:t>Mullens v. Toor</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2016 BCSC 1645</w:t>
        </w:r>
      </w:hyperlink>
      <w:r>
        <w:rPr>
          <w:rFonts w:ascii="arial" w:eastAsia="arial" w:hAnsi="arial" w:cs="arial"/>
          <w:color w:val="000000"/>
          <w:sz w:val="20"/>
          <w:lang w:val="en-US" w:eastAsia="en-US" w:bidi="ar-SA"/>
        </w:rPr>
        <w:t xml:space="preserve"> at para. 61. Photographs posted on social media accounts may have limited utility for a number of reasons. For one thing, a photograph is a snapshot that may not reveal much about a person's level of physical comfort or discomfort over any meaningful interval of time. For another thing, people often try to portray themselves in a positive light in posed photographs, particularly 'selfies' posted on the internet. These are just two of the various reasons why photographs posted on social media sites have to be approached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For the sake of balance, I should add that this does not mean photographs posted on social media sites are always given little or no weight. Much depends on the circumstances. A properly identified photograph of a person finishing a triathlon may be strong evidence that the person has the physical ability to swim, bike, and run with a certain degree of proficiency. The evidentiary value of a particular photograph depends on what is actually issue in the litigation, the content of the photograph, and the circumstances in which it was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this particular case, I do not find the 'selfie' put to Ms. Juelfs in cross-examination useful in assessing the effect of the collision-related injuries on her ability to do field work as a wildlife biologist. The photograph is a snapshot. It is also a posed picture. The fact that Ms. Juelfs is smiling for the camera offers no reliable insight into her physical state, other than that she was not in any overwhelming degree of pain when she took the picture. The photograph does not impact on the credibility of the plaintiff's testimony regarding the physical limitations she experienced upon her return to field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Juelfs also agreed in cross-examination that since the collision, she has taken vacations in which she has travelled by plane, including trips to Hawaii, Denver, and Zurich. She has also gone on a fishing trip to Port Hardy, several camping trips to Tofino, and a rather intense two-day hiking excursion to Joffre Lakes Provincial Park. This evidence really goes no farther than to show that despite her injuries Ms. Juelfs is able to travel, go on vacations, and even participate in physically demanding recreational pursuits. It is clear that Ms. Juelfs has tried to remain active. However, it is also clear that her ability to do so has been impacted by pain, fatigue, and discomfort from her collision-related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also called Mr. Van Rooyen, a wildlife biologist who worked at Hatfield with Ms. Juelfs for several years. Mr. Van Rooyen confirmed the testimony of Ms. Juelfs that the field component of the job was physically demanding. It involved travel to remote locations, and long days in the field carrying and working with cumbersome equipment. Before the collision, Ms. Juelfs was able to do field work alongside Mr. Van Rooyen with no physical limitations. Mr. Van Rooyen learned about the collision when Ms. Juelfs phoned to tell him about it. The next time he saw her, about two or three weeks later, she was in visible discomfort with apparent pain in her neck and back. When Ms. Juelfs eventually returned to field work, Mr. Van Rooyen observed that she was in apparent discomfort. He was able to recall working with Ms. Juelfs on two specific field assignments in 2017. The first was a bird survey in which Ms. Juelfs was in obvious physical discomfort and Mr. Van Rooyen ended up doing "most of the work". The second was a snow-tracking survey, in which Mr. Van Rooyen once again observed Ms. Juelfs to be in apparent physical discomfort.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(2.5.2) Impact of the Plaintiff's Injuries on Her Ability to do Office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Juelfs testified that her injuries have also imposed limits on her ability to do office work. In particular, after the collision she has found it difficult to sit at her desk for prolonged periods of time, due to low back pain. Ms. Juelfs now has to change positions and get up and move around frequently to manage the discomfort. She finds that the pain gets worse over the course of the day. She has difficulty concentrating, as a result of which she must sometimes work longer to get the same amount of work done. Often times, by the end of the work day the pain in her lower back makes it difficult for her to drive home. In the result, Ms. Juelfs feels that her lower back pain has made her less productive than she used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Juelfs and Mr. Van Rooyen had adjacent work spaces and worked side-by-side for several years at Hatfield. Mr. Van Rooyen was able to recall instances after the collision when Ms. Juelfs was visibly in pain at her work station, to the point where sometimes she was in tears. Mr. Van Rooyen had never seen Ms. Juelfs in such a state prior to the collision, as in his experience she was not an overly emotional or tearful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Juelfs agreed in cross-examination that at some point during her employment at Hatfield, she had ergonomic assessment of her work space. It is not clear whether the ergonomic assessment led to any workplace modifications, and in particular whether Ms. Juelfs had an adjustable work station at Hatfield.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noted, in February of 2018 Ms. Juelfs changed jobs and went to work at Pinchin. When asked about whether she would benefit from having a sit-stand desk in her office, Ms. Juelfs said she would "love to have one", but that she did not raise this with anyone at Pinchin because she did not want to jeopardize her new position while on probation. However, in cross-examination Ms. Juelfs agreed that her probationary period has now ended and has still not asked anyone at Pinchin to set her up with a sit-stand workstation.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called Mr. Antsey, the Operations Manager for the Environmental Sciences Group at Pinchin. Mr. Antsey was involved in hiring Ms. Juelfs. When she applied for the job, Ms. Juelfs did not indicate that she had any disability or workplace limitations. Ms. Juelfs was on probation for the first three or six months of her employment, but the probationary term is now over and she now has a permanent full time position. Mr. Antsey sees Ms. Juelfs in the office on a regular basis, and has seen her exhibit signs of pain. It is not a regular occurrence but he has seen it at least five times over the 12 months that Ms. Juelfs has been working at Pinchin. Mr. Antsey recalled one occasion in which Ms. Juelfs left the office in pain and had to work from home for the following two or three days. Mr. Antsey testified that several of the employees in his office have modified work stations. Ms. Juelfs has never asked for a modified work station, and it never occurred to Mr. Antsey to ask Ms. Juelfs if she requires 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Impact of the Injuries on the Plaintiff's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Juelfs testified that her collision-related injuries have affected her activities and lifestyle beyond the workplace. She continues to be an active person, but has experienced a number of limitations due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Juelfs continues to attend cross-fit classes, usually four times per week. She also does weightlifting and stretching at the gym. Ms. Juelfs finds that keeping up her fitness and core strength helps to relieve lower back pain. As Ms. Juelfs explained it, movement helps her to feel better. However, Ms. Juelfs has experienced some limits on what she can do at the gym. She can lift weights, but has found that lifting too much can cause a flare-up of her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Prior to the collision, Ms. Juelfs liked to hike. She testified that she has gone on several hikes since the collision, but not without a certain degree of discomfort. For example, on a trip to Mount Baker, she wore a large backpack and tried to cinch it tight to avoid pain, but as the day went on she found it painful and had to take the backpack off to get relief. On another occasion, on a hike at Joffre Lakes, she tried to wear a full backpack but once again found it painful and had to get others to carry some of her things. She took the backpack off and hiked at the back of the group, taking frequent breaks to manage the pain. In cross-examination, Ms. Juelfs agreed that the Joffre Lakes hike was a multi-day excursion, in which she slept over night on a roll-up camping mattress.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Juelfs' roommate, Ms. Higginson, testified that the two of them have gone on hikes together in the past several years. Ms. Higginson referred to instances where Ms. Juelfs was in visible discomfort, and needed Ms. Higginson's help to carry water or a backpack. Although Ms. Juelfs is stubborn and not inclined to ask, Ms. Higginson could tell that she was in pain and needed help. Ms. Higginson knows Ms. Juelfs to be a person who does not complain or show weakness, but sometimes she exceeds her limits and needs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Juelfs testified that before the collision, she was able to run 10k. She now considers running 10k to be unattainable due to her injuries. In June of 2017, Ms. Juelfs and a friend participated in a 13k endurance race at Golden Ears Provincial Park. Ms. Juelfs knew from the start that it would be difficult, and planned to alternate between walking and running. During the event, she experienced pain in her neck. She walked most of the way. She was committed to finish and did so, but went immediately to the on-site physiotherapy tent for treatment. Ms. Juelfs testified that she did the event to test her limits. In retrospect, she realizes trail racing is beyond her limitations, and she has no plans to do any more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Juelfs admitted in cross-examination that since the collision she has gone on vacations, camping trips, and fishing trips. She admitted that while on vacation in Hawaii in 2016, she was able to ride in a power boat, snorkel, paddle board, and go zip lining. This evidence demonstrates that despite her injuries, Ms. Juelfs continues to be an active person who is able to engage in a wide range of physical activities and recreational pursuits. This is not to say that Ms. Juelfs has experienced no difficulties or physical limitations in recreational pursuits due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Finally, Ms. Juelfs testified that sometimes she has flare-ups or bad days in which she suffers from debilitating neck and back pain. On a bad day, Ms. Juelfs finds it difficult to stand or even sit, and has to lie down for the entire day to cope with the pain. Ms. Juelfs testified that these flare ups are infrequent, occurring about once every six weeks. Sometimes she can go two months without a bad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Higginson testified that there have been occasions when she has come home to find Ms. Juelfs lying on the couch, in tears, barely able to move. Ms. Higginson referred to a recent occasion when Ms. Juelfs had agreed to accompany her to a wedding, but woke up in pain and had trouble even getting out of bed. Ms. Juelfs made it to the wedding, but was only able to stay for 90 minutes before her discomfort overcame her and she had to go home.</w:t>
      </w:r>
      <w:r>
        <w:rPr>
          <w:rFonts w:ascii="arial" w:eastAsia="arial" w:hAnsi="arial" w:cs="arial"/>
          <w:sz w:val="20"/>
          <w:lang w:val="en-US" w:eastAsia="en-US" w:bidi="ar-SA"/>
        </w:rPr>
        <w:cr/>
      </w:r>
    </w:p>
    <w:p>
      <w:pPr>
        <w:numPr>
          <w:numId w:val="6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called Ms. Craig as an expert in physiotherapy, determination of costs of future, and work capacity evaluation. Ms. Craig has a Batchelor of Science degree in physiotherapy and rehabilitation, and a Masters degree in business. She is also a certified functional capacity evaluator and costs of future care specialist. She has performed some 2,500 functional capacity evaluations and testified as an expert more than 50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Craig conducted a functional capacity examination of Ms. Juelfs on 29 October 2018. Ms. Craig interviewed Ms. Juelfs, got her to fill out a variety of questionnaires, conducted a physical exam, and then asked her to perform a variety of biomechanical tests. These included basic movements including bending, standing, squatting, and basic physical tasks including pushing, pulling, and lifting. After all this, Ms. Craig prepared a report in which she concluded that:</w:t>
      </w:r>
      <w:r>
        <w:rPr>
          <w:rFonts w:ascii="arial" w:eastAsia="arial" w:hAnsi="arial" w:cs="arial"/>
          <w:sz w:val="20"/>
          <w:lang w:val="en-US" w:eastAsia="en-US" w:bidi="ar-SA"/>
        </w:rPr>
        <w:cr/>
      </w:r>
    </w:p>
    <w:p>
      <w:pPr>
        <w:numPr>
          <w:numId w:val="6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Ms. Juelfs "does not demonstrate the capacity to meet the full scope of the physical demands of her job" as an environmental specialist. In particular, Ms. Juelfs is limited with respect to: (i) sustained sitting demands in the office setting, and (ii) more strenuous aspects of field work. These limitations "narrow the scope of occupations available to her" in her occupation.</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collision, Ms. Juelfs has changed employers and now works in a job that is 90 percent office work and 10 percent field work. The reasons for her change in positions was "multifactorial", although "an element of the decision was based on her limitations at work". (As noted above, there is a dispute between the parties about the true reason(s) for the plaintiff's change in employment. I will address this issue later in the reasons).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limitations experienced by Ms. Juelfs in her new job are "related mostly to the postural demands associated with sustained sitting and static positioning of her neck, upper back and lower back" in the office setting. To accommodate these limitations, Ms. Juelfs should employ pacing and breaking strategies, change positions and stretch regularly, and have proper ergonomics in her workspace.</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generally, Ms. Juelfs has limitations that reduce her ability to work at "more physically demanding jobs". Thus, "the scope of occupations once viable from a physical perspective for Ms. Juelfs is reduced, leaving her with reduced competitive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During the evaluation process, Ms. Jeulfs demonstrated a consistent level of effort which tended to enhance the reliability of Ms. Craig's assessment. Ms. Juelfs had consistent physical performance over the duration of the full-day evaluation, and had consistent test outcomes, with low variance in results of standard grip testing. Ms. Juelfs also showed "competitive test behaviour" and increased heart rates during physical testing, demonstrating good physical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cross-examination, counsel for the defendants challenged Ms. Craig on several aspects of the evaluation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First, counsel was critical of the suggestion that Ms. Juelfs over-stated her capacity and under-stated her pain level in self-assessment questionnaires. In Ms. Craig's view, the answers Ms. Juelfs gave in the questionnaires were not consistent with physical limitations observed in testing conducted during the functional capacity evaluation. However, I agree with defence counsel's argument that the answers Ms. Ms. Juelfs gave in the self-assessment questionnaires were in fact consistent with her own testimony regarding the amount of weight she can lift at the gym as part of her regular exercise regimen.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Second, counsel was critical of Ms. Craig's determination that Ms. Juelfs was unable to perform some of the strength tests administered during functional capacity testing. For a number of the strength tests, Ms. Juelfs was physically able to lift a particular weight, but Ms. Craig stopped the testing because, in her view, Ms. Juelfs' technique was biomechanically unsound. I agree with defence counsel that Ms. Craig stopped Ms. Juelfs from lifting certain weights that Ms. Juelfs herself said she was capable of lifting as part of her regular exercise regimen at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Counsel for the defendants suggested to Ms. Craig that her conclusions concerning plaintiff's physical limitations were tainted by bias. Counsel points to billing records put to Ms. Craig in cross-examination, indicating that her firm has hundreds of thousands of dollars in annual billings for law firms representing plaintiffs in personal injury cases, and little or no billings for defendants. Ms. Craig denied any suggestion of bias and understandably took the entire line of questioning as an attack upon her professionalism.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While I accept counsel's submission that Ms. Craig appears to have stopped some of the strength tests before Ms. Juelfs was at her physical limit, I would not attribute this to bias. Ms. Craig's report was balanced, and her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was forthright and dispassionate. She did not present as an advocate for the plaintiff, but rather as an objective expert charged with critically evaluating the plaintiff's functional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consider Ms. Craig's determination that Ms. Juelfs had reached her biomechanical limits to be a matter of professional judgment. However, while recognizing that Ms. Craig is an expert in discerning biomechanical limitations, on this particular occasion I find that her conclusion regarding the plaintiff's strength capacity to be inconsistent with the plaintiff's own testimony about the amount of weight she is capable of lifting during exercise in a gym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functional capacity results that drew criticism from counsel for the defendants were all related to strength testing. This calls into question Ms. Craig's conclusion that Ms. Juelfs has physical limitations in regards to the strength demands of her occupation, such as they are. On all the evidence, I am not satisfied that Ms. Juelfs has any functional limitations pertaining to her overall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However, this is not the end of the matter. The key conclusions in Ms. Craig's report are that Ms. Juelfs is limited in regards to (i) sustained sitting demands in the office component of her work, and (ii) strenuous activities required in field work, including travelling long distances over rough roads, wearing a heavy backpack for extended periods of time, carrying equipment in the field, and holding certain postures for prolonged periods of time when conducting wildlife surveys. These two key findings are supported by objectively reliable testing of Ms. Juelfs' capacity for prolonged sitting, body position tolerance, and whole body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am satisfied that the testing underlying Ms. Craig's conclusions with respect to both (i) sustained sitting and (ii) strenuous field work involved objective measurements and indicators, documented in Ms. Craig's report. By way of example, Ms. Craig observed that in prolonged periods of sitting, Ms. Juelfs displayed objective signs of discomfort and pain avoidance. Similarly, in the Matheson Work Bench test, Ms. Juelfs showed an objectively measurable and significant drop in efficiency over the course of the testing. These two tests are merely examples. There were other tests in which Ms. Craig noted similarly reliable objective findings, supporting her conclusion that Ms. Juelfs has functional limitations as described above. I note as well that the results observed in Ms. Craig's testing were entirely consistent with the other evidence I heard in this trial, including the testimony of Ms. Juelfs, her co-workers, and her roommate.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will address one other test discussed at length in the trial testimony, namely a strength test in which Ms. Juelfs was required to pick up a 40 pound box and carry it at her waist for a distance of 120 feet. Ms. Juelfs was able to perform this test but Ms. Craig told her to stop without going to the next weight because, in Ms. Craig's view, Ms. Juelfs had reached her biomechanical limit. Ms. Juelfs confirmed in her testimony that she was able to perform the test and could not remember feeling any pain, but that Ms. Craig told her to stop. Ms. Craig volunteered in cross-examination that this test was biomechanically similar to carrying a backpack with a waist strap. Counsel for the defendants relied on all of this evidence to suggest that Ms. Juelfs had the demonstrated ability to wear a backpack, notwithstanding her assertions to the contrary. However, this particular test is characterized as a "horizontal strength test", not an endurance test. It may well be that Ms. Juelfs is capable of carrying or wearing a heavy backpack for 120 feet, but that does not mean she is able to wear a heavy backpack on rough terrain during a full day of field work or on a long hike, at least without considerable discomfort. Ms. Juelfs testified that she was unable to do so, and I accept her evidence on this point, as well as the evidence of Mr. Van Rooyen and Ms. Higginson. The "horizontal strength test" described above does not undermine this evidence.</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as to the Nature, Extent, and Duration of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My conclusions with respect to the nature, extent, and duration of the plaintiff's injuries are as follows:</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Juelfs has suffered soft tissue injuries to her neck, upper back, and lower back. She also developed a TMJ dysfunction.</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Juelfs has been able to manage the symptoms from the TMJ dysfunction by wearing a mouth guard at night. The TMJ dysfunction is likely to fully resolve at some point.</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symptoms associated with the soft injuries to the neck, upper back, and lower back have been more persistent, less manageable, and more disruptive to her lifestyle. Almost five years after the collision, these symptoms have not resolved, and I conclude that Ms. Juelfs will continue to experience intermittent neck, upper back, and lower back pain as described herein into the indefinite future.</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these soft tissue injuries, Ms. Juelfs is limited in her occupation in regards to (i) the sustained sitting demands in the office component of her work, and (ii) strenuous activities required in field work, including travelling long distances over rough roads, wearing a heavy backpack for extended periods of time, carrying equipment in the field, and holding certain postures for prolonged periods of time.</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soft tissue injuries have also had an effect on the plaintiff's lifestyle. Ms. Juelfs is restricted in her ability to participate in strenuous physical activities such as weight lifting, hiking, and running. The extent of the restriction is relatively minor, but its impact is by no means trivial for Ms. Juelfs, who was an active person and continues to be active within her limitations.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Ms. Juelfs exceeds her physical limits, her pain is aggravated and can lead to "flare ups".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Juelfs suffers flare ups or "bad days" once every six to eight weeks, during which she finds the pain associated with her soft tissue injuries to be debilitating and makes it very difficult for her to do anything.</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Post-Collision Change in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Juelfs worked at Hatfield from some time in 2011 until early 2018. Her official job title was Wildlife Environmental Specialist. Her remuneration consisted of a base salary and overtime pay. In 2012, the first full calendar year in which Ms. Juelfs worked at Hatfield, her base salary was $48,455, and her total income was $61,559. In 2017, the last full calendar year in which Ms. Juelfs worked at Hatfield, her base salary was $59,500, and her total income was $68,159.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Juelfs testified that her decision to leave Hatfield was "multifactorial". Some of the reasons she gave were as follows:</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large proportion of her work at Hatfield was field work. Ms. Juelfs was interested in a job with less emphasis on field work, for a number of reasons. The field work was generally more demanding in that it involved longer days and more hours than office work. Also, after the collision Ms. Juelfs believes she had a limited capacity to do field work due to her injuries. Moreover, many of the field work assignments at Hatfield were in remote locations, and Ms. Juelfs sometimes had to stay in work camps for one to two weeks at a time. Ms. Juelfs was interested in job with a better work-life balance.</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Juelfs found the commute from her residence in Port Coquitlam to Hatfield's home office in North Vancouver to be very draining. This was especially so after the collision, because she experienced low back pain during the drive home at the end of the day. The commute from Port Coquitlam to the Pinchin office in Abbotsford is less demanding.</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Juelfs had worked in the same position at Hatfield for six and one-half years and felt it would be a good career move to take a new position. Much of her work at Hatfield had been focused on monitoring of bird populations in the oilsands, and Ms. Juelfs saw no clear path to advancement. The position she obtained at Pinchin was a senior wildlife biologist position. Ms. Juelfs agreed that by comparison to her former position at Hatfield, her new position at Pinchin would be viewed as a promotion.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was suggested to Ms. Juelfs in cross-examination that her decision to leave Hatfield was not based on an inability to do the job due to her injuries. With due respect to counsel, I found the premise of this line of questioning somewhat misleading in that Ms. Juelfs did not claim her decision to leave Hatfield was "based on" an inability to do the job due to her injuries. Rather, I understood the plaintiff's position to be that her decision to leave Hatfield was "multifactorial", and that limitations posed by her injuries had some bearing on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Juelfs was cross-examined about the contents of her resignation letter, in which she announced her intention to leave Hatfield effective 9 February 2019, "to pursue other opportunities". Ms. Juelfs explained that she did not lay out all of her reasons for leaving in her resignation letter because she did not want to "burn any bridges". On further cross-examination, Ms. Juelfs agreed that telling her former employer more about her reasons for leaving would not necessarily have burned any bridges. She clarified that her use of the phrase "burning bridges" was a poor choice of words. Ms. Juelfs explained that she did not consider it to be good business to refer to motor vehicle injuries and resulting limitations in a resignation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was suggested to Ms. Juelfs that her decision to leave Hatfield was based at least in part on negative feelings about her supervisor's management style. Ms. Juelfs disagreed, protesting that her supervisor's management style was not one of the reasons for leaving Hatfield. Ms. Juelfs acknowledged that she may have told Mr. Van Rooyen that she did not like her supervisor's management style, but maintained this was not one of the reasons for her decision to leave Hatfield. Ms. Juelfs was cross-examined at length about a negative performance review she received from her supervisor in 2013. Although Ms. Juelfs' testimony on this issue was emotional and defensive, I attribute this to a genuine disagreement with her supervisor about work performance, not any effort to overstate her personal injury claim by mis-describing the reasons for leaving Hatfield.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Considering all the evidence on this issue, I accept the plaintiff's assertion that her decision to leave Hatfield was "multifactorial". Some of her reasons for changing employers were tied, directly or indirectly, to her collision-related injuries, although this was not the principal or predominant basis for 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financial implications of Ms. Juelfs' change in employment are not easy to assess. When Ms. Juelfs started to work with Hatfield in 2011 or 2012, her base salary was $48,455. By the time she left Hatfield in January 2018, her base salary had risen to $67,000. However, Ms. Juelfs also had the opportunity to earn overtime pay, at either time and one-half, or double time, depending on the nature of the work. On average, overtime pay represented about 24% of Ms. Juelfs' total annual income at Hatfield. Her highest earning year at Hatfield was in 2016, when she earned a total of $75,990 in base salary and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her new position at Pinchin, Ms. Juelfs started with a base salary of $70,000, which was higher than her base salary at Hatfield. However, the overtime component of her remuneration at Pinchin is not as significant as it was at Hatfield. Ms. Juelfs is expected to work a standard 37.5 hour week at Pinchin, and only receives overtime, at the standard hourly rate, for more than 44 hours in a week.</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To prove causation, the plaintiff must show a "causal link" between his or her injuries and the defendant's tortious conduct. The basic test for determining causation is the "but for" test, under which the plaintiff must show on a balance of probabilities that his or her injuries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13-14;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 21, 29. In the case at bar I have no difficulty concluding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Mr. McCue, the plaintiff Ms. Juelfs would not have suffered the soft tissue injury-related pain and consequent limitations discussed at paragraph 68 of these reasons.</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Juelfs claims non-pecuniary damages for pain and suffering, and pecuniary damages for loss of earning capacity, special expenses, and future costs of care. I will deal with each of these in turn.</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Non-pecuniary damages are awarded to compensate an injured plaintiff for pain, suffering, and loss of enjoyment of life arising from the defendant's tortious conduct. The reality is that "money cannot provide true restitution", since "what has lost is irreplaceable" and there is no way to place a market value on pain, suffering, and loss of enjoyment of life. In this regard, a damages award is intended to provide "solace", in the sense that "money can be used to make the injured person's life more endurable": </w:t>
      </w:r>
      <w:r>
        <w:rPr>
          <w:rFonts w:ascii="arial" w:eastAsia="arial" w:hAnsi="arial" w:cs="arial"/>
          <w:i/>
          <w:color w:val="000000"/>
          <w:sz w:val="20"/>
          <w:lang w:val="en-US" w:eastAsia="en-US" w:bidi="ar-SA"/>
        </w:rPr>
        <w:t>Gilliam v. Wiebe</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2013 BCSC 565</w:t>
        </w:r>
      </w:hyperlink>
      <w:r>
        <w:rPr>
          <w:rFonts w:ascii="arial" w:eastAsia="arial" w:hAnsi="arial" w:cs="arial"/>
          <w:color w:val="000000"/>
          <w:sz w:val="20"/>
          <w:lang w:val="en-US" w:eastAsia="en-US" w:bidi="ar-SA"/>
        </w:rPr>
        <w:t xml:space="preserve">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appropriate amount of compensation is not merely a function of the seriousness of the plaintiff's injuries viewed in isolation. Rather, the court must consider the effect of the injuries on the plaintiff's particular circumstances, taking into account factors such as the plaintiff's age, the nature of the injury, the severity and duration of the plaintiff's pain, the extent of any disability, the effect on family and social relationships, impairment of the plaintiff's mental and physical abilities, and the impact on the plaintiff's lifestyle: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45-46. It is therefore necessary for the court to have an "appreciation of the individual's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 seeks $85,000 in non-pecuniary damages. Plaintiff's counsel cites a number cases involving non-pecuniary damage awards ranging from $81,000 to $95,000. See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2012 BCSC 1607</w:t>
        </w:r>
      </w:hyperlink>
      <w:r>
        <w:rPr>
          <w:rFonts w:ascii="arial" w:eastAsia="arial" w:hAnsi="arial" w:cs="arial"/>
          <w:color w:val="000000"/>
          <w:sz w:val="20"/>
          <w:lang w:val="en-US" w:eastAsia="en-US" w:bidi="ar-SA"/>
        </w:rPr>
        <w:t xml:space="preserve">, affirmed </w:t>
      </w:r>
      <w:hyperlink r:id="rId528"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xml:space="preserve"> [$85,000 in non-pecuniary damages, equating to $95,000 in 2019 dollars], </w:t>
      </w:r>
      <w:r>
        <w:rPr>
          <w:rFonts w:ascii="arial" w:eastAsia="arial" w:hAnsi="arial" w:cs="arial"/>
          <w:i/>
          <w:color w:val="000000"/>
          <w:sz w:val="20"/>
          <w:lang w:val="en-US" w:eastAsia="en-US" w:bidi="ar-SA"/>
        </w:rPr>
        <w:t>Larson v. Bahrami</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2017 BCSC 2308</w:t>
        </w:r>
      </w:hyperlink>
      <w:r>
        <w:rPr>
          <w:rFonts w:ascii="arial" w:eastAsia="arial" w:hAnsi="arial" w:cs="arial"/>
          <w:color w:val="000000"/>
          <w:sz w:val="20"/>
          <w:lang w:val="en-US" w:eastAsia="en-US" w:bidi="ar-SA"/>
        </w:rPr>
        <w:t xml:space="preserve"> [$80,000 in non-pecuniary damages, equating to $83,700 in 2019 dollars], and </w:t>
      </w:r>
      <w:r>
        <w:rPr>
          <w:rFonts w:ascii="arial" w:eastAsia="arial" w:hAnsi="arial" w:cs="arial"/>
          <w:i/>
          <w:color w:val="000000"/>
          <w:sz w:val="20"/>
          <w:lang w:val="en-US" w:eastAsia="en-US" w:bidi="ar-SA"/>
        </w:rPr>
        <w:t>Shinzay v. McKee</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2014 BCSC 2317</w:t>
        </w:r>
      </w:hyperlink>
      <w:r>
        <w:rPr>
          <w:rFonts w:ascii="arial" w:eastAsia="arial" w:hAnsi="arial" w:cs="arial"/>
          <w:color w:val="000000"/>
          <w:sz w:val="20"/>
          <w:lang w:val="en-US" w:eastAsia="en-US" w:bidi="ar-SA"/>
        </w:rPr>
        <w:t xml:space="preserve"> [$75,000 in non-pecuniary damages, equating to $81,400 in 2019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defendants submit that Ms. Juelfs should receive non-pecuniary damages of $50,000. In support of this position, counsel for the defendants cites </w:t>
      </w:r>
      <w:r>
        <w:rPr>
          <w:rFonts w:ascii="arial" w:eastAsia="arial" w:hAnsi="arial" w:cs="arial"/>
          <w:i/>
          <w:color w:val="000000"/>
          <w:sz w:val="20"/>
          <w:lang w:val="en-US" w:eastAsia="en-US" w:bidi="ar-SA"/>
        </w:rPr>
        <w:t>DeVries v. Poltorak</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2013 BCSC 2527</w:t>
        </w:r>
      </w:hyperlink>
      <w:r>
        <w:rPr>
          <w:rFonts w:ascii="arial" w:eastAsia="arial" w:hAnsi="arial" w:cs="arial"/>
          <w:color w:val="000000"/>
          <w:sz w:val="20"/>
          <w:lang w:val="en-US" w:eastAsia="en-US" w:bidi="ar-SA"/>
        </w:rPr>
        <w:t xml:space="preserve"> [$45,000 in non-pecuniary damages, equating to $50,000 in 2019 dollars], </w:t>
      </w:r>
      <w:r>
        <w:rPr>
          <w:rFonts w:ascii="arial" w:eastAsia="arial" w:hAnsi="arial" w:cs="arial"/>
          <w:i/>
          <w:color w:val="000000"/>
          <w:sz w:val="20"/>
          <w:lang w:val="en-US" w:eastAsia="en-US" w:bidi="ar-SA"/>
        </w:rPr>
        <w:t>Brunelle v. Yoshida</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2014 BCSC 1006</w:t>
        </w:r>
      </w:hyperlink>
      <w:r>
        <w:rPr>
          <w:rFonts w:ascii="arial" w:eastAsia="arial" w:hAnsi="arial" w:cs="arial"/>
          <w:color w:val="000000"/>
          <w:sz w:val="20"/>
          <w:lang w:val="en-US" w:eastAsia="en-US" w:bidi="ar-SA"/>
        </w:rPr>
        <w:t xml:space="preserve"> [$60,000 in non-pecuniary damages, equating to $65,000 in 2019 dollars], and </w:t>
      </w:r>
      <w:r>
        <w:rPr>
          <w:rFonts w:ascii="arial" w:eastAsia="arial" w:hAnsi="arial" w:cs="arial"/>
          <w:i/>
          <w:color w:val="000000"/>
          <w:sz w:val="20"/>
          <w:lang w:val="en-US" w:eastAsia="en-US" w:bidi="ar-SA"/>
        </w:rPr>
        <w:t>Rollins v. Lovely</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2007 BCSC 1752</w:t>
        </w:r>
      </w:hyperlink>
      <w:r>
        <w:rPr>
          <w:rFonts w:ascii="arial" w:eastAsia="arial" w:hAnsi="arial" w:cs="arial"/>
          <w:color w:val="000000"/>
          <w:sz w:val="20"/>
          <w:lang w:val="en-US" w:eastAsia="en-US" w:bidi="ar-SA"/>
        </w:rPr>
        <w:t xml:space="preserve"> [$40,000 in non-pecuniary damages, equating to $48,000 in 2019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have considered the cases cited by counsel, although I will not review the circumstances of each case. While non-pecuniary damage awards in other cases may be useful in gauging what is reasonable, the case law does not establish a tariff for any particular kind of injury, and the award must always be determined based on an individualized assessment of the plaintiff's loss: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at para. 45, citing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p. 637. The cases furnished by counsel certainly help to delineate a relatively narrow range of non-pecuniary damage awards for circumstances that are comparable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consider that Ms. Juelfs is a relatively young woman who, prior to the collision, was healthy and lived a relatively active lifestyle. As a result of the collision, Ms. Juelfs developed a TMJ dysfunction, and suffered soft-tissue injuries to her neck, upper back and lower back. The TJM disorder has caused Ms. Juelfs to suffer sporadic acute jaw pain that has been mitigated through use of a mouth guard and is expected to resolve over time. The soft-tissue injuries have resulted in intermittent neck and back pain that has become chronic. The pain is exacerbated by prolonged sitting, sustained neck postures, and sustained vigorous physical activity such as lifting heavy weights, running, of carrying a backpack for extended periods of time. After the collision, Ms. Juelfs made an effort to return to field work, and has continued to be as active as she can in both her fitness activities and her recreational pursuits. Nonetheless I accept the evidence of Ms. Juelfs, supported by the testimony of the other lay witnesses, that the soft-tissue injury and resulting pain have limited Ms. Juelfs in her ability to do field work in her chosen occupation, and imposed moderate limitations on her lifestyle. In these circumstances, and considering the positions put forward by each of the parties, I conclude that Ms. Juelfs should receive non-pecuniary damages of $65,000.</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"a claim for what is often described as 'past loss of income' is actually a claim for loss of earning capacity". In other words, it is "a claim for the loss of the value of the work that the injured plaintiff would have performed but was unable to perform because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 45-48, Goepel J.A. set out the key principles governing a claim of lost earning capacity. I note that while Goepel J.A. was in dissent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his discussion of the law on this issue was endorsed by the majority, per D. Smith J.A. at para. 66. For ease of reference, I would summarize the legal principles set out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applicable to a claim of past lost earning capacity are the same as the principles applicable to a claim of future lost earning capacity: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46, citing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29.</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either case, i.e. a claim or either past or future loss, the plaintiff must establish (i) impairment of earning capacity, and (ii) a real and substantial possibility of an event resulting in a loss: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48.</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that the analysis requires a consideration of hypothetical events, the plaintiff is not required to prove these events on a balance of probabilities; what is required is a "real and substantial possibility, and not mere speculation":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46-48, citing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at para. 29.</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court finds both impairment of earning capacity and a real and substantial possibility of an event resulting in loss, damages must then be assessed. The damages are to be valued using either the earnings approach or the capital asset approach: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the case at bar, Ms. Juelfs claims damages for lost capacity to earn overtime pay in the 12 months following the collision. She says the bulk of her overtime pay came from field work, and that due to her collision-related injuries, she was unable to perform the same amount of field work in the 12 month period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say at least some of the reduction in overtime earnings is attributable to the fact that Hatfield did not have any overtime work to be done in January through March of 2015. The defendants rely on the testimony of Ms. Juelfs that there was overtime work to be done on bird surveys in 2014, but no such work available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Juelfs testified about a number of different sources of overtime work available to her. She was unable to be specific about which overtime projects were available in which years, but I accept her testimony that in general the amount of overtime she worked in the 12 months after the collision was less than the amount she worked in the 12 months preceding the collision, and that this was attributable to her collision-related injuries. I am thus satisfied on the evidence that Ms. Juelfs has established that as a result of the collision, she suffered an impairment of her earning capacity due to limitations on her ability to perform field work, and that there was a real and substantial possibility that Ms. Juelfs lost out in overtime pay as a result of this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Having concluded that Ms. Juelfs has established an entitlement to damages for past loss of earning capacity, it is necessary to value the loss. The particular loss suffered by Ms. Juelfs - loss of overtime - is best assessed using the earnings approach. I agree with Ms. Juelfs that the most appropriate way to determine her loss of past earnings is to compare her overtime in the 12 month period before the collision with her overtime earnings in the 12 month period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comparing the overtime earned by Ms. Juelfs in the year preceding the collision with the overtime earned Ms. Juelfs in the following year, it is necessary to consider the evidence of Ms. Saito that due to a gap in overtime billing policy at Hatfield, overtime in the year preceding the collision was actually over-stated by some 10 to 15 percent. I agree with the defendants that the overtime loss should be reduced by 12.5%, the average of these two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is also necessary to consider the amount of overtime available to Ms. Juelfs at two different pay rates. Some of Ms. Juelfs' overtime work was paid at time and a half, and some of it was paid at double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With respect to time and a half, Ms. Juelfs worked 756 hours in the 12 months before the collision, and 160.25 hours in the 12 months after the collision. The difference between these two figures is 595.75. Adjusting this figure by 12.5% on account of the inflated overtime identified by Ms. Seito, the net result is 521.25 hours. At a rate of $36.75 per hour, this amounts to a total of $19,155.93 in lost wages at the time and a half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With respect to double time, Ms. Juelfs worked 86.75 hours in the 12 months before the collision, and 29.5 hours in the 12 months after the collision. The difference between these two figures is 57.25 hours. Adjusting this figure by 12.5% on account the inflated overtime identified by Ms. Seito, the net result is 50 hours. At a rate of $49.09 per hour, this amounts to a total of $2,454.50 in lost wages at the double time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total, Ms. Juelfs made $21,610.43 more in overtime in the year preceding the collision than she did in the following year. I conclude that at a tax rate of 28.2%, Ms. Juelfs' net loss of overtime earnings in the 12 months following the collision was $15,516.29.</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evidence indicates Ms. Juelfs has suffered collision-related soft tissue injuries which are chronic and not expected to resolve. I find that as a result of these injuries, Ms. Juelfs will experience limitations in her chosen occupation as a wildlife biologist, in terms of both field work and office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With regard to field work, I find that going forward Ms. Juelfs will be limited in her ability to travel in small aircraft, travel in vehicles over rough terrain, carry backpacks for extended periods of time, navigate rugged terrain on foot, lug heavy lab equipment, operate small boats, use various devices including fishing nets and electro-fishers, and in her ability to sustain awkward positions for prolonged periods of time while surveying wildlife.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defendants say Ms. Juelfs may be able to overcome or avoid some of these limitations by assigning certain tasks to co-workers during field work. In do not find any merit in that argument, which boils down to a submission that the plaintiff will not be limited in her ability to field work if she gets others to do her job for her. I would expect such an approach would significantly undermine Ms. Juelfs' effectiveness in the field, where co-workers are presumably expected to divide the work and share equally in the performance of physically demanding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defendants also say Ms. Juelfs could overcome her expressed limitations in holding awkward body positions during wildlife surveys by working with a kinesiologist to strengthen her neck muscles. While it is true that Dr. Craig recommended exercise sessions with a kinesiologist to address muscle dysfunction, her recommendations were intended to assist Ms. Juelfs in managing her symptoms, without any expectation that the symptoms would be resolved. In her report, Dr. Craig made recommendations to "assist Ms. Juelfs to manage her symptoms that occur in response to work activities". Dr. Craig expressly noted that the treatment programs she recommended would not be expected to "result in resolution of [the plaintiff's] symptoms to restore her prior functional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With regard to office work, I find that going forward Ms. Juelfs will be limited in her ability to work at a desk in a sitting position for prolonged periods of time. There is a considerable body of evidence that Ms. Juelfs has suffered and continues to suffer discomfort due to low back pain. I agree with the defendants that Ms. Juelfs may be able to better manage her low back pain by using a sit-stand work station, although I find that the potential for pain with prolonged sitting will still be present and that this poses a moderate limitation on the plaintiff's ability to perform office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more challenging issue for the plaintiff is in establishing that the limitations described above have resulted in an actual impairment of her future income-earning capacity. As the defendants point out, since the collision Ms. Juelfs has changed employers and is now a senior wildlife biologist, earning more money and enjoying a better work-life balance than she had at the time of the collision. Ms. Juelfs herself concedes that her new job could be viewed as a promotion. She earns a higher base salary, and her new job is not as physically demanding as her old one. There is also some suggestion in the evidence that senior wildlife biologists such as Ms. Juelfs and supervisors such as Ms. Dupuis do less field work than their junior counterparts. In these circumstances, the defendants question whether there is a real and substantial possibility that Ms. Juelfs will suffer a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One of the leading cases on this issue is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In that case, the plaintiff worked as a manager in a government office. She was injured in a motor vehicle collision that left her unable to perform physically demanding or repetitive work. After the collision, the plaintiff returned to her pre-accident job, and the trial judge found that she would probably continue in that employment. The trial judge reasoned that the plaintiff's injuries would have "slight, if any, actual impact on her future earnings", and went on to make an "appropriately modest" award of $10,000. This award was set aside on appeal because the trial judge overlooked the requirement that the plaintiff "must always prove" a "real and substantial possibility of a future event leading to an income loss". It is only after the plaintiff discharges that burden that the court will consider the value of the loss, using either the income approach or the capital asset approach: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Thus, the plaintiff must prove a "substantial possibility of a future event leading to an income loss, and the court must then award compensation on an estimation of the chance that the event will occur":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(B.C.C.A.) at para. 17, cited with approval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23. The concept of "real and substantial possibility" does not require proof on a balance of probabilities. Rather, "[a]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Applying those principles to the facts in the case at bar, I have already found above that the plaintiff's injuries will result in some limitations on her ability to do certain kinds of work in her chosen occupation as a wildlife biologist. I am satisfied that these limitations could be expected to impact on the plaintiff's future earning capacity in two particular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First, with respect to field work, the evidence indicates that this is an important component of the plaintiff's occupation. I accept the plaintiff's submission, which is supported by the evidence, that "[t]he work of a wildlife biologist ranges from almost exclusively field work to almost exclusively office work to every combination in between". Although Ms. Juelfs now works in a position that involves a very limited amount of light field work, she is still relatively young, and it is by no means certain that she will stay in her current position for the balance of her career. Ms. Juelfs has a fair degree of professional enthusiasm and some apparent ambition for further advancement. In these circumstances, there is a real and substantial possibility that the limitations on Ms. Juelfs' ability to do field work will impact upon her opportunity for advancement within her chosen occupation. As Ms. Dupuis acknowledged, a wildlife biologist with a limited ability to do field work will generally have less opportunity than a wildlife biologist who has no such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Second, with respect to office work, the evidence satisfies me that Ms. Juelfs is moderately restricted in her ability to work long hours at a desk. Co-workers at both Hatfield and Pinchin testified to seeing Ms. Juelfs, from time to time, in noticeable discomfort while working at her desk. Although the use of a sit-stand work desk could ameliorate this problem to a certain extent, even with the benefit of this kind of set-up the plaintiff's injuries will pose some limitation on her office productivity. There is also the issue of flare ups which can be anticipated keep Ms. Juelfs away from her office for several days at a time, on a sporadic basis. There is a real and substantial possibility that the plaintiff's unresolved soft-tissue injuries will impact on her office performance in two concrete ways. First, it is reasonably possible that these limitations will impact on the plaintiff's ability to do office-based overtime work. Second, it is also a reasonable possibility that these limitations will impact the plaintiff's overall office productivity and capacity for advancement.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Having found an impairment of the plaintiff's future income-earning capacity, it is next necessary to value the loss. I consider that the plaintiff's loss is best assessed using the capital asset approach. What Ms. Juelfs has lost is not some identifiable stream of income, but rather a general capacity to earn income in her chosen field. Because of the limitations imposed by her collision-related injuries, Ms. Juelfs has been rendered somewhat "less marketable" to potential employers, and has lost "the ability to take advantage of all job opportunities" that might otherwise have been open to her within her occupation, as these concepts are discussed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(B.C.S.C.)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parties have advanced vastly different positions with regard to assessment of the plaintiff's loss. The defendants, while maintaining the position that the plaintiff has failed to prove an impairment of her future earning capacity, argues in the alternative that the court should award a nominal amount for loss of future earnings, in the amount of $10,000. In support of this approach, the defendants cited </w:t>
      </w:r>
      <w:r>
        <w:rPr>
          <w:rFonts w:ascii="arial" w:eastAsia="arial" w:hAnsi="arial" w:cs="arial"/>
          <w:i/>
          <w:color w:val="000000"/>
          <w:sz w:val="20"/>
          <w:lang w:val="en-US" w:eastAsia="en-US" w:bidi="ar-SA"/>
        </w:rPr>
        <w:t>DeVries v. Poltorak</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2013 BCSC 2527</w:t>
        </w:r>
      </w:hyperlink>
      <w:r>
        <w:rPr>
          <w:rFonts w:ascii="arial" w:eastAsia="arial" w:hAnsi="arial" w:cs="arial"/>
          <w:color w:val="000000"/>
          <w:sz w:val="20"/>
          <w:lang w:val="en-US" w:eastAsia="en-US" w:bidi="ar-SA"/>
        </w:rPr>
        <w:t xml:space="preserve"> at para 97-101 and </w:t>
      </w:r>
      <w:r>
        <w:rPr>
          <w:rFonts w:ascii="arial" w:eastAsia="arial" w:hAnsi="arial" w:cs="arial"/>
          <w:i/>
          <w:color w:val="000000"/>
          <w:sz w:val="20"/>
          <w:lang w:val="en-US" w:eastAsia="en-US" w:bidi="ar-SA"/>
        </w:rPr>
        <w:t>MacKenzie v. John Doe</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2018 BCSC 104</w:t>
        </w:r>
      </w:hyperlink>
      <w:r>
        <w:rPr>
          <w:rFonts w:ascii="arial" w:eastAsia="arial" w:hAnsi="arial" w:cs="arial"/>
          <w:color w:val="000000"/>
          <w:sz w:val="20"/>
          <w:lang w:val="en-US" w:eastAsia="en-US" w:bidi="ar-SA"/>
        </w:rPr>
        <w:t xml:space="preserve"> at para. 168.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plaintiff urges the approach suggested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33, which involves a consideration of "the likely duration of the plaintiff's prospective working life", as well as a consideration of the "negative and positive contingencies which are unique to each case". Counsel says the court should assess the loss using an annual salary of $80,000, representing the plaintiff's total earnings in the 12 months preceding the collision. Counsel says this is reasonable because it is doubtful that Ms. Juelfs had reached "peak" earnings at age 31 when the collision occurred. Using a working age of 67, and an economic multiplier of 18.806, the present-day value of the plaintiff's income is $1,500,000. Counsel urges the court to conclude that as a result of the collision-related injuries, the value of this asset has been reduced by 20%, resulting in damages of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 prefer the plaintiff's approach in that it offers a transparent, rational means of assessing the value of the plaintiff's loss. In reaching this conclusion, I appreciate that the court's task is to assess damages, not calculate them according to some mathematical formula. The court must base its decision on "what is reasonable in all the circumstances", and "[p]rojections, calculations and formulas are only useful to the extent that they help determine what is fair and reasonable":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36. In the case at bar I find the plaintiff's approach useful in assessing what is "fair and reasonable", although I would make two adjustments to the figures proposed by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First, I would use the plaintiff's current base salary of $70,000 when determining the present-day value of her income. Using the multiplier proposed by the plaintiff, the present-day value of the plaintiff's income is $1,315,000.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Second, I do not agree that the plaintiff's income-earning capacity has been reduced by 20%. Accepting that Ms. Juelfs has suffered a loss of earning capacity in the manner described above, I would consider the diminishment of the plaintiff's capacity to do field work to be significant, but I must also account for the contingency that the plaintiff will remain in her current position for the balance of her working life, or that if she chooses to change positions, she would move to a position involving a relatively minimal degree of field work. There is some suggestion in the evidence, which I accept, that senior wildlife biologists positions generally involve less field work than lower level positions. With regard to the diminishment of the plaintiff's capacity to do office work, I would consider it to be moderate, keeping in mind that her limitations can be ameliorated to some extent thought the use of a sit-stand work desk. Taking all of this into account, I conclude that Ms. Juelfs' future earning capacity has been diminished by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To summarize, I find that the present-day value of the plaintiff's income is $1,315,000, and that her injuries have led to a 10% reduction in her income-earning capacity. I thus conclude that the plaintiff's loss of future earning capacity would be valued at $131,500. I consider this to be a fair and reasonable assessment of the plaintiff's loss.</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Juelfs seeks special damages in the amount of $18,120.24. In her testimony, Ms. Juelfs asserted that all of the claimed expenses were incurred as a result of the collision. Receipts verifying these expenditures were marked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take issue with two specific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first disputed item is a claim of $6,804 for cross-fit membership fees. Ms. Juelfs testified that she was heavily involved in fitness programs, including spin classes and aerobics, before the collision. At some point she took up cross-fit. I am satisfied, based on her lifestyle and keen interest in fitness, that quite apart from what happened to her in the collision, Ms. Juelfs would have paid for cross-fit membership fees in any event, and that these fees are not attributable to the collision. I would therefore dismiss this aspect of the plaintiff's claim. See </w:t>
      </w:r>
      <w:r>
        <w:rPr>
          <w:rFonts w:ascii="arial" w:eastAsia="arial" w:hAnsi="arial" w:cs="arial"/>
          <w:i/>
          <w:color w:val="000000"/>
          <w:sz w:val="20"/>
          <w:lang w:val="en-US" w:eastAsia="en-US" w:bidi="ar-SA"/>
        </w:rPr>
        <w:t>Brunelle</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Yoshida</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2014 BCSC 1006</w:t>
        </w:r>
      </w:hyperlink>
      <w:r>
        <w:rPr>
          <w:rFonts w:ascii="arial" w:eastAsia="arial" w:hAnsi="arial" w:cs="arial"/>
          <w:color w:val="000000"/>
          <w:sz w:val="20"/>
          <w:lang w:val="en-US" w:eastAsia="en-US" w:bidi="ar-SA"/>
        </w:rPr>
        <w:t xml:space="preserve"> at para.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second disputed item is for mileage. The defendants say a significant proportion of the mileage claim pertains to the plaintiff's attendance at treatment providers in North Vancouver, during time periods when Ms. Juelfs in fact worked in that municipality. I agree with the defendants that the plaintiff is not entitled to recover travel costs for treatment received at facilities in close proximity to her workplace, on week days when Ms. Juelfs would have had to travel to North Vancouver for work in any event. However, examining the plaintiff's itemized list of mileage claims and attached receipts, I see that of the plaintiff's total claim of $1,531.22 in mileage costs, only $285.48 relates to weekday attendance at programs in North Vancouver near the plaintiff's work place. I would exclude this amount, but otherwise allow the plaintiff's claim for mileage associated with attendance at treatment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conclude that the plaintiff is entitled to special damages totalling $11,030.76.</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My consideration of costs of future care is guided by three principles. First, damages for costs of future care are awarded to restore the plaintiff to his or her pre-accident condition, to the extent that this possible, based on what is shown to be reasonably necessary to preserve or promote the plaintiff's mental and physical health: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29-30. Second, the amounts claimed must be (i) justified based on medical evidence as to what is reasonably required to preserve or maintain the plaintiff's health, and (ii)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 84. Third, the trial judge must take into account future contingencies, positive and negative, that may have a bearing on costs of future care: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 51-52.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(4.5.1) Chiropractic Treatment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am satisfied that Ms. Juelfs will require chiropractic treatment or massage therapy to manage flare ups in her neck and back pain. Dr. Shore recommended that Ms. Juelfs should receive ongoing chiropractic care at an estimated cost of $1,100 per year. Ms. Craig recommended six chiropractic and six massage therapy sessions per year, at a cost of $75 per session, for a total of $900. I prefer Dr. Shore's recommendation, which is more precise.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submitted that she will require these treatments for the balance of her life. The defendants submitted that the costs should be time-limited. Given my finding that Ms. Juelfs will continue to suffer intermittent neck, upper back, and lower back pain into the indefinite future, my conclusion is that the award should cover the costs of these treatments for the balance of the plaintiff's life, reduced by 30% to account for the contingency that at some point the treatments may not longer be required or may cease to be useful. I therefore award $19,525 for future chiropractic and message therapy treatments.</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Shore recommended that Ms. Juelfs engage in an active rehabilitation program supervised by a kinesiologist. Ms. Craig also recommended that Ms. Juelfs attend 8 to 12 kinesiology sessions to improve muscle strength and to address dysfunction of muscle recruitment, to manage her symptoms. I accept that these kinesiology sessions are medically necessary and reasonable and I award a total of $750 under this heading.</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Ergonomic Workstation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Craig recommended an adjustable chair (at a cost of $250), and a sit-stand work station (at a cost of $700 to $1500) to accommodate the plaintiff's limitations and to allow her to maintain good posture when doing office work. The defendant concedes that the cost of an ergonomic work station should be included in the cost of future care award. I award the plaintiff $2,000 under this heading.</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Cross-Fit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Juelfs testified that she has always been an active person who enjoys fitness programs. She previously participated in spin classes and aerobics programs. At some point she started taking cross-fit programs. Ms. Juelfs further testified that she continues to attend cross-fit training on the recommendation of her treating chiropractor Dr. Shore, and her treating physiatrist Dr. Sudol. Both Dr. Shore and Dr. Sudol opined that regular attendance at a strength and conditioning program will be an important factor in the ongoing management of the symptoms associated with the plaintiff's soft-tissue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Against this backdrop, the plaintiff seeks damages to recover the cost of her monthly cross-fit membership fees, at $126 per month, for the balance of her lifetime at a total cost of $46,857. The plaintiff says the program fees provide good value, in that she presently attends 16 classes per month, which works out to $8 per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defendants argue that the plaintiff has always been interested in fitness, and that she would pay for the cross-fit membership fees in any event, quite apart from whether these programs were recommended by her treatment providers in connection with her collision-related injuries. The defendants submit that "no award is appropriate for expenses that the plaintiff would have incurred in any event", citing </w:t>
      </w:r>
      <w:r>
        <w:rPr>
          <w:rFonts w:ascii="arial" w:eastAsia="arial" w:hAnsi="arial" w:cs="arial"/>
          <w:i/>
          <w:color w:val="000000"/>
          <w:sz w:val="20"/>
          <w:lang w:val="en-US" w:eastAsia="en-US" w:bidi="ar-SA"/>
        </w:rPr>
        <w:t>Brunette</w:t>
      </w:r>
      <w:r>
        <w:rPr>
          <w:rFonts w:ascii="arial" w:eastAsia="arial" w:hAnsi="arial" w:cs="arial"/>
          <w:color w:val="000000"/>
          <w:sz w:val="20"/>
          <w:lang w:val="en-US" w:eastAsia="en-US" w:bidi="ar-SA"/>
        </w:rPr>
        <w:t xml:space="preserve"> at para. 187, and </w:t>
      </w:r>
      <w:r>
        <w:rPr>
          <w:rFonts w:ascii="arial" w:eastAsia="arial" w:hAnsi="arial" w:cs="arial"/>
          <w:i/>
          <w:color w:val="000000"/>
          <w:sz w:val="20"/>
          <w:lang w:val="en-US" w:eastAsia="en-US" w:bidi="ar-SA"/>
        </w:rPr>
        <w:t>Lourenco v. Pham</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2013 BCSC 2090</w:t>
        </w:r>
      </w:hyperlink>
      <w:r>
        <w:rPr>
          <w:rFonts w:ascii="arial" w:eastAsia="arial" w:hAnsi="arial" w:cs="arial"/>
          <w:color w:val="000000"/>
          <w:sz w:val="20"/>
          <w:lang w:val="en-US" w:eastAsia="en-US" w:bidi="ar-SA"/>
        </w:rPr>
        <w:t xml:space="preserve">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Recall that I declined to include the past cost of cross-fit membership fees in the plaintiff's special expenses claim, on the basis that Ms. Juelfs would have paid these fees in any event, regardless of her soft-tissue injuries. By the same reasoning, I find that going forward, the most likely possibility is that Ms. Juelfs will continue to be a fitness enthusiast and thus incur costs of a monthly fitness program, quite apart from any collision-related treatment needs she may have. However, I am also satisfied that there is a reasonable possibility that at some point in the future Ms. Juelfs would lose interest in attending a cross-fit program with such regularity as she has in the past. In that eventuality, Ms. Juelfs could still be anticipated to follow the advice of her treating chiropractor and physiatrist by continuing with regular attendance at a structured fitness program as part of her treatment regimen. Assigning a 25% probability to this eventuality, I would award the plaintiff $11,715 to cover the costs of continued participation in a structured monthly fitness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(4.5.5) Future Costs of Care in relation to TMJ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Juelfs attended four specialist appointments and acquired a dental appliance to manage her TMJ dysfunction, at a total cost of $1,600. She says the dental appliance is now 30 months old, and at some point she will require replacement, along with follow up specialist appointments. However, the plaintiff has not tendered any evidence to establish the useful life of a dental appliance, nor has she presented evidence that the TMJ dysfunction will continue beyond the useful life of the device. I am therefore not satisfied that the plaintiff has proven any medically necessary future costs associated with her TMJ dysfunction.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(4.5.6) Assistance with Heavy Yard Work, Home Cleaning and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Craig opined that the plaintiff will require assistance with heavier seasonal cleaning such as washing walls, windows, and blinds. The plaintiff also contends that although she presently lives in a condominium with no yard or a garden, this may change in the future, in which case she will require assistance with heavy yard work. I am not satisfied that Ms. Juelfs will require assistance in relation to any of these things. Ms. Juelfs is a reasonably fit person involved in weightlifting and cross-fit training. While her injuries impose physical limits, the evidence does not satisfy me that occasional heavy duty cleaning or yard work will exceed those limits. I would dismiss this aspect of the plaintiff's claim.</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summary, I award the following damages:</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Non-pecuniary Damages: $ 65,000.00 (ii) Loss of Past Earning Capacity: $ 15,516.29 (iii) Loss of Future Earning Capacity: $ 131,500.00 (iv) Special Damages: $ 11,030.76 (v) Costs of Future Care: $ 33,990.00 </w:t>
      </w: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$ 257,037.05</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If the parties are unable to agree on costs, they can file written submissions. Counsel for the plaintiff may file written submissions of four pages or less (plus an affidavit containing any supporting materials) within three weeks of the release of these reasons. Counsel for the defendants may file written submissions of four pages or less (plus an affidavit containing any supporting materials) within three weeks of receiving the plaintiff's written submissions. Counsel for the plaintiff may file a reply of two pages or less (plus any reply affidavit material) within one week of receiving the written submissions of the defendants. If either party takes the view that submissions on costs cannot effectively be dealt with in writing, that party may, within the time limits set out above, submit a request to schedule a further appearance for oral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W.P. RILEY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August 15, 2019</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front page, the Dates of Hearing/Trial have been corrected to in dicate the actual dates of February 25-27, 2019 and not February 25-29, 2019.</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second line of paragraph [47], the word "Ms." has been replaced with "Mr."</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line of paragraph [58], the word "Jelfs" has been replaced with "Jeulfs."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3" style="position:absolute;z-index:2518343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Kalsi v. Gill, [2014] B.C.J. No. 2440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G.P.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M144515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2440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1833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2896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6 W.W.R. 387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245 A.C.W.S. (3d) 747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69 B.C.L.R. (5th) 390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Sukhvinder Kalsi, Plaintiff and Satnam S. Gill,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4"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9" w:name="Keywords_22"/>
      <w:bookmarkEnd w:id="149"/>
      <w:r>
        <w:rPr>
          <w:rFonts w:ascii="arial" w:eastAsia="arial" w:hAnsi="arial" w:cs="arial"/>
          <w:b/>
          <w:color w:val="000000"/>
          <w:sz w:val="20"/>
          <w:lang w:val="en-US" w:eastAsia="en-US" w:bidi="ar-SA"/>
        </w:rPr>
        <w:t>Civil litigation — Civil procedure — Trials — Jury trials — Verdicts — RE-opening or new trial — Grounds — Motion by plaintiff for retrial allowed — Jury rendered verdict in personal injury claim finding each party 50 per cent liable for collision — Jury awarded plaintiff nothing for non-pecuniary damages, future pecuniary damages or loss of housekeeping — Jury awarded plaintiff $12,000 for past wage loss and $8,000 in special damages — Retrial was required, as jury's verdict was internally conflicting — Failure to award non-pecuniary damages for pain and suffering in face of award for special damages and past wage loss caused by injury was illogical — It would be an error of law to enter judgment — British Columbia Supreme Court Civil Rules, Rules 12-6(7), 12-6(8).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Proceedings — Practice and procedure — Motion by plaintiff for retrial allowed — Jury rendered verdict in personal injury claim finding each party 50 per cent liable for collision — Jury awarded plaintiff nothing for non-pecuniary damages, future pecuniary damages or loss of housekeeping — Jury awarded plaintiff $12,000 for past wage loss and $8,000 in special damages — Retrial was required, as jury's verdict was internally conflicting — Failure to award non-pecuniary damages for pain and suffering in face of award for special damages and past wage loss caused by injury was illogical — It would be an error of law to enter judgment — British Columbia Supreme Court Civil Rules, Rules 12-6(7), 12-6(8).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Jury's answers — Sufficiency — Motion by plaintiff for retrial allowed — Jury rendered verdict in personal injury claim finding each party 50 per cent liable for collision — Jury awarded plaintiff nothing for non-pecuniary damages, future pecuniary damages or loss of housekeeping — Jury awarded plaintiff $12,000 for past wage loss and $8,000 in special damages — Retrial was required, as jury's verdict was internally conflicting — Failure to award non-pecuniary damages for pain and suffering in face of award for special damages and past wage loss caused by injury was illogical — It would be an error of law to enter judgment — British Columbia Supreme Court Civil Rules, Rules 12-6(7), 12-6(8).</w:t>
      </w:r>
    </w:p>
    <w:p>
      <w:pPr>
        <w:jc w:val="both"/>
        <w:rPr>
          <w:rFonts w:ascii="arial" w:eastAsia="arial" w:hAnsi="arial" w:cs="arial"/>
          <w:sz w:val="20"/>
          <w:lang w:val="en-US" w:eastAsia="en-US" w:bidi="ar-SA"/>
        </w:rPr>
      </w:pPr>
      <w:bookmarkStart w:id="150" w:name="Legislation Cited_15"/>
      <w:bookmarkEnd w:id="1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5"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12-5(68), Rule 12-6(7), Rule 12-6(8)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1" w:name="Counsel_22"/>
      <w:bookmarkEnd w:id="1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S.D. Ballard.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 Murphy.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2" w:name="Judgment_22"/>
      <w:bookmarkEnd w:id="152"/>
      <w:r>
        <w:pict>
          <v:line id="_x0000_s1137"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3" w:name="G.P. WEATHERILL J."/>
            <w:bookmarkEnd w:id="153"/>
            <w:r>
              <w:rPr>
                <w:rFonts w:ascii="arial" w:eastAsia="arial" w:hAnsi="arial" w:cs="arial"/>
                <w:b/>
                <w:color w:val="000000"/>
                <w:sz w:val="30"/>
                <w:lang w:val="en-US" w:eastAsia="en-US" w:bidi="ar-SA"/>
              </w:rPr>
              <w:t>G.P.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claims damages for injuries sustained in a motor vehicle collision that occurred December 13,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10 day jury trial commenced before me on May 26, 2014. Liability and damages were both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6, 2014 the jury returned its verdict finding that the plaintiff and defendant each 50% at fault for the collision. The jury awarded the plaintiff nothing for non-pecuniary damages, future pecuniary damages or loss of homemaking capacity, but awarded her $12,000 in past wage loss and $8,000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Total damages awarded to the plaintiff, net of the 50% reduction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was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I discharged the jury, defendant's counsel moved for judgment in accordance with the jury's verdict. Plaintiff's counsel objected on the basis that the jury's failure to award general damages, despite awarding damages for past wage loss and special damages, was perverse. I adjourned the trial to allow counsel to consider their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seeks an order that the action be retried because the jury's verdict was internally conflicting and perverse. She relies on Rule 12-6(7)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Judgment impossible on jury findings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any redirection the court considers appropriate, a jury answers some but not all of the questions directed to it, or if the answers are conflicting, so that judgment cannot be pronounced on the findings, the action must be retried.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argues that the failure on the part of the jury to award any non-pecuniary damages, despite its award of special damages and past wage loss, is conflicting and it would be an error of law in the circumstances to enter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argues for judgment in terms of the jury's verdict because: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trial judge should not interfere with the jury's verdict in a civil proceeding.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jury was properly instructed and answered all of the questions it was asked in a clear and concise fashion and it would be an error for me to refuse to accept the jury's verdict.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strive to give effect to the jury's verdict and if a retrial is ordered it should be limited to the issue of the plaintiff's entitlement to general damages only.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clear from the jury's verdict that it did not accept the plaintiff's claim and the only recourse the plaintiff has is to the Court of Appeal which has the jurisdiction to vary the jury's results, not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rules at play are Rules 12-6(7) and 12-6(8) which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Judgment impossible on jury findings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any redirection the court considers appropriate, a jury answers some but not all of the questions directed to it, or if the answers are conflicting, so that judgment cannot be pronounced on the findings, the action must be retried.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Only partial judgment possible on jury findings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answers of the jury entitle either party to judgment in respect of some but not all of the claims for relief in the notice of civil claim, the court may pronounce judgment on those claims and the remaining claims must be retried.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have been referred to a number of cases where this or similar issues have arisen including, </w:t>
      </w:r>
      <w:r>
        <w:rPr>
          <w:rFonts w:ascii="arial" w:eastAsia="arial" w:hAnsi="arial" w:cs="arial"/>
          <w:i/>
          <w:color w:val="000000"/>
          <w:sz w:val="20"/>
          <w:lang w:val="en-US" w:eastAsia="en-US" w:bidi="ar-SA"/>
        </w:rPr>
        <w:t>Balla v. ICBC</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2001 BCCA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Fast v. Moss</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2005 BCCA 571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ICBC v. Sun</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2003 BCSC 1175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Banks v. Shrigley</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2001 BCCA 232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Evans v. Metcalf</w:t>
      </w:r>
      <w:r>
        <w:rPr>
          <w:rFonts w:ascii="arial" w:eastAsia="arial" w:hAnsi="arial" w:cs="arial"/>
          <w:color w:val="000000"/>
          <w:sz w:val="20"/>
          <w:lang w:val="en-US" w:eastAsia="en-US" w:bidi="ar-SA"/>
        </w:rPr>
        <w:t xml:space="preserve">e, </w:t>
      </w:r>
      <w:hyperlink r:id="rId553" w:history="1">
        <w:r>
          <w:rPr>
            <w:rFonts w:ascii="arial" w:eastAsia="arial" w:hAnsi="arial" w:cs="arial"/>
            <w:i/>
            <w:color w:val="0077CC"/>
            <w:sz w:val="20"/>
            <w:u w:val="single"/>
            <w:shd w:val="clear" w:color="auto" w:fill="FFFFFF"/>
            <w:lang w:val="en-US" w:eastAsia="en-US" w:bidi="ar-SA"/>
          </w:rPr>
          <w:t>2010 BCSC 745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Wright v. Hohenacker</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2009 BCSC 536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Benek v. Pugash</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2004 BCSC 1452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Johnson v. Laing</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2004 BCCA 364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LeBlanc v. Penticton (City)</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[1981] B.C.J. No. 505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Cuthbertson v. Moryson</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(1982), 34 B.C.L.R. 397</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McCready v. Scott</w:t>
      </w:r>
      <w:r>
        <w:rPr>
          <w:rFonts w:ascii="arial" w:eastAsia="arial" w:hAnsi="arial" w:cs="arial"/>
          <w:color w:val="000000"/>
          <w:sz w:val="20"/>
          <w:lang w:val="en-US" w:eastAsia="en-US" w:bidi="ar-SA"/>
        </w:rPr>
        <w:t xml:space="preserve"> (1967), 62 W.W.R. 563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From these cases the following principles emerge:</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of damages is a matter within the province of the jury. It is a question of fact for the jury to decide.</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Ability to remedy an award of unreasonable quantum of damages lies only on appeal.</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cannot substitute his/her own assessment of damages for that of the jury. In a case where a jury verdict is internally inconsistent it is error of law to enter a verdict: </w:t>
      </w:r>
      <w:r>
        <w:rPr>
          <w:rFonts w:ascii="arial" w:eastAsia="arial" w:hAnsi="arial" w:cs="arial"/>
          <w:i/>
          <w:color w:val="000000"/>
          <w:sz w:val="20"/>
          <w:lang w:val="en-US" w:eastAsia="en-US" w:bidi="ar-SA"/>
        </w:rPr>
        <w:t>Balla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Fast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defendant relies heavily on the decision of the majority of the Court of Appeal in </w:t>
      </w:r>
      <w:r>
        <w:rPr>
          <w:rFonts w:ascii="arial" w:eastAsia="arial" w:hAnsi="arial" w:cs="arial"/>
          <w:i/>
          <w:color w:val="000000"/>
          <w:sz w:val="20"/>
          <w:lang w:val="en-US" w:eastAsia="en-US" w:bidi="ar-SA"/>
        </w:rPr>
        <w:t>LeBlanc</w:t>
      </w:r>
      <w:r>
        <w:rPr>
          <w:rFonts w:ascii="arial" w:eastAsia="arial" w:hAnsi="arial" w:cs="arial"/>
          <w:color w:val="000000"/>
          <w:sz w:val="20"/>
          <w:lang w:val="en-US" w:eastAsia="en-US" w:bidi="ar-SA"/>
        </w:rPr>
        <w:t xml:space="preserve"> where the trial judge rejected the verdict of the jury and entered judgment in accordance with his view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Court of Appeal considered then Rules 41(2) and (3) which, for all intent and purposes are the same as current Rules 12-6(7) and 12-6(8), and found that the trial judge (although having a discretion to refuse to accept the jury's verdict in circumstances where there is no evidence to support the findings of the jury or where a jury gives an answer to a question which, in law, provides no foundation for judgment), erred in rejecting the jury's verdict.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necessarily mean that damages must be awarded in respect of each head of damages advanced by a litigant. Put another way, the plaintiff might well establish that the defendant was to some extent negligent. But he might have failed to make a case for an award of damages under one or more of the heads of damage put forth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that case the jury made no award for special damages or costs of future care. The trial judge felt that the minimum amount that should have been awarded for special damages was $15,000 and the minimum amount that should have been awarded for future care was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Taggart J.A. went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while it can be said that the jury erred in not awarding damages under those two heads of damages it cannot be said that that means that the jury's answers on quantum are in conflict with its answers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Simply put, the issue in </w:t>
      </w:r>
      <w:r>
        <w:rPr>
          <w:rFonts w:ascii="arial" w:eastAsia="arial" w:hAnsi="arial" w:cs="arial"/>
          <w:i/>
          <w:color w:val="000000"/>
          <w:sz w:val="20"/>
          <w:lang w:val="en-US" w:eastAsia="en-US" w:bidi="ar-SA"/>
        </w:rPr>
        <w:t>LeBlanc</w:t>
      </w:r>
      <w:r>
        <w:rPr>
          <w:rFonts w:ascii="arial" w:eastAsia="arial" w:hAnsi="arial" w:cs="arial"/>
          <w:color w:val="000000"/>
          <w:sz w:val="20"/>
          <w:lang w:val="en-US" w:eastAsia="en-US" w:bidi="ar-SA"/>
        </w:rPr>
        <w:t xml:space="preserve"> was whether the trial judge was correct when he substituted his judgement for the verdict of the jury because he felt the jury's decision was unreasonable. On appeal, it was held that it was an error to reject the verdict.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Johnson</w:t>
      </w:r>
      <w:r>
        <w:rPr>
          <w:rFonts w:ascii="arial" w:eastAsia="arial" w:hAnsi="arial" w:cs="arial"/>
          <w:color w:val="000000"/>
          <w:sz w:val="20"/>
          <w:lang w:val="en-US" w:eastAsia="en-US" w:bidi="ar-SA"/>
        </w:rPr>
        <w:t xml:space="preserve"> the trial judge accepted the verdict of the jury awarding the plaintiff $2,250 in general damages and nothing for past wage loss, loss of future earnings or future care costs. The trial judge concluded that he was obliged to enter the verdict and the plaintiff's remedy, if any, was by way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Court of Appeal determined that the proper recourse was to remit the matter to the trial judge for a re-assessment of damages stating at para. 158: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 Important though the right of trial by jury in civil cases is thought to be, the Court must be mindful not only of the cost of a new trial by jury but also both of the inconvenience to the witnesses, both expert and lay, and the reproach the administration of justice rightly suffers from delays its procedures inflict on litigants. It is now some seven years since the accident and five years since this action was brought and the sooner it is ended the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Balla</w:t>
      </w:r>
      <w:r>
        <w:rPr>
          <w:rFonts w:ascii="arial" w:eastAsia="arial" w:hAnsi="arial" w:cs="arial"/>
          <w:color w:val="000000"/>
          <w:sz w:val="20"/>
          <w:lang w:val="en-US" w:eastAsia="en-US" w:bidi="ar-SA"/>
        </w:rPr>
        <w:t xml:space="preserve"> is similar to the case at bar. In that case the jury rendered a verdict of $1,000 for special damages and nothing for non-pecuniary damages. The trial judge accepted the jury's verdict. The Court of Appeal found that it was an error in law for the jury to award special damages and nothing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Balla</w:t>
      </w:r>
      <w:r>
        <w:rPr>
          <w:rFonts w:ascii="arial" w:eastAsia="arial" w:hAnsi="arial" w:cs="arial"/>
          <w:color w:val="000000"/>
          <w:sz w:val="20"/>
          <w:lang w:val="en-US" w:eastAsia="en-US" w:bidi="ar-SA"/>
        </w:rPr>
        <w:t xml:space="preserve">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It is illogical to conclude that a plaintiff was injured and suffered out of pocket expenses but did not sustain any pain, suffering and loss of enjoyment, however transitory, as a result of the injury. The finding of injury and the award for special damages cannot be reconciled. Without any award for non-pecuniary damages, the answers present a clear conflict. The reasoning in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is not distinguishable.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 would not extend the application of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beyond cases where the jury has made no award (or a token award clearly intended to be nominal) for non-pecuniary damages, while having made a finding of injury caused by the accident or an award of pecuniary damages consistent only with a finding of injury. If, conversely, the jury has made an award for non-pecuniary damages and the issue is disparity between that award and awards under other heads of damage then the issue is one that can only be addressed on appeal under </w:t>
      </w:r>
      <w:r>
        <w:rPr>
          <w:rFonts w:ascii="arial" w:eastAsia="arial" w:hAnsi="arial" w:cs="arial"/>
          <w:i/>
          <w:color w:val="000000"/>
          <w:sz w:val="20"/>
          <w:lang w:val="en-US" w:eastAsia="en-US" w:bidi="ar-SA"/>
        </w:rPr>
        <w:t>Nance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Fast</w:t>
      </w:r>
      <w:r>
        <w:rPr>
          <w:rFonts w:ascii="arial" w:eastAsia="arial" w:hAnsi="arial" w:cs="arial"/>
          <w:color w:val="000000"/>
          <w:sz w:val="20"/>
          <w:lang w:val="en-US" w:eastAsia="en-US" w:bidi="ar-SA"/>
        </w:rPr>
        <w:t xml:space="preserve"> a similar issue arose when a jury's verdict was that the plaintiff had suffered a loss of capacity to perform household duties as a result of the injuries from a motor vehicle accident but declined to award any damages. The Court of Appeal remitted the matter back to the trial court because the award for damages turned largely on an assessment of Mr. Fast's credibility. Lowry J.A. gave the reasons for the court. He commented on the result in </w:t>
      </w:r>
      <w:r>
        <w:rPr>
          <w:rFonts w:ascii="arial" w:eastAsia="arial" w:hAnsi="arial" w:cs="arial"/>
          <w:i/>
          <w:color w:val="000000"/>
          <w:sz w:val="20"/>
          <w:lang w:val="en-US" w:eastAsia="en-US" w:bidi="ar-SA"/>
        </w:rPr>
        <w:t>Johnson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There is no doubt much to be said for the pragmatic approach this Court took in the circumstances of the </w:t>
      </w:r>
      <w:r>
        <w:rPr>
          <w:rFonts w:ascii="arial" w:eastAsia="arial" w:hAnsi="arial" w:cs="arial"/>
          <w:i/>
          <w:color w:val="000000"/>
          <w:sz w:val="20"/>
          <w:lang w:val="en-US" w:eastAsia="en-US" w:bidi="ar-SA"/>
        </w:rPr>
        <w:t>Johnson</w:t>
      </w:r>
      <w:r>
        <w:rPr>
          <w:rFonts w:ascii="arial" w:eastAsia="arial" w:hAnsi="arial" w:cs="arial"/>
          <w:color w:val="000000"/>
          <w:sz w:val="20"/>
          <w:lang w:val="en-US" w:eastAsia="en-US" w:bidi="ar-SA"/>
        </w:rPr>
        <w:t xml:space="preserve"> case. The cost of litigation and the time required to retry cases of this kind are certainly of great consequence, but the right to a jury's assessment cannot be lightly compromised in favour of expediency. As long as there continues to be a legal right to have a jury empanelled in civil cases in this province, the consequences of unsupportable verdicts must continue to be accepted. Generally, a litigant who wishes to exercise that right should not lose it simply because the jury empanelled renders a verdict that is not legally supportable. It cannot be a matter of a litigant having only one kick at the can so to speak before having to accept an assessment made by a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Similar findings were made in </w:t>
      </w:r>
      <w:r>
        <w:rPr>
          <w:rFonts w:ascii="arial" w:eastAsia="arial" w:hAnsi="arial" w:cs="arial"/>
          <w:i/>
          <w:color w:val="000000"/>
          <w:sz w:val="20"/>
          <w:lang w:val="en-US" w:eastAsia="en-US" w:bidi="ar-SA"/>
        </w:rPr>
        <w:t>Sun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Banks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the court should strive to give effect to a jury's verdict, it cannot do so where the jury's verdict is internally in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it is apparent that the jury did not accept the plaintiff's evidence as to her losses. Put bluntly, the jury did not believe her. It is obvious, however, that the jury found that the plaintiff was injured, at least to some degree, by the award for special damages of $8,000 and past loss of earnings of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the jury is the judge of issues such as credibility, it was not open to them, after making the findings as they did regarding special damages and past loss of wages, to fail to make any award for non-pecuniary damages (</w:t>
      </w:r>
      <w:r>
        <w:rPr>
          <w:rFonts w:ascii="arial" w:eastAsia="arial" w:hAnsi="arial" w:cs="arial"/>
          <w:i/>
          <w:color w:val="000000"/>
          <w:sz w:val="20"/>
          <w:lang w:val="en-US" w:eastAsia="en-US" w:bidi="ar-SA"/>
        </w:rPr>
        <w:t>Balla</w:t>
      </w:r>
      <w:r>
        <w:rPr>
          <w:rFonts w:ascii="arial" w:eastAsia="arial" w:hAnsi="arial" w:cs="arial"/>
          <w:color w:val="000000"/>
          <w:sz w:val="20"/>
          <w:lang w:val="en-US" w:eastAsia="en-US" w:bidi="ar-SA"/>
        </w:rPr>
        <w:t>). Such a result was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basis of any tort action rests on a finding that the plaintiff suffered an injury. It is illogical to conclude that a plaintiff was injured and suffered past wage loss and special damages but did not sustain and pain, suffering, or loss of enjoyment, no matter how transient. (</w:t>
      </w:r>
      <w:r>
        <w:rPr>
          <w:rFonts w:ascii="arial" w:eastAsia="arial" w:hAnsi="arial" w:cs="arial"/>
          <w:i/>
          <w:color w:val="000000"/>
          <w:sz w:val="20"/>
          <w:lang w:val="en-US" w:eastAsia="en-US" w:bidi="ar-SA"/>
        </w:rPr>
        <w:t>Balla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issue, then, is whether this result necessitates a new trial (Rule 12-6(7)) or whether I can pronounce judgement on some of the claims and order a retrial on the balance (Rule 12-6(8)).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a clear difference in wording of the two rules that sheds some light on the issue. Rule 12-6(7) demands a retrial when either:</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jury answers some but not all of the questions directed to it, 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jury's answers are conflicting so that judgement cannot be pronounced on the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Conversely, Rule 12-6(8) allows partial judgment when a jury's answer entitles a party to judgement in respect of some but not all of the claims of relief. It does not contemplate partial judgment when the jury's answer is conflicting.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Respecting the jury's finding of liability between the parties for the collision, that question has been answered. There is nothing in the rest of the jury's verdict that is inconsistent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Respecting the jury's finding on damages, an inconsistency exists. An award for special damages and past wage loss and no award for non-pecuniary damages have repeatedly been characterized in all the relevant case law as a "conflict" and an "inconsistent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conclusion is reinforced by </w:t>
      </w:r>
      <w:r>
        <w:rPr>
          <w:rFonts w:ascii="arial" w:eastAsia="arial" w:hAnsi="arial" w:cs="arial"/>
          <w:i/>
          <w:color w:val="000000"/>
          <w:sz w:val="20"/>
          <w:lang w:val="en-US" w:eastAsia="en-US" w:bidi="ar-SA"/>
        </w:rPr>
        <w:t>Balla, Banks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Binnie v. Marsollier,</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2001 BCCA 543</w:t>
        </w:r>
      </w:hyperlink>
      <w:r>
        <w:rPr>
          <w:rFonts w:ascii="arial" w:eastAsia="arial" w:hAnsi="arial" w:cs="arial"/>
          <w:color w:val="000000"/>
          <w:sz w:val="20"/>
          <w:lang w:val="en-US" w:eastAsia="en-US" w:bidi="ar-SA"/>
        </w:rPr>
        <w:t>. Re-trials were ordered in all three pursuant to Rule 41(2) (now Rule 12-6(7)). There was no mention of the potential application of Rule 41(3) (now Rule 12-6(8)).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12-6(8)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considered whether Rule 12-6(8) may be of assistance to the parties. The heading for the rule is </w:t>
      </w:r>
      <w:r>
        <w:rPr>
          <w:rFonts w:ascii="arial" w:eastAsia="arial" w:hAnsi="arial" w:cs="arial"/>
          <w:i/>
          <w:color w:val="000000"/>
          <w:sz w:val="20"/>
          <w:lang w:val="en-US" w:eastAsia="en-US" w:bidi="ar-SA"/>
        </w:rPr>
        <w:t>"Only partial judgment possible on jury findings"</w:t>
      </w:r>
      <w:r>
        <w:rPr>
          <w:rFonts w:ascii="arial" w:eastAsia="arial" w:hAnsi="arial" w:cs="arial"/>
          <w:color w:val="000000"/>
          <w:sz w:val="20"/>
          <w:lang w:val="en-US" w:eastAsia="en-US" w:bidi="ar-SA"/>
        </w:rPr>
        <w:t>. Given that the jury's verdict was a finding of 50/50 liability, I considered whether judgment could be entered on the liability issue and a new trial ordered on the damages issue. On further consideration, I have determined that it cannot. The effect of making such an order would be to sever the issues of liability and damages with each issue being decided by a different trier of fact. While a trial judge has discretion to order severance of issues (Rule 12-5(68)), severance should only occur when there are extraordinary, exceptional or compelling reasons to do so and only when the issue to be tried separately is not interwoven with other issues (</w:t>
      </w:r>
      <w:r>
        <w:rPr>
          <w:rFonts w:ascii="arial" w:eastAsia="arial" w:hAnsi="arial" w:cs="arial"/>
          <w:i/>
          <w:color w:val="000000"/>
          <w:sz w:val="20"/>
          <w:lang w:val="en-US" w:eastAsia="en-US" w:bidi="ar-SA"/>
        </w:rPr>
        <w:t>King v. On-Stream Natural Gas Ltd. Partnership,</w:t>
      </w:r>
      <w:r>
        <w:rPr>
          <w:rFonts w:ascii="arial" w:eastAsia="arial" w:hAnsi="arial" w:cs="arial"/>
          <w:color w:val="000000"/>
          <w:sz w:val="20"/>
          <w:lang w:val="en-US" w:eastAsia="en-US" w:bidi="ar-SA"/>
        </w:rPr>
        <w:t xml:space="preserve"> [1990] B.C.W.L.D. 1596 (S.C.)). Further, severance of issues of liability and damages is particularly undesirable (</w:t>
      </w:r>
      <w:r>
        <w:rPr>
          <w:rFonts w:ascii="arial" w:eastAsia="arial" w:hAnsi="arial" w:cs="arial"/>
          <w:i/>
          <w:color w:val="000000"/>
          <w:sz w:val="20"/>
          <w:lang w:val="en-US" w:eastAsia="en-US" w:bidi="ar-SA"/>
        </w:rPr>
        <w:t>Dosanjh v. Romanda,</w:t>
      </w:r>
      <w:r>
        <w:rPr>
          <w:rFonts w:ascii="arial" w:eastAsia="arial" w:hAnsi="arial" w:cs="arial"/>
          <w:color w:val="000000"/>
          <w:sz w:val="20"/>
          <w:lang w:val="en-US" w:eastAsia="en-US" w:bidi="ar-SA"/>
        </w:rPr>
        <w:t xml:space="preserve"> [1974] 6 W.W.R. 559 (B.C.S.C.)). Unless compelling reasons exist to do so, courts generally are reluctant to order severance of liability and damages. That is especially so where, as here, the plaintiff's credibility is an important issue in the case (</w:t>
      </w:r>
      <w:r>
        <w:rPr>
          <w:rFonts w:ascii="arial" w:eastAsia="arial" w:hAnsi="arial" w:cs="arial"/>
          <w:i/>
          <w:color w:val="000000"/>
          <w:sz w:val="20"/>
          <w:lang w:val="en-US" w:eastAsia="en-US" w:bidi="ar-SA"/>
        </w:rPr>
        <w:t>Beddow v. Megyesi</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(1992), 63 B.C.L.R. (2d) 158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judgement, Rule 12-6(8) does not permit the severance of the issues of liability and damages. Rather, Rule 12-6(8) is intended to fill a hole where a particular claim in the prayer for relief in a notice of civil claim has not been addressed by the jury but others have.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Because the plaintiff's credibility is critical to the determination of both liability and damages, those issues cannot be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regrettable, but in my view, Rule 12-6(7) applies and a retrial must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Costs will be reserved to the new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Keddy-Waldie v. Lawson, [2015] B.C.J. No. 1031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 Tindale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3-7 and 27,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1344042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1031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853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Sheila Keddy-Waldie, Plaintiff, and Ian Lawson,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9"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4" w:name="Keywords_23"/>
      <w:bookmarkEnd w:id="154"/>
      <w:r>
        <w:rPr>
          <w:rFonts w:ascii="arial" w:eastAsia="arial" w:hAnsi="arial" w:cs="arial"/>
          <w:b/>
          <w:color w:val="000000"/>
          <w:sz w:val="20"/>
          <w:lang w:val="en-US" w:eastAsia="en-US" w:bidi="ar-SA"/>
        </w:rPr>
        <w:t>Contracts — Breach of contract — Action by client for damages for breach of contract, breach of fiduciary duty and special damages from former solicitor allowed — Plaintiff met with defendant for legal assistance in family law proceedings — Claim for spousal support not commenced until after expiry of limitation period, and was dismissed — By allowing limitation period to expire, without at least warning plaintiff, defendant breached duty of care to protect client's interests and thereby breached contract to provide appropriate necessary legal services — Plaintiff entitled to damages of $53,760 for breach of contract and $1,000 in special damages form mental distress, less $2,500 for legal fees.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Amount — Consequence of breach — Special damages — Mental distress — Set-off — Action by client for damages for breach of contract, breach of fiduciary duty and special damages from former solicitor allowed — Plaintiff met with defendant for legal assistance in family law proceedings — Claim for spousal support not commenced until after expiry of limitation period, and was dismissed — By allowing limitation period to expire, without at least warning plaintiff, defendant breached duty of care to protect client's interests and thereby breached contract to provide appropriate necessary legal services — Plaintiff entitled to damages of $53,760 for breach of contract and $1,000 in special damages form mental distress, less $2,500 for legal fees.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profession — Barristers and solicitors — Liability — Missed limitation periods — Action by client for damages for breach of contract, breach of fiduciary duty and special damages from former solicitor allowed — Plaintiff met with defendant for legal assistance in family law proceedings — Claim for spousal support not commenced until after expiry of limitation period, and was dismissed — By allowing limitation period to expire, without at least warning plaintiff, defendant breached duty of care to protect client's interests and thereby breached contract to provide appropriate necessary legal services — Plaintiff entitled to damages of $53,760 for breach of contract and $1,000 in special damages form mental distress, less $2,500 for legal fees.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Duties — Contractual duties — Liability — Damages — Professions — Legal — Barristers and solicitors — Action by client for damages for breach of contract, breach of fiduciary duty and special damages from former solicitor allowed — Plaintiff met with defendant for legal assistance in family law proceedings — Claim for spousal support not commenced until after expiry of limitation period, and was dismissed — By allowing limitation period to expire, without at least warning plaintiff, defendant breached duty of care to protect client's interests and thereby breached contract to provide appropriate necessary legal services — Plaintiff entitled to damages of $53,760 for breach of contract and $1,000 in special damages form mental distress, less $2,500 for legal fees.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5" w:name="Case Summary_21"/>
            <w:bookmarkEnd w:id="1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client for damages for breach of contract and breach of fiduciary duty and special damages against her former solicitor. In September 2010, after separating from her long-term common law partner, JH, the plaintiff met with the defendant for legal assistance on her family law file. The plaintiff sought spousal support from JH as well as a division of property. The plaintiff provided the defendant with a draft separation agreement during their initial consultation. The plaintiff alleged that she told the defendant that JH would rely on the one-year limitation period as a defence to any claim for spousal support, which the defendant denied. The defendant attempted to negotiate a settlement with JH on the plaintiff's behalf for spousal support and a division of matrimonial property. After the one-year limitation period for commencing a claim for spousal support had lapsed, the defendant drafted a notice of application for spousal support. The application was dismissed and an appeal was also dismissed. Thereafter, JH filed a claim seeking reapportionment of family property. The defendant filed a response on behalf of the plaintiff. A few months later, the defendant withdrew as plaintiff's counsel. The plaintiff had not provided a monetary retainer and had not made any payment for legal services. No written retainer agreement was ever executed between the parties. The plaintiff's family matter was resolved on consent. The plaintiff commenced a claim against her former solicitor alleging that he breached his contract to provide legal services to the plaintiff by failing to commence a court action for spousal support within the one year limitation period and that he breached his fiduciary duty to the plaintiff. The defendant conceded that he owed a duty of care to the plaintiff by virtue of the solicitor-client relationship with the plaintiff. However, he argued that he was only retained to negotiate a resolution of the plaintiff's spousal support and property issues and that he was never instructed by the plaintiff to commence an action against JH for spousal support until after the limitation period had expired.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6" w:name="Holdings of Court_18"/>
            <w:bookmarkEnd w:id="15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not retained only to negotiate a settlement. The defendant was an experienced family lawyer who did not take the appropriate precautions to diarize the one year limitation period. Once the limitation period expired, the plaintiff had no leverage to bargain for spousal support and no ability to go to court if no settlement was reached. In accepting the plaintiff as a client, even if the retainer was only to negotiate a settlement, the defendant could not stand idly while the plaintiff's right to go to court expired. At the very least, the defendant had a duty to warn the plaintiff of the limitation date which any competent family lawyer would have been aware of. The defendant breached his duty of care to protect his client's interests and by doing so breached his contract to provide appropriate necessary legal services to the plaintiff to protect her from losing her claim for spousal support. None of the defendant's advice or action were given or performed to obtain a direct or indirect personal advantage and therefore there was no breach of fiduciary duty. The plaintiff was entitled to damages of $53,760 for breach of contract and $1,000 in special damages for mental distress, less $2,500 for legal fees.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7" w:name="Legislation Cited_16"/>
      <w:bookmarkEnd w:id="1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0"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Family Law Act, SBC 2001, CHAPTER 25, s. 259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Relations Act, RSBC 1996, CHAPTER 128, s. 89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8" w:name="Counsel_23"/>
      <w:bookmarkEnd w:id="1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1"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H.L. Gansner.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L.J. Hamilton.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9" w:name="Judgment_23"/>
      <w:bookmarkEnd w:id="159"/>
      <w:r>
        <w:pict>
          <v:line id="_x0000_s1142" style="position:absolute;z-index:25183641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May 27, 2015;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0" w:name="R.S. TINDALE J."/>
            <w:bookmarkEnd w:id="160"/>
            <w:r>
              <w:rPr>
                <w:rFonts w:ascii="arial" w:eastAsia="arial" w:hAnsi="arial" w:cs="arial"/>
                <w:b/>
                <w:color w:val="000000"/>
                <w:sz w:val="30"/>
                <w:lang w:val="en-US" w:eastAsia="en-US" w:bidi="ar-SA"/>
              </w:rPr>
              <w:t>R.S. TINDALE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breach of contract and breach of fiduciary duty, as well as special damages from the defendant, her former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is opposed to this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September 15, 2010, the plaintiff met with the defendant seeking assistance on her family file. The plaintiff had been in a long-term common-law relationship with J.H. There were no children of this relationship; however, the plaintiff had two children from a previous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seeking spousal support from J.H. as well as a division of the matrimonial property. The plaintiff provided the defendant with a draft separation agreement during the September 15, 2010 initial consultation, dated June 1, 2010 (the "Separation Agreement"). The Separation Agreement stated that the plaintiff and J.H. were married on July 1, 2000 and separated on January 31,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sent a letter to J.H. on September 15, 2010. Between September 15, 2010 and February 2011, the defendant corresponded with J.H. in an effort to negotiate a settlement on behalf of the plaintiff for spousal support and a division of the matrimonial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late February 2011, it came to the attention of the defendant that the one year limitation period to commence an action for spousal support pursuant to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as repealed by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S.B.C. 2011, c. 25, s. 259 (the "FRA") had elapsed.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drafted a notice of application in the Provincial Court of British Columbia for spousal support which was filed on March 7, 2011. The hearing was held on December 19, 2011. On December 21, 2011, the Honourable Judge J.C. Birnie dismissed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filed a notice of appeal in the Supreme Court of British Columbia on January 24, 2012. The appeal was heard on June 5, 2012. On June 15, 2012, the Honourable Madam Justice M. Koenigsberg dismissed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J.H. filed a notice of family claim in the Supreme Court of British Columbia on March 7, 2012 seeking reapportionment of family assets. On April 19, 2012, the defendant filed a response to family claim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July 11, 2012, the defendant filed a notice of intention to withdrawal as lawyer 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at no time provided a monetary retainer or made any payments to the defendant for his services. A written retainer agreement was never executed between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23, 2014, the plaintiff and J.H. filed a consent order which resolved the issues between them pursuant to J.H.'s notice of family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This is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defendant breached his contract to provide legal services to the plaintiff by failing to commence a court action for spousal maintenance within the required one year time limitation;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breached his fiduciary duty to the plaintiff;</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breached his fiduciary duty or his contractual duties to the plaintiff what are the damages and how should those damages be assessed;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cause or contribute to any of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Sandra Bowler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Sandra Bowler has known the plaintiff for approximately 24 years. She is employed as a bookkeeper. She met J.H. through the plaintiff. She testified that he always had work either in the logging or mining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Bowler testified that the plaintiff also worked at many different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Bowler testified that the plaintiff's children considered J.H. their "dad".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Bowler prepared the plaintiff's 2013 income tax return. She testified that the plaintiff purchased a truck in order to perform her employment obligations with Canada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cross-examination, Ms. Bowler confirmed that the employment income declared on behalf of the plaintiff for 2013 was from June 1 to December 31,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Bowler testified that she has prepared income tax returns since 2000 and has done the plaintiff's tax returns for a few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Bowler was aware that J.H. was involved in another relationship in the summer of 2009. Ms. Bowler was aware that the plaintiff and J.H. had a lot of debt.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Sheldon Waldie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Sheldon Waldie is the brother of the plaintiff. He is an equipment operator and has known J.H. since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testified that the plaintiff and J.H. had a relationship like a regular family. He testified that the plaintiff's youngest child called J.H. "dad" early on in the plaintiff's relationship with him though it took longer for the older child to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testified that he was surprised to learn that J.H. had an affair in 2009. He testified that he helped the plaintiff find a new residence near the end of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cross-examination, Mr. Waldie testified that he did not know what J.H.'s income was. He testified that J.H. would let the plaintiff work outside the home; however, he would not let her work at jobs where she was out of town. He did agree though that when the plaintiff's children were older she tried a number of times to work at camp jobs.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testified that she met with the defendant on September 15, 2010. The plaintiff went to that interview with a binder of documents which included all of her bills and assets as well as the Separation Agreement. She testified that the meeting with the defendant lasted about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confirmed that she drafted the Separation Agreement and it stated that she was married to 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testified that she told the defendant that J.H. was going to use the one year limitation period with regard to spousal support against her. She said the defendant told her that, as long as they were in negotiations, the limitation period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testified that in the meeting she told the defendant that she was in a common-law relationship with J.H. and that he made anywhere from $85,000 and up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notes made during the September 15, 2010 meeting indicate it was the plaintiff's view that J.H. made as much as $100,000. She testified this figure was based on J.H.'s previous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said that it was hard for her to remember everything that was discussed in that meeting because it was over five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testified that she placed her claim in the hands of the defendant and, in her view, she had retained him. The plaintiff said that there was very little communication between her and the defendant. She testified that they did not have J.H.'s income tax returns at the time of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testified that, on March 22, 2011, the defendant forwarded to her a letter from Hillside Law who was representing J.H. That letter was dated March 15, 2011 and contained a property settlement proposal as well as notification that the plaintiff's claim for spousal support was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testified that the defendant told her not to worry about the spousal support as he was working on it. The plaintiff testified that, had the defendant discussed the property settlement with her, she would have considered accepting that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testified that she applied for an equalization of the Canada Pension credits on her own. She also testified that she arranged for a bailiff to pick up a GMC pickup truck that was registered in her name but in the possession of 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testified that, when she and J.H. separated, she was earning approximately $700 to $800 net every two weeks. At that time, she was working at All West Glass Ltd. She also took employment with Statistics Canada. She testified that she was exhausted from working two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also testified that she suffers from a medical condition called hemochromatosis which is a condition caused by an excess of iron in the blood. This condition requires regular hospital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testified that, as part of the property settlement with J.H., he agreed not to pursue her for the costs associated with the appeal to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testified that her income for the years 2010 to 2013 was as follows: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 $26,100.30</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2011 -- $49,150.82</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2012 -- $32,865.20 (this consisted of $14,405.20 employment income and $18,430 in employment insurance benefits)</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 $7396.47 (this consisted of $3395 in employment insurance benefits, $136.94 in other income, and $3864.53 in net business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testified that in 2013 she was successful in securing a tender from Canada Post to deliver mail in Granisle, British Columbia. For that contract, she required a newer model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testified that she began dating J.H. in 1991. The plaintiff testified that the separation from J.H. caused her considerable stress given that he had left her for a younger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also testified that her oldest son was a troubled child. The plaintiff and J.H. had disagreements with regard to the plaintiff's older son. This was a source of conflict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testified that she was employed at when she was with J.H. She said that it was the preference of J.H. that she had an income but he also wanted her to stay at home and look after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testified that she requested the income tax information from J.H. Exhibit 2 in this proceeding includes the income tax returns for J.H. for the years 2005 to 2013. His total income for those years can be summarized as follows:</w:t>
      </w:r>
      <w:r>
        <w:rPr>
          <w:rFonts w:ascii="arial" w:eastAsia="arial" w:hAnsi="arial" w:cs="arial"/>
          <w:sz w:val="20"/>
          <w:lang w:val="en-US" w:eastAsia="en-US" w:bidi="ar-SA"/>
        </w:rPr>
        <w:cr/>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2005 -- $92,611 (total earnings-$86,666)</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2006 -- $82,062 (total earnings-$72,880)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 $89,432 (total earnings-$87,843)</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 $92,662 (total earnings-$88,915)</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2009 -- $93,460 (total earnings-$90,669)</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2010 -- $95,242 (total earnings-$92,770)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2011 -- $88,241 (total earnings-$89,050)</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2012 -- $116,092 (total earnings-$106,620)</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2013 -- $101,971 (total earnings-$102,558)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cross-examination, the plaintiff agreed that, when she first met J.H., she was collecting social assistance. The plaintiff also agreed that she never sought child support from her children's biological father. She also agreed that she never sought spousal support from her previous husband. She stated that she wanted to better herself and she achieved her high school diploma as well as some computer training while with 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also agreed that, for the income tax years 1990 to 2000, she filed as a single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was unable to say what the income of J.H. was when they first met. She thought that J.H., from the time they met until 2005, would have been making between $40,000 to $60,000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agreed that she settled all property issues with J.H. The plaintiff also agreed that Exhibit 3 in this proceeding was a fair and accurate description of the debts and assets of the plaintiff and J.H. at the time of their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Exhibit 3 shows that the total debts of the plaintiff and J.H. at the time of separation were $248,294.71. Their total assets were valued at $187,900. The plaintiff agreed that she has not made any payments on any portion of the joint debts. The plaintiff said that she has no money to pay off the debts despite the fact that she agreed to a consent order to be responsible for a portion of the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agreed that all of the various offers and counter offers from J.H. included her paying a portion of the matrimonial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cross-examination, the plaintiff agreed that in 2011 her income included work that she did for Rhyason Contracting. She agreed that in 2012 she worked for that company for approximately 2 1/2 months and made $14,436.20. She agreed that if she had stayed with the company she could have earned $70,000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agreed that she moved to Granisle in August 2012 to pursue a new romantic relationship. This was prior to her obtaining employment with Canada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the end of the plaintiff's case, her lawyer, Mr. Gansner, read in a number of passages from the examination for discovery of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is a lawyer who was called to the bar in British Columbia in 1985. He confirmed that he met the plaintiff for the first time on September 15, 2010. In his notes of that meeting, he recorded that the plaintiff was 46 years of age and had been in a 19 year common-law relationship with J.H. He also noted that the plaintiff told him that she made approximately $22,000 per year and that J.H. made between $85,000 and $100,000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also made note of the various debts of the plaintiff. He further testified that he was pretty sure that he put an "X" through the portion of the Separation Agreement where it said that the plaintiff and J.H. were married.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 testified that he could not say one way or another if he told the plaintiff to budget $200 a month for his legal services. He did say however that this did not make any sense to him. He said that his hourly rate at the time was approximately $250 and that the plaintiff was a private client not a legal aid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estimated that a one day hearing with regard to spousal support in provincial court would have cost approximately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was adamant that the plaintiff never told him during the initial meeting that J.H. intended to rely on the one year limitation as a defence to the spousal support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testified that Exhibit 4, which is a memo from his legal assistant dated February 24, 2011, was the first time that he realized that the limitation period had elapsed. He testified that he did not have any instructions from the plaintiff to proceed to court. He did, however, testify that the missed limitation period "came on my watch".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testified that, during the initial interview with the plaintiff on September 15, 2010, he drafted a letter to J.H. The purpose of the letter was to engage in negotiations with J.H. The following is the last sentence from that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don't hear from you within three weeks of the date of this letter, I will assume that I must secure spousal support for my client through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testified that one of the difficulties in negotiating spousal support in this case was the level of debt of the plaintiff and 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testified that he believed he had an estoppel argument against the limitation defence. It is clear from his evidence that, despite the Provincial Court and the Supreme Court rulings, he still to this day believes that argument should have been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estimates that he spent six to seven hours at most on the plaintiff's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October 14, 2010, the defendant received a letter from J.H. which included a letter from Copper Mountain Mining Corporation ("Copper Mountain"), which was the employer of J.H. The letter provided that J.H. received a base annual salary of $63,440 from Copper Mountain. J.H. proposed that he pay spousal support in the amount of $600 per month for a period of five years and that the plaintiff sign the GMC pickup truck over to J.H. and he would assume responsibility for the loan on that vehicle. Further, he proposed J.H. and the plaintiff would split the approximately $24,000 in joint debt and the matrimonial home would be sold and any proceeds would be split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response to the October 14, 2010 letter, the defendant drafted a counter proposal which offered $1000 per month in spousal support for a period of five years as well as the plaintiff assuming a proportionate share of the joint debt which amounted to 38% of that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counter proposal was not sent as the plaintiff required some time to consider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March 3, 2011, the defendant received instructions from the plaintiff and sent a revised counter proposal to J.H. This offer proposed a lump sum spousal support payment for the year 2010 in the amount of $6000 as well as $800 per month in spousal support commencing on January 1, 2011 and terminating in ten years. In addition, J.H. would assume all of the family debt. The matrimonial home would be sold and the net sales proceeds would be divided equally between J.H.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testified that, when he took the Separation Agreement from the plaintiff, he thought it was an accurate document. He disagreed that the plaintiff told him about the one year limitation when they met on September 15, 2010. He agreed that the plaintiff made it clear to him that she was in a common-law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cross-examination, the defendant did not agree that he should have filed an application for spousal support shortly after his initial meeting with the plaintiff. The defendant testified that he felt that it would be better to take the negotiations as far as they could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cross-examination, the defendant confirmed that he thought the spousal support claims were improperly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Contract/Duty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 concedes that he owed a duty of care to the plaintiff by virtue of his solicitor-client relationship with the plaintiff. However, the defendant argues that he was only retained to negotiate a resolution of the plaintiff's spousal support and property issues. The defendant also argues that he was never instructed by the plaintiff to commence an action against J.H. for spousal support until after the limitation period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argues that there is no air of reality to the plaintiff's evidence that she informed the defendant in their first meeting of September 15, 2010 that J.H. was going to use the one year limitation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agree with the defendant that the plaintiff's evidence regarding the one year limitation does not have the ring of truth to it. First, it makes no sense whatsoever that J.H. would tell the plaintiff of his strategy to use the one year limitation prior to that limitation period expiring. Also, the plaintiff did not specifically instruct the defendant to commence a court action until after the limitation period had expired. If the plaintiff was alive to this issue as early as September 2010, in my view, she would have been more concerned about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also argues that there is some evidence that the plaintiff separated from J.H. before September 2009. I do not accept this argument. This argument is based on the fact that, during the Provincial Court hearing in front of Judge Birnie, J.H.'s lawyer made a submission to that effect. There is no evidence before this Court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also argues that the Separation Agreement prepared by the plaintiff was misleading and confusing because it suggested that the plaintiff and J.H. were married.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do not accept this argument because the defendant's evidence made it clear that he knew the plaintiff and J.H. were in a common-law relationship as of the first meeting of September 15, 2010 that he had with the plaintiff. Also, the defendant testified that he is likely the person that put an "X" through that portion of the Separation Agreement that stated that the plaintiff and J.H. were married.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Newton v. Marzban</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2008 BCSC 328</w:t>
        </w:r>
      </w:hyperlink>
      <w:r>
        <w:rPr>
          <w:rFonts w:ascii="arial" w:eastAsia="arial" w:hAnsi="arial" w:cs="arial"/>
          <w:color w:val="000000"/>
          <w:sz w:val="20"/>
          <w:lang w:val="en-US" w:eastAsia="en-US" w:bidi="ar-SA"/>
        </w:rPr>
        <w:t xml:space="preserve"> at paras. 605-606, in dealing with the law with respect to the standard of care in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the court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[605] In </w:t>
      </w:r>
      <w:r>
        <w:rPr>
          <w:rFonts w:ascii="arial" w:eastAsia="arial" w:hAnsi="arial" w:cs="arial"/>
          <w:i/>
          <w:color w:val="000000"/>
          <w:sz w:val="20"/>
          <w:lang w:val="en-US" w:eastAsia="en-US" w:bidi="ar-SA"/>
        </w:rPr>
        <w:t>Millican v. Tiffin Holdings Ltd</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(1964), 49 D.L.R. (2d) 216</w:t>
        </w:r>
      </w:hyperlink>
      <w:r>
        <w:rPr>
          <w:rFonts w:ascii="arial" w:eastAsia="arial" w:hAnsi="arial" w:cs="arial"/>
          <w:color w:val="000000"/>
          <w:sz w:val="20"/>
          <w:lang w:val="en-US" w:eastAsia="en-US" w:bidi="ar-SA"/>
        </w:rPr>
        <w:t xml:space="preserve"> at 219 (Alta. T.D.) [</w:t>
      </w:r>
      <w:r>
        <w:rPr>
          <w:rFonts w:ascii="arial" w:eastAsia="arial" w:hAnsi="arial" w:cs="arial"/>
          <w:i/>
          <w:color w:val="000000"/>
          <w:sz w:val="20"/>
          <w:lang w:val="en-US" w:eastAsia="en-US" w:bidi="ar-SA"/>
        </w:rPr>
        <w:t>Millican</w:t>
      </w:r>
      <w:r>
        <w:rPr>
          <w:rFonts w:ascii="arial" w:eastAsia="arial" w:hAnsi="arial" w:cs="arial"/>
          <w:color w:val="000000"/>
          <w:sz w:val="20"/>
          <w:lang w:val="en-US" w:eastAsia="en-US" w:bidi="ar-SA"/>
        </w:rPr>
        <w:t xml:space="preserve">], aff'd </w:t>
      </w:r>
      <w:hyperlink r:id="rId571" w:history="1">
        <w:r>
          <w:rPr>
            <w:rFonts w:ascii="arial" w:eastAsia="arial" w:hAnsi="arial" w:cs="arial"/>
            <w:i/>
            <w:color w:val="0077CC"/>
            <w:sz w:val="20"/>
            <w:u w:val="single"/>
            <w:shd w:val="clear" w:color="auto" w:fill="FFFFFF"/>
            <w:lang w:val="en-US" w:eastAsia="en-US" w:bidi="ar-SA"/>
          </w:rPr>
          <w:t>[1967] S.C.R. 183</w:t>
        </w:r>
      </w:hyperlink>
      <w:r>
        <w:rPr>
          <w:rFonts w:ascii="arial" w:eastAsia="arial" w:hAnsi="arial" w:cs="arial"/>
          <w:color w:val="000000"/>
          <w:sz w:val="20"/>
          <w:lang w:val="en-US" w:eastAsia="en-US" w:bidi="ar-SA"/>
        </w:rPr>
        <w:t>, Riley J. provided this often-cited list of a lawyer's obligations: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skillful and careful.</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his client on all matters relevant to his retainer, so far as may be reasonably necessary.</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the interests of his client.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out his instructions by all proper means.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consult with his client on all questions of doubt which do not fall within the express or implied discretion left to him.</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keep his client informed to such an extent as may be reasonably necessary, according to the same criteria.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[606] Halfyard J. in </w:t>
      </w:r>
      <w:r>
        <w:rPr>
          <w:rFonts w:ascii="arial" w:eastAsia="arial" w:hAnsi="arial" w:cs="arial"/>
          <w:i/>
          <w:color w:val="000000"/>
          <w:sz w:val="20"/>
          <w:lang w:val="en-US" w:eastAsia="en-US" w:bidi="ar-SA"/>
        </w:rPr>
        <w:t>Van Duzen v. Lecovin</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2004 BCSC 1333</w:t>
        </w:r>
      </w:hyperlink>
      <w:r>
        <w:rPr>
          <w:rFonts w:ascii="arial" w:eastAsia="arial" w:hAnsi="arial" w:cs="arial"/>
          <w:color w:val="000000"/>
          <w:sz w:val="20"/>
          <w:lang w:val="en-US" w:eastAsia="en-US" w:bidi="ar-SA"/>
        </w:rPr>
        <w:t xml:space="preserve"> at para. 36 set out the standard of care applicable to a reasonably competent family law practitioner: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Would a lawyer who possessed reasonable knowledge of family law, and who had reasonable ability to use that knowledge in the practice of family law litigation, have done what the defendant omitted to do, or have avoided doing what the defendant did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evidence relating to the scope of the defendant's retainer is lacking at best. The defendant did not provide a written retainer agreement for the plaintiff nor did he specifically explain the costs associated with 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While I accept the defendant's argument that he was retained to achieve a resolution of the spousal support and property issues for the plaintiff, I do not accept that he was only retained to "negotiate" a settlement. I say that because the defendant's letters of September 15, 2010, November 26, 2010, and March 3, 2011 to J.H. all refer to the plaintiff commencing litigation if a resolution is not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argument that the plaintiff did not have the funds to pay for a hearing and that she would not likely have proceeded to court may have some applicability when assessing damages, however, in my view, this does not exonerate the defendant from the fact that he failed to protect the interests of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is an experienced family lawyer who did not take the appropriate precautions to diarize the one year limitation. Once the limitation period had expired, the plaintiff had no leverage to bargain for spousal support and no ability to go to court if a settlement could not be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accepting the plaintiff as a client, even if the retainer was only to negotiate a settlement, the defendant cannot stand idly by as the plaintiff's right to go to court expires.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the very least, the defendant had a duty to warn the plaintiff of the limitation date which any competent family lawyer would have been aware of. The defendant did not take the simple steps of filing an application for spousal support or instructing the plaintiff to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breached his duty of care to protect his client's interests and by doing so breached his contract to provide appropriate necessary legal services to the plaintiff and protect her from losing her claim for spousal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also argues that the defendant breached his fiduciary duty to her. In particular the plaintiff argues that the advice given by the defendant and the applications to apply to the Provincial Court and then the Supreme Court after the limitation period had expired were futile and not made in her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also argues that the defendant's advice to apply for spousal support in court delayed the ultimate settlement of her property and debt issues. The plaintiff argues that the defendant's advice was made to conceal his own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 v. Critchley</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at 116 (C.A.), the court said the following with regard to recovery based upon fiduciary duties: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it would be a principled approach to confine recovery based upon fiduciary duties to cases of the kind where, in addition to other usual requirements such as vulnerability and the exercise of a discretion, the defendant personally takes advantage of a relationship of trust or confidence for his or her direct or indirect personal advantage. This excludes from the reach of fiduciary duties many cases that can be resolved upon a tort or contract analysis, has the advantage of greater certainty, and also protects honest persons doing their best in difficult circumstances from the shame and stigma of disloyalty or dishonesty. In effect, this redirects fiduciary law back towards where it was before this experiment began but with much broader remedies, such as damages, when fiduciary duties are actually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my view, the defendant was an honest and careful witness. As I have already said in these reasons, he clearly believed that the limitation argument should not have succeeded. I do not find that any of the defendant's advice or actions in executing his duties as the plaintiff's lawyer were given or performed to obtain a direct or indirect personal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plaintiff's claim for breach of fiduciary duty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Both parties agree that a "trial within a trial" is required in assessing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This approach was approved of in </w:t>
      </w:r>
      <w:r>
        <w:rPr>
          <w:rFonts w:ascii="arial" w:eastAsia="arial" w:hAnsi="arial" w:cs="arial"/>
          <w:i/>
          <w:color w:val="000000"/>
          <w:sz w:val="20"/>
          <w:lang w:val="en-US" w:eastAsia="en-US" w:bidi="ar-SA"/>
        </w:rPr>
        <w:t>Fisher v. Knibbe</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1992 ABCA 121</w:t>
        </w:r>
      </w:hyperlink>
      <w:r>
        <w:rPr>
          <w:rFonts w:ascii="arial" w:eastAsia="arial" w:hAnsi="arial" w:cs="arial"/>
          <w:color w:val="000000"/>
          <w:sz w:val="20"/>
          <w:lang w:val="en-US" w:eastAsia="en-US" w:bidi="ar-SA"/>
        </w:rPr>
        <w:t xml:space="preserve"> at para. 12, </w:t>
      </w:r>
      <w:hyperlink r:id="rId574" w:history="1">
        <w:r>
          <w:rPr>
            <w:rFonts w:ascii="arial" w:eastAsia="arial" w:hAnsi="arial" w:cs="arial"/>
            <w:i/>
            <w:color w:val="0077CC"/>
            <w:sz w:val="20"/>
            <w:u w:val="single"/>
            <w:shd w:val="clear" w:color="auto" w:fill="FFFFFF"/>
            <w:lang w:val="en-US" w:eastAsia="en-US" w:bidi="ar-SA"/>
          </w:rPr>
          <w:t>(1992), 125 A.R. 219</w:t>
        </w:r>
      </w:hyperlink>
      <w:r>
        <w:rPr>
          <w:rFonts w:ascii="arial" w:eastAsia="arial" w:hAnsi="arial" w:cs="arial"/>
          <w:color w:val="000000"/>
          <w:sz w:val="20"/>
          <w:lang w:val="en-US" w:eastAsia="en-US" w:bidi="ar-SA"/>
        </w:rPr>
        <w:t xml:space="preserve"> (C.A.), where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conducting the "trial within a trial" to determine what damages, if any, a negligent solicitor is liable for missing a limitation period, three results are possible. First, the trial judge could find that had the case gone to trial the plaintiff would have been successful and in such case 100% of the lost damages would be awarded against the solicitor. Second, the trial judge could find that the plaintiff would not have been successful therefore only nominal damages may be awarded against the solicitor. Finally, where time has passed to such an extent that a "trial within a trial" would be impossible, then the court must to the best of its ability calculate the value of the opportunity lost to the plaintiff and award damages against the solicitor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is currently 51 years of age, having been born on January 23, 1964. She was 46 years of age at the date of separation from 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J.H. is currently 50 years of age, having been born on March 27, 1965. He was 45 years of age at the date of separation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argues that her relationship with J.H. was a long-term common-law relationship of some 19 years. She argues that she stayed at home and cared for her children and maintained the family residence while J.H. worked primarily in camp jobs. She argues that J.H. made considerable more money than her during the relationship and has continued to do so since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argues that but for the error of the defendant she would have been successful in a spousal support claim for an indefinite period of time. The plaintiff argues that she should be awarded damages equivalent to a lump sum spousal support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has provided a number of calculations for lump sum spousal support based on the petitioner having an income of $20,000 and J.H. having an income of $91,851. These calculations assume three different spousal support durations. One of 13 years and six months, another of 20 years, and an indefinite period of spousal support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Based on the above noted calculations, the midpoint range for lump sum spousal support is between $208,380 and $577,128.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is seeking $500,000 in damages for breach of contract and breach of fiduciary duty. The plaintiff is also seeking damages for stress and emotional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 argues that because the plaintiff is claiming for loss of cause of action the appropriate method of assessment of damages is to determine what the court would have awarded at the time. In this case, the defendant argues that the appropriate date would be December 19, 2011 which is the date that the spousal support application was first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 argues that, in considering the plaintiff's claim for spousal support, the length of cohabitation period is important. The defendant argues that, while the plaintiff and J.H. may have been in a dating relationship for a number of years, they were not in a "marriage-like relationship" until 2000. The defendant says this because the plaintiff on her tax returns admitted that she filed as a single person until approximately 2000. Also, the Separation Agreement that the plaintiff drafted and brought to the defendant had a marriage date of July 1, 2000. Finally, the plaintiff and J.H. purchased their first home together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 argues that J.H. had begun new employment post-separation in June 2010 and his base salary at that time was $63,440 per year. The defendant acknowledges that post-separation J.H. has made between $90,000 and $100,000. However, he also points to the fact that the income of J.H. is subject to such contingencies as shut downs in the mining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 points to the fact that the plaintiff earned $26,100 in 2010 and $49,150 in 2011. The defendant argues that, based on the plaintiff's income while she was working at Rhyason Contracting, in 2011 she could have made approximately $70,000 per year had she stayed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currently has a five-year contract with Canada Post, earning approximately $40,000 per year. On the plaintiff's evidence, this job has not been as financially rewarding as she thought it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argues that I should take into account the fact that J.H. was not called as a witness and the court only has the plaintiff's evidence with regard to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 also argues that the plaintiff, throughout her relationship with J.H., was responsible for the support of her two children and that the plaintiff has not been disadvantaged as a result of her relationship with J.H. During the relationship, the plaintiff completed her GED and took some computer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 argues that the plaintiff and J.H. had debts that exceeded their assets at the time of separation. The defendant argues that J.H. has taken on the responsibility of the majority of the family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 argues that, had the plaintiff pursued a claim for spousal support, she would not have been able to establish entitlement on a compensatory basis. The defendant argues that at best the plaintiff may have been able to establish entitlement on a modest needs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 argues that if the court was to accept that the plaintiff was entitled to a needs-based award for spousal support the court should use the plaintiff's and J.H.'s incomes from 2011. In addition, the court should take into account the considerable amount of debt that J.H. assumed and was paying.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 argues that the plaintiff moved to Granisle to pursue a new relationship. The plaintiff testified that the person she was living with in Granisle was more like a roommate. I do not accept the plaintiff's explanation for two reasons. First, the plaintiff left a lucrative job at Rhyason Contracting to move to Granisle where she initially did not have employment. Second, the plaintiff referred to this new person as her spouse in her Canada Post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 argues that damages are meant to place the plaintiff in the same position she would have been in had the error not occurred. The defendant submits that the plaintiff would not have received a lump sum spousal support award had she been able to move forward with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 argues that the plaintiff's claim should not be larger just because it cannot be made against J.H. In that regard the defendant argues that the various offers to settle from the plaintiff to J.H.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 states that any award to the plaintiff should be reduced by the amount of legal fees that would have been required to take the matter to a hearing. The evidence of the defendant was this would be approximately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Finally, the defendant argues that the plaintiff's claims for damages for mental distress should be dismissed. The defendant argues that this claim was not made out in the pleadings or in the evidence. The defendant says that the plaintiff had a number of stressors in her life including the fact that her relationship with J.H. disintegrated. Also there is no evidence of any psychological injury or evidence establishing a causal nexus between the actions of the defendant and the plaintiff's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coming to a decision on damages, the length of the relationship of the plaintiff and J.H. is important. I do not accept the plaintiff's evidence that she was in a "marriage-like relationship" with J.H. for 19 years. Taking into account all of the evidence, I find that she was in a marriage-like relationship for 9 1/2 years. I say this because she claimed as a single person on her income tax returns up until the year 2000 and she stated in the Separation Agreement that she married J.H. on July 1, 2000. I also find that the plaintiff and J.H. separated in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the case of the plaintiff and J.H., any action for spousal support would have been brought pursuant to the FRA. Section 89 of the FRA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(1) A spouse is responsible and liable for the support and maintenance of the other spouse having regard to the following:</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role of each spouse in their family;</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express or implied agreement between the spouses that one has a responsibility to support and maintain the other;</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custodial obligations respecting a child;</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and capacity of, and the reasonable efforts made by, either or both spouses to support themselves;</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economic circumstances.</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subsection (1), a spouse or former spouse is required to be self-sufficient in relation to the other spouse or former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There are three models for entitlement to spousal support. Those being compensatory, non-compensatory or needs-based, and contractual. In this case, there is no evidence of any contract and as such I will only consider the compensatory and needs-based models.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Lee v. Lee</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2014 BCCA 383</w:t>
        </w:r>
      </w:hyperlink>
      <w:r>
        <w:rPr>
          <w:rFonts w:ascii="arial" w:eastAsia="arial" w:hAnsi="arial" w:cs="arial"/>
          <w:color w:val="000000"/>
          <w:sz w:val="20"/>
          <w:lang w:val="en-US" w:eastAsia="en-US" w:bidi="ar-SA"/>
        </w:rPr>
        <w:t xml:space="preserve"> at paras. 25-26, in discussing the law with regard to entitlement for spousal support,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judge noted that the Supreme Court of Canada has recognized three conceptual bases, or "models", for entitlement to spousal support, namely compensatory, needs-based, and contractual. (Since the parties did not enter into any agreement in this case, I need not discuss the contractual model.) He cited a long passage from </w:t>
      </w:r>
      <w:r>
        <w:rPr>
          <w:rFonts w:ascii="arial" w:eastAsia="arial" w:hAnsi="arial" w:cs="arial"/>
          <w:i/>
          <w:color w:val="000000"/>
          <w:sz w:val="20"/>
          <w:lang w:val="en-US" w:eastAsia="en-US" w:bidi="ar-SA"/>
        </w:rPr>
        <w:t>Moge v. Moge</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[1992] 3 S.C.R. 813</w:t>
        </w:r>
      </w:hyperlink>
      <w:r>
        <w:rPr>
          <w:rFonts w:ascii="arial" w:eastAsia="arial" w:hAnsi="arial" w:cs="arial"/>
          <w:color w:val="000000"/>
          <w:sz w:val="20"/>
          <w:lang w:val="en-US" w:eastAsia="en-US" w:bidi="ar-SA"/>
        </w:rPr>
        <w:t xml:space="preserve"> at 864-65] which ended with the following observations: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equitable sharing of the economic consequences of marriage or marriage breakdown, however, </w:t>
      </w:r>
      <w:r>
        <w:rPr>
          <w:rFonts w:ascii="arial" w:eastAsia="arial" w:hAnsi="arial" w:cs="arial"/>
          <w:color w:val="000000"/>
          <w:sz w:val="20"/>
          <w:u w:val="single"/>
          <w:lang w:val="en-US" w:eastAsia="en-US" w:bidi="ar-SA"/>
        </w:rPr>
        <w:t>is not a general tool of redistribution which is activated by the mere fact of marriage</w:t>
      </w:r>
      <w:r>
        <w:rPr>
          <w:rFonts w:ascii="arial" w:eastAsia="arial" w:hAnsi="arial" w:cs="arial"/>
          <w:color w:val="000000"/>
          <w:sz w:val="20"/>
          <w:lang w:val="en-US" w:eastAsia="en-US" w:bidi="ar-SA"/>
        </w:rPr>
        <w:t xml:space="preserve">. Nor ought it to be. It is now uncontentious in our law and accepted by both the majority and the minority in Messier v. Delage, </w:t>
      </w:r>
      <w:hyperlink r:id="rId577" w:history="1">
        <w:r>
          <w:rPr>
            <w:rFonts w:ascii="arial" w:eastAsia="arial" w:hAnsi="arial" w:cs="arial"/>
            <w:i/>
            <w:color w:val="0077CC"/>
            <w:sz w:val="20"/>
            <w:u w:val="single"/>
            <w:shd w:val="clear" w:color="auto" w:fill="FFFFFF"/>
            <w:lang w:val="en-US" w:eastAsia="en-US" w:bidi="ar-SA"/>
          </w:rPr>
          <w:t>[1983] 2 S.C.R. 401</w:t>
        </w:r>
      </w:hyperlink>
      <w:r>
        <w:rPr>
          <w:rFonts w:ascii="arial" w:eastAsia="arial" w:hAnsi="arial" w:cs="arial"/>
          <w:color w:val="000000"/>
          <w:sz w:val="20"/>
          <w:lang w:val="en-US" w:eastAsia="en-US" w:bidi="ar-SA"/>
        </w:rPr>
        <w:t xml:space="preserve"> supra, at pp. 416-17, </w:t>
      </w:r>
      <w:r>
        <w:rPr>
          <w:rFonts w:ascii="arial" w:eastAsia="arial" w:hAnsi="arial" w:cs="arial"/>
          <w:color w:val="000000"/>
          <w:sz w:val="20"/>
          <w:u w:val="single"/>
          <w:lang w:val="en-US" w:eastAsia="en-US" w:bidi="ar-SA"/>
        </w:rPr>
        <w:t xml:space="preserve">that marriage </w:t>
      </w:r>
      <w:r>
        <w:rPr>
          <w:rFonts w:ascii="arial" w:eastAsia="arial" w:hAnsi="arial" w:cs="arial"/>
          <w:i/>
          <w:color w:val="000000"/>
          <w:sz w:val="20"/>
          <w:u w:val="single"/>
          <w:lang w:val="en-US" w:eastAsia="en-US" w:bidi="ar-SA"/>
        </w:rPr>
        <w:t>per se</w:t>
      </w:r>
      <w:r>
        <w:rPr>
          <w:rFonts w:ascii="arial" w:eastAsia="arial" w:hAnsi="arial" w:cs="arial"/>
          <w:color w:val="000000"/>
          <w:sz w:val="20"/>
          <w:u w:val="single"/>
          <w:lang w:val="en-US" w:eastAsia="en-US" w:bidi="ar-SA"/>
        </w:rPr>
        <w:t xml:space="preserve"> does not automatically entitle a spouse to support</w:t>
      </w:r>
      <w:r>
        <w:rPr>
          <w:rFonts w:ascii="arial" w:eastAsia="arial" w:hAnsi="arial" w:cs="arial"/>
          <w:color w:val="000000"/>
          <w:sz w:val="20"/>
          <w:lang w:val="en-US" w:eastAsia="en-US" w:bidi="ar-SA"/>
        </w:rPr>
        <w:t>. Presumably, there will be the occasional marriage where both spouses maximize their earning potential by working outside the home, pursuing economic and educational opportunities in a similar manner, dividing up the domestic labor identically, and either making no economic sacrifices for the other or, more likely, making them equally</w:t>
      </w:r>
      <w:r>
        <w:rPr>
          <w:rFonts w:ascii="arial" w:eastAsia="arial" w:hAnsi="arial" w:cs="arial"/>
          <w:color w:val="000000"/>
          <w:sz w:val="20"/>
          <w:u w:val="single"/>
          <w:lang w:val="en-US" w:eastAsia="en-US" w:bidi="ar-SA"/>
        </w:rPr>
        <w:t>. In such a utopian scenario there might be no apparent call for compensation. The spouses are able to make a clean break and continue on with their respective lives</w:t>
      </w:r>
      <w:r>
        <w:rPr>
          <w:rFonts w:ascii="arial" w:eastAsia="arial" w:hAnsi="arial" w:cs="arial"/>
          <w:color w:val="000000"/>
          <w:sz w:val="20"/>
          <w:lang w:val="en-US" w:eastAsia="en-US" w:bidi="ar-SA"/>
        </w:rPr>
        <w:t>. Such cases would appear to be rare. In most marriages in which both partners make economic sacrifices and share domestic responsibilities, or where one spouse has suffered economic losses in order to enable the other spouse to further a career, their role should be considered in the spousal support order.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compensatory model had, he observed, been "expanded" by the Supreme Court in </w:t>
      </w:r>
      <w:r>
        <w:rPr>
          <w:rFonts w:ascii="arial" w:eastAsia="arial" w:hAnsi="arial" w:cs="arial"/>
          <w:i/>
          <w:color w:val="000000"/>
          <w:sz w:val="20"/>
          <w:lang w:val="en-US" w:eastAsia="en-US" w:bidi="ar-SA"/>
        </w:rPr>
        <w:t>Bracklow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Bracklow</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[1999] 1 S.C.R. 420</w:t>
        </w:r>
      </w:hyperlink>
      <w:r>
        <w:rPr>
          <w:rFonts w:ascii="arial" w:eastAsia="arial" w:hAnsi="arial" w:cs="arial"/>
          <w:color w:val="000000"/>
          <w:sz w:val="20"/>
          <w:lang w:val="en-US" w:eastAsia="en-US" w:bidi="ar-SA"/>
        </w:rPr>
        <w:t xml:space="preserve">], to which I will return below. He also noted the description of this approach given by the Court in </w:t>
      </w:r>
      <w:r>
        <w:rPr>
          <w:rFonts w:ascii="arial" w:eastAsia="arial" w:hAnsi="arial" w:cs="arial"/>
          <w:i/>
          <w:color w:val="000000"/>
          <w:sz w:val="20"/>
          <w:lang w:val="en-US" w:eastAsia="en-US" w:bidi="ar-SA"/>
        </w:rPr>
        <w:t>Barton v. Ophus</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2009 BCSC 858</w:t>
        </w:r>
      </w:hyperlink>
      <w:r>
        <w:rPr>
          <w:rFonts w:ascii="arial" w:eastAsia="arial" w:hAnsi="arial" w:cs="arial"/>
          <w:color w:val="000000"/>
          <w:sz w:val="20"/>
          <w:lang w:val="en-US" w:eastAsia="en-US" w:bidi="ar-SA"/>
        </w:rPr>
        <w:t xml:space="preserve"> [at para. 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non-compensatory approach is based upon the theory that primary responsibility falls on the former spouse, rather than the government, to provide for his or her former partner. This approach views marriage as a relationship of interdependence and one of permanence and challenges the notion that spouses can clearly or easily disentangle themselves from the relationship. In certain instances where self-sufficiency is not possible, or compensation is not applicable, "a support obligation may nonetheless flow from the marriage relationship itself": </w:t>
      </w:r>
      <w:r>
        <w:rPr>
          <w:rFonts w:ascii="arial" w:eastAsia="arial" w:hAnsi="arial" w:cs="arial"/>
          <w:i/>
          <w:color w:val="000000"/>
          <w:sz w:val="20"/>
          <w:lang w:val="en-US" w:eastAsia="en-US" w:bidi="ar-SA"/>
        </w:rPr>
        <w:t>Bracklow</w:t>
      </w:r>
      <w:r>
        <w:rPr>
          <w:rFonts w:ascii="arial" w:eastAsia="arial" w:hAnsi="arial" w:cs="arial"/>
          <w:color w:val="000000"/>
          <w:sz w:val="20"/>
          <w:lang w:val="en-US" w:eastAsia="en-US" w:bidi="ar-SA"/>
        </w:rPr>
        <w:t xml:space="preserve"> at para.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compensatory model for entitlement to spousal support in my view does not apply to this case. Both the plaintiff and J.H. worked outside of the home throughout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and J.H. did not have any children together. In my view, the evidence is conflicting as to whether or not J.H. assumed a parental role with the plaintiff's children. While there was evidence that the plaintiff's youngest child called J.H. "dad" there was also evidence that there was conflict in the relationship because of the plaintiff's older child. I do not have any evidence from J.H. as to what role he assumed with regard to the plaintiff's children. Based on the evidence, I do not find that J.H. assumed a parental role over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evidence is that the plaintiff was required to support her children as well as work outside of the home and contribute to the household expenses. Given their assets and liabilities, both the plaintiff and J.H. were clearly living paycheck to paycheck.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upgraded her education and vocational skills during her relationship with J.H. Neither J.H. nor the plaintiff gained any particular advantage or disadvantage with regard to their careers as a result of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did not contribute financially or through her own services any more than J.H. to the accumulation of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was not economically disadvantaged by her relationship with J.H. and J.H. did not achieve any particular economic advantage as a result of his relationship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However, the plaintiff would have been entitled to spousal support based on need. The plaintiff, at the time of her separation from J.H., was not economically self-sufficient.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coming to a decision on what an appropriate amount of spousal support would have been but for the error on the part of the defendant in failing to protect the plaintiff's right to spousal support, the court is in a unique position. In my view, not only can I consider the duration of the relationship, the respective incomes of the plaintiff and J.H., and the matrimonial assets but I can also consider the various offers made by J.H. and the plaintiff as well as the likelihood that the plaintiff and J.H. would have settled the spousal support issue if the limitation period had not elapsed.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If the limitation period had not elapsed and an application for spousal support had been filed to preserve the limitation period, in my view, the plaintiff and J.H. would have settled this matter in early 2011 or had a court hearing before the end of 2011. In either case, the incomes that would have been considered would not be those from 2011 as suggested by the defendant but their incomes from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2010, the defendant's line 150 income was $95,242 and the plaintiff's line 150 income was $26,100. Taking into account a 9 1/2 year relationship, the </w:t>
      </w:r>
      <w:r>
        <w:rPr>
          <w:rFonts w:ascii="arial" w:eastAsia="arial" w:hAnsi="arial" w:cs="arial"/>
          <w:i/>
          <w:color w:val="000000"/>
          <w:sz w:val="20"/>
          <w:lang w:val="en-US" w:eastAsia="en-US" w:bidi="ar-SA"/>
        </w:rPr>
        <w:t>Spousal Support Advisory Guidelines</w:t>
      </w:r>
      <w:r>
        <w:rPr>
          <w:rFonts w:ascii="arial" w:eastAsia="arial" w:hAnsi="arial" w:cs="arial"/>
          <w:color w:val="000000"/>
          <w:sz w:val="20"/>
          <w:lang w:val="en-US" w:eastAsia="en-US" w:bidi="ar-SA"/>
        </w:rPr>
        <w:t xml:space="preserve"> suggest a low range of $821 per month, a medium-range of $950 per month, and a high-end range of $1095 per month. The duration would be 4.75 to 9.5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Neither the plaintiff nor J.H. was in a financial position for extended litigation. Both sides were willing to negotiate. The March 3, 2011 offer from the plaintiff was for a lump sum payment of $6000 for the year 2010 as well as $800 per month for a period of 10 years. Based on an e-mail the plainitiff sent to the defendant on February 24, 2011, it is also clear that the plaintiff would have accepted $600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issue from J.H.'s perspective in terms of settling the matrimonial issues with the plaintiff was the amount of debt that the parties had. Given that he assumed the majority of the debt after the separation, in my view, J.H. would not have agreed to an offer to pay a lump sum for 2010 nor would a court have ordered lump sum maintenance in these circumstances. There was no ability on the part of J.H. to pay a lump sum maintenance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Both the plaintiff and J.H. have increased their incomes since 2010, however, given the circumstances of this case, it is my view that whether they went to court or settled it on their own this would have included a fixed-term duration for spousal support. I have not considered their current incomes in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Taking into account what the plaintiff would have been entitled to for spousal support pursuant to the </w:t>
      </w:r>
      <w:r>
        <w:rPr>
          <w:rFonts w:ascii="arial" w:eastAsia="arial" w:hAnsi="arial" w:cs="arial"/>
          <w:i/>
          <w:color w:val="000000"/>
          <w:sz w:val="20"/>
          <w:lang w:val="en-US" w:eastAsia="en-US" w:bidi="ar-SA"/>
        </w:rPr>
        <w:t>Spousal Support Advisory Guidelines</w:t>
      </w:r>
      <w:r>
        <w:rPr>
          <w:rFonts w:ascii="arial" w:eastAsia="arial" w:hAnsi="arial" w:cs="arial"/>
          <w:color w:val="000000"/>
          <w:sz w:val="20"/>
          <w:lang w:val="en-US" w:eastAsia="en-US" w:bidi="ar-SA"/>
        </w:rPr>
        <w:t xml:space="preserve"> and the plaintiff's and J.H.'s respective offers to settle, in my view the plaintiff is entitled to damages equivalent to periodic spousal support in the amount of $800 per month for seven years. This would equate to $67,200 in spousal support. The plaintiff would have had to pay income tax on any periodic spousal support award. A deduction of 20% is fair given the plaintiff's income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result, on the issue of spousal support, I award the plaintiff $53,760 as damages for the defendant's breach of contract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is also seeking damages for mental distress. There was no expert evidence in this case opining to any psychological disorder of the plaintiff. There is also no evidence to support the plaintiff's contention that the defendant's actions caused her anything more than some short-term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would award the plaintiff nominal damages for mental distress in the amount of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 seeks a reduction from any damages award for legal fees that the plaintiff would have incurred had she proceeded to trial on her spousal support claim. I find it unlikely that the plaintiff would have proceeded to court but rather she would have negotiated a settlement. The evidence from the defendant is that a hearing for spousal support would have cost the plaintiff $5000. The defendant also testified that his hourly rate was $250 and had he been able to settle this matter he would have spent between seven and eight hours on the file. In my view a fair deduction for legal fees would be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is entitled to damages in the amount of $53,760 for breach of contract. The plaintiff is also entitled to $1000 for damages for mental distress. There will be a deduction from this amount of $2500 for legal fees. Therefore, the total of the plaintiff's award is $52,260.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Unless there are matters of which I am not aware, my view is that the plaintiff is entitled to her costs at Scale B. If either party seeks a different costs award, they have leave to bring this matter back in front of me if need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 TINDALE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27,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Tindale dated May 21, 2015 have been corrected as follows: On the first page of the reasons for judgment, the trial date has been changed from November 3 - 7, 2015 and November 27, 2015 to November 3 - 7, 2014 and November 27, 2014.</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3"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Lieberman v. Business Development Bank of Canada, [2006] B.C.J. No. 337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21 - 24,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L041024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242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50 C.C.P.B. 176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146 A.C.W.S. (3d) 772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370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Lucien Lieberman and Marjory Morris, plaintiffs, and Business Development Bank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4"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1" w:name="Keywords_24"/>
      <w:bookmarkEnd w:id="161"/>
      <w:r>
        <w:rPr>
          <w:rFonts w:ascii="arial" w:eastAsia="arial" w:hAnsi="arial" w:cs="arial"/>
          <w:b/>
          <w:color w:val="000000"/>
          <w:sz w:val="20"/>
          <w:lang w:val="en-US" w:eastAsia="en-US" w:bidi="ar-SA"/>
        </w:rPr>
        <w:t>Civil procedure — Parties — Class of representative actions — Certification — Action by retired employees of bank residing in British Columbia, residing in British Columbia, certified as class proceeding — Representative plaintiff was actively involved in representing interests of retired employees — Class Proceedings Act, s. 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Actions — Proceedings taken in wrong court or wrong procedure used — Bank failed to establish Quebec was more appropriate forum for action than British Columbia — Residence of parties, cost of litigation and application of substantive law weighed against moving action to Quebec — Bank was national undertaking — No parallel proceedings were taking place in Quebec.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2" w:name="Case Summary_22"/>
            <w:bookmarkEnd w:id="1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Development Bank had headquarters in Quebec -- Bank had 88 branch operations across Canada -- Employee pension plan was administered in Quebec -- Retired employees of Bank alleged Bank breached fiduciary duties to them and other beneficiaries of Bank pension plan -- Retired employees concerned with amendments to pension plan to their detriment -- Two retired employees, including Lieberman, living in British Columbia commenced action against Bank -- Sought certification of action as class proceeding -- Bank did not file defence, applied for order staying action on grounds British Columbia court should decline to exercise jurisdiction -- Certification application allowed -- Lieberman was appropriate representative plaintiff, as he was actively involved in representing interests of retired members of pension plan -- Application by Bank dismissed -- Bank did not establish Quebec was more appropriate forum for action -- Residence of parties, application of substantive law, and cost of litigation weighed against moving litigation to Quebec -- Bank was national undertaking -- No parallel proceedings were taking place in Quebec.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3" w:name="Legislation Cited_17"/>
      <w:bookmarkEnd w:id="1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5"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14(6.1)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Development Bank of Canada Act, </w:t>
      </w:r>
      <w:hyperlink r:id="rId587" w:history="1">
        <w:r>
          <w:rPr>
            <w:rFonts w:ascii="arial" w:eastAsia="arial" w:hAnsi="arial" w:cs="arial"/>
            <w:i/>
            <w:color w:val="0077CC"/>
            <w:sz w:val="20"/>
            <w:u w:val="single"/>
            <w:shd w:val="clear" w:color="auto" w:fill="FFFFFF"/>
            <w:lang w:val="en-US" w:eastAsia="en-US" w:bidi="ar-SA"/>
          </w:rPr>
          <w:t>S.C. 1995, c. 28, s. 4</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Civil Service Superannuation Act, R.S.C. 1952, c.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374" w:history="1">
        <w:r>
          <w:rPr>
            <w:rFonts w:ascii="arial" w:eastAsia="arial" w:hAnsi="arial" w:cs="arial"/>
            <w:i/>
            <w:color w:val="0077CC"/>
            <w:sz w:val="20"/>
            <w:u w:val="single"/>
            <w:shd w:val="clear" w:color="auto" w:fill="FFFFFF"/>
            <w:lang w:val="en-US" w:eastAsia="en-US" w:bidi="ar-SA"/>
          </w:rPr>
          <w:t>R.S.B.C. 1996, c. 50, s. 4</w:t>
        </w:r>
      </w:hyperlink>
      <w:r>
        <w:rPr>
          <w:rFonts w:ascii="arial" w:eastAsia="arial" w:hAnsi="arial" w:cs="arial"/>
          <w:color w:val="000000"/>
          <w:sz w:val="20"/>
          <w:lang w:val="en-US" w:eastAsia="en-US" w:bidi="ar-SA"/>
        </w:rPr>
        <w:t>, s. 4(1)(e), s.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Federal Business Development Bank Act, S.C. 1974-75-76, c.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Industrial Development Bank Act, S.C. 1944-45, c.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hyperlink r:id="rId588" w:history="1">
        <w:r>
          <w:rPr>
            <w:rFonts w:ascii="arial" w:eastAsia="arial" w:hAnsi="arial" w:cs="arial"/>
            <w:i/>
            <w:color w:val="0077CC"/>
            <w:sz w:val="20"/>
            <w:u w:val="single"/>
            <w:shd w:val="clear" w:color="auto" w:fill="FFFFFF"/>
            <w:lang w:val="en-US" w:eastAsia="en-US" w:bidi="ar-SA"/>
          </w:rPr>
          <w:t>R.S.C. 1985, c. I-21, s. 8</w:t>
        </w:r>
      </w:hyperlink>
      <w:r>
        <w:rPr>
          <w:rFonts w:ascii="arial" w:eastAsia="arial" w:hAnsi="arial" w:cs="arial"/>
          <w:color w:val="000000"/>
          <w:sz w:val="20"/>
          <w:lang w:val="en-US" w:eastAsia="en-US" w:bidi="ar-SA"/>
        </w:rPr>
        <w:t>(1), s. 8.1, s.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Pension Benefits Standards Act 1985, R.S.C. 1985 (2nd Supp.), c. 32, s. 8(4)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4" w:name="Counsel_24"/>
      <w:bookmarkEnd w:id="1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D.A. Klein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C.A.B. Ferris M. Vesely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24"/>
      <w:bookmarkEnd w:id="165"/>
      <w:r>
        <w:pict>
          <v:line id="_x0000_s1147" style="position:absolute;z-index:2518374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B.M. DAVIES J."/>
            <w:bookmarkEnd w:id="166"/>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is brought pursuant to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The plaintiffs are retired employees of the defendant, Business Development Bank of Canada (the "BDC"), who now both reside in British Columbia. They seek certification of an action against the BDC concerning its role in the administration of the BDC pension plan (the "BDC Pension Plan") of which the plaintiffs are both retired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causes of action asserted by the plaintiffs are primarily concerned with alleged breaches of fiduciary duties said to be owed by the BDC to them and other retired members or other beneficiaries of the BDC Pension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BDC does not dispute that the plaintiffs' action meets the necessary criteria for certification as a class action. The BDC does, however, submit that the action should be certified as a class action in Quebec rather than in any common law province in Canada due to issues of forum non conveniens and that the plaintiffs' action in British Columbia should accordingly be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Two issues require determination. They are:</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plaintiffs' action be certified as a class action under s. 4 of the Class Proceedings Act to resolve the following two proposed common issues: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BDC breach its fiduciary duties to the class members as alleged in paragraphs 36 and 37 of the statement of claim?</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BDC did breach its duties to the class members, what relief should be granted to the class members?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this court stay the plaintiffs' action in British Columbia under Rule 14(6.1) of the Rules of Court in favour of a class action proceeding to be commenced in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BDC is a financial institution that is wholly owned by the Government of Canada. Section 4(1) of the Business Development Bank of Canada Act, </w:t>
      </w:r>
      <w:hyperlink r:id="rId589" w:history="1">
        <w:r>
          <w:rPr>
            <w:rFonts w:ascii="arial" w:eastAsia="arial" w:hAnsi="arial" w:cs="arial"/>
            <w:i/>
            <w:color w:val="0077CC"/>
            <w:sz w:val="20"/>
            <w:u w:val="single"/>
            <w:shd w:val="clear" w:color="auto" w:fill="FFFFFF"/>
            <w:lang w:val="en-US" w:eastAsia="en-US" w:bidi="ar-SA"/>
          </w:rPr>
          <w:t>S.C. 1995, c. 28</w:t>
        </w:r>
      </w:hyperlink>
      <w:r>
        <w:rPr>
          <w:rFonts w:ascii="arial" w:eastAsia="arial" w:hAnsi="arial" w:cs="arial"/>
          <w:color w:val="000000"/>
          <w:sz w:val="20"/>
          <w:lang w:val="en-US" w:eastAsia="en-US" w:bidi="ar-SA"/>
        </w:rPr>
        <w:t xml:space="preserve"> [BDC Act] provides that its purpose is to support Canadian entrepreneurship by providing financial and management services and by issuing securities or otherwise raising funds or capital in support of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1995, the BDC was continued as a financial institution under the BDC Act, which modernized the 50 year operations of its predecessors, the Federal Business Development Bank (the "FBDB") and the Industrial Development Bank. Specifically, concerning the history of the evolution of the BDC:</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Industrial Development Bank, a subsidiary of the Bank of Canada, was created in 1944 by the Industrial Development Bank Act, S.C. 1944-45, c. 44;</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1974, the FBDB was established pursuant to the Federal Business Development Bank Act, S.C. 1974-75-76, c. 14;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1995, the Federal Business Development Bank Act was repealed and replaced by the BDC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Prior to 1976, the employees of the Industrial Development Bank and its successor, the FBDB, were members of the Bank of Canada Staff Pension Fund created by By-Law No. 57 passed by the Bank of Canada, and incorporating certain provisions of the Civil Service Superannuation Act, R.S.C. 1952, c. 50. When the Industrial Development Bank Act was repealed in 1975 and the Federal Business Development Bank Act implemented, it empowered the FBDB to establish and administer its own pension plan. The FBDB did so in 1976 and the FBDB Pension Plan then evolved into the BDC Pension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BDC Pension Plan is a defined benefits pension plan registered with the federal Office of the Superintendent of Financial Institutions pursuant to the Pension Benefits Standards Act 1985, R.S.C. 1985 (2nd Supp.), c. 32 [PBSA], and, pursuant to the PBSA, the BDC is its administrator.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are three categories of beneficiaries under the BDC Pension Plan (the "Plan Members"):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employed by the BDC who is a member of the BDC Pension Plan and is accruing credits under the BDC Pension Plan ("Active Members");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has ceased membership in the BDC Pension Plan, but the value of whose accrued benefits was left in the BDC Pension Plan such that the individual has a future entitlement to pension benefits ("Deferred Vested Members");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previously participated in the FBDB Pension Plan or the BDC Pension Plan and is receiving benefits from the Fund ("Retired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Important circumstances related to the evolution of the BDC Pension Plan and to the disputes that are the subject of this proceeding, include the following developments:</w:t>
      </w:r>
      <w:r>
        <w:rPr>
          <w:rFonts w:ascii="arial" w:eastAsia="arial" w:hAnsi="arial" w:cs="arial"/>
          <w:sz w:val="20"/>
          <w:lang w:val="en-US" w:eastAsia="en-US" w:bidi="ar-SA"/>
        </w:rPr>
        <w:cr/>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FBDB created the Federal Business Development Bank Pension Fund (the "FBDB Fund") by its By-Law No. 12;</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10.1 of By-Law No. 12 provided that the FBDB Fund was to be vested in the "Trustees", which term was defined to mean various executives of the FBDB;</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6, 1982, the Trustees of the FBDB Fund entered into an agency trust agreement with Montreal Trust made effective September 16, 1976, pursuant to which Montreal Trust agreed to act as agent of the Trustees and to hold the FBDB Fund under the Plan;</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1987, the FBDB Pension Plan was amended (the "1987 Amendment") to provide, among other things, that the FBDB would receive any surplus upon the termination or winding up of the FBDB Pension Plan after all liabilities were met and also that the FBDB could, on an ongoing basis, apply all or any of the surplus to reduce contribution requirements;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1991, the Trustees of the FBDB Fund and the FBDB entered into an amended trust agreement (the "1991 Trust Agreement") vesting the FBDB Fund in the Trustees and giving the Trustees the power to administer and make payments out of the FBDB Fund (which subsequently became the BDC Fund), including the payment of benefits, fees and expenses;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1991, the BDC has caused to be paid from the FBDB Fund and the BDC Fund certain fees and expenses that the plaintiffs allege unjustly enrich the BDC to the detriment of the plaintiffs and the proposed plaintiff class and also constitutes a partial revocation of trust;</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1994, the FBDB reduced its contributions to the FBDB Pension Plan and, in 1995 after the creation of the BDC Pension Plan, the BDC entirely ceased making contributions to the BDC Pension Plan;</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1997, by resolution effective April 9, 1997, (the "1997 Amendment"), the BDC's Board of Directors declared a "contribution holiday" that temporarily suspended the obligations of Active Members to contribute to the BDC Pension Plan;</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1998, by resolution effective May 6, 1998 (the "1998 Amendment"), the BDC's Board of Directors made the temporary contribution holiday for Active Members permanent subject to the potential for re-introduction of contributions if the surplus in the BDC Pension Plan is less than 10% of its actuarially determined liabilities or the subsequent determination of the BDC's Board of Directors to reintroduce employee contributions;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6, 1998, the BDC's Board of Directors also resolved to make a one time $2 million cash distribution to then Retired Members of the BDC Pension Plan or their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various amendments to the FBDB Pension Plan and the BDC Pension Plan resulted in Retired Members of the BDC Pension Plan becoming very concerned about allegedly unfair treatment by the BDC to their detriment. Various committees were formed to liaise with the BDC in relation to the effects of the various amendments on Retired Members and Active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From approximately 1994 to 2001, the proposed plaintiff, Lucien Lieberman, was the pensioners' representative on a pension committee of the FBDB whose mandate was to produce an annual report for Retired Members and Active Members to keep them informed about the BDC Pension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Lieberman had begun working for the Industrial Development Bank in January 1965 and eventually worked in branch offices of the Industrial Development Bank and the FBDB in Calgary, Winnipeg, Montreal and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Lieberman's posting in Vancouver was from 1975 until his retirement in 1991 and he has, since then, resided in Vancouver where he has collected his pension from both the FBDB Pension Plan and the BDC Pension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1997 Amendment providing for the possibility of contribution holidays for the BDC and its current employees was widely criticized by Retired Members and when that criticism failed to abate, the "Pensioners' Association of the [BDC] Pension Plan" formed an "Advisory Committee", the mandate of which was to "review and present to the Board of Directors of the Association the concerns and views of the pensioners regarding various aspects of the [BDC] Pension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Advisory Committee was comprised of five members, those being a chairperson and four members at large from different regions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Lieberman was selected to represent the western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BDC Pensioners' Association and its Advisory Committee were unable to resolve their disputes with the BDC and since the mandate of the Advisory Committee had only been to gather and communicate the opinion of the pensioners to the BDC about surplus distribution, another committee was formed to pursue dispute resolution. A "Fairness and Equity Committee" was then formed and was given a mandate to determine the viability of launching a class action in Ontario. Neither Mr. Lieberman nor Ms. Morris, the other plaintiff in this action, was a member of that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Ontario class action was filed but was discontinued shortly thereafter due to the inability of the Ontario plaintiffs to obtain funding from the Ontario Class Proceedings Fund. The defendant did not file pleadings and there was no adjudication of any kind concerning the merits of that proceeding. The Fairness and Equity Committee then disbanded.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Subsequently, Mr. Lieberman, and the plaintiff Marjorie Morris, also a retired employee and pensioner of the FBDB and the BDC, sought legal counsel in British Columbia and filed this proceeding seeking certification as a class action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writ of summons in this proceeding was filed on April 26, 2004, and was served on the defendant April 29, 2004. The BDC entered an Appearance on May 7, 2004 and the plaintiffs delivered their statement of claim on November 30,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their statement of claim, the plaintiffs allege that the BDC has statutory and equitable fiduciary duties, including a duty to act in the best interests of all BDC Pension Plan Members and other beneficiaries when dealing with the BDC Fund, to act impartially and with even-handedness, to administer the BDC Fund, including any surplus, in the best interests of the BDC Pension Plan Members and for the sole benefit of the BDC Pension Plan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Particulars of the BDC's alleged breaches of duty as set out in paragraphs 36 and 37 of the statement of claim are: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BDC has breached the statutory and private duties owed to the Plaintiffs and plaintiff class by amending the Pension Plan in its own corporate interest, acting in conflict with the interests of the Plan Members and beneficiaries, and unjustly enriching itself to the detriment of the Plan Members and beneficiaries. More specifically, but without limitation:</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1987 Amendments constitute an attempt to divert funds from the Pension Plan to the benefit of BDC and to the detriment of the Plaintiffs and the plaintiff class. The Pension Plan was impressed with an irrevocable trust for the benefit of the Plan Members and their surviving spouses and beneficiaries, and as such the 1987 Plan Amendments are an unauthorized revocation of the Pension Plan trust fund.</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Contribution Holiday for the BDC were of significant financial benefit to the BDC. The BDC breached the irrevocable trust by relieving itself of its obligation to make several million dollars in employer contributions to the financial detriment of Plan Members and survivors.</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diversion of money from the Fund, to pay the Plan Expenses is a partial revocation of trust. It unjustly enriched the BDC at the expense of the Plaintiffs and class members and constitutes a breach of fiduciary duty.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its duty of even-handedness, the BDC has amended the Plan in a disproportionate fashion, favouring active and future members as at April 9, 1997, to the detriment of retired and deferred vested members, and their beneficiaries as of that date. More specifically, but without limitation: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contribution holidays created by the 1997 and 1998 Plan Amendments and other benefits to active members were of significant financial benefit to active members and future members as of the date of those amendments, but provided no benefit to the Plaintiffs and the other class members.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BDC did not provide a corresponding benefit to the Plaintiffs and plaintiff class. The $2 million cash distribution was not equivalent to the value of the substantial benefits created by the contribution holidays for active members and future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also allege that as a result of the BDC's breaches of fiduciary duty they, and others similarly situated, have suffered financial loss and damages. On their own behalf and on behalf of all class members, the plaintiffs claim, among other things, an accounting; a distribution of lump sum or periodic cash distributions from the BDC Fund in accordance with the actuarial liabilities they represent; and, damages against the BDC.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BDC has not yet delivered a statement of defence. Rather, the BDC delivered a notice of motion dated February 18, 2005, together with supporting materials, seeking an order that this action be stayed on the grounds that this Court ought to decline to exercise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 March 3, 2005, I heard the application of the plaintiffs requesting that the stay application be adjourned to be heard at the same time as the certification application. The BDC opposed the application on the grounds that the stay application should be heard in advance of any certification application. On March 18, 2005, as the case management judge in this proceeding, I ruled that the two applications should be heard together. See: Lieberman v. Business Development Bank of Canada </w:t>
      </w:r>
      <w:hyperlink r:id="rId590" w:history="1">
        <w:r>
          <w:rPr>
            <w:rFonts w:ascii="arial" w:eastAsia="arial" w:hAnsi="arial" w:cs="arial"/>
            <w:i/>
            <w:color w:val="0077CC"/>
            <w:sz w:val="20"/>
            <w:u w:val="single"/>
            <w:shd w:val="clear" w:color="auto" w:fill="FFFFFF"/>
            <w:lang w:val="en-US" w:eastAsia="en-US" w:bidi="ar-SA"/>
          </w:rPr>
          <w:t>(2005), 11 C.P.C. (6th) 348</w:t>
        </w:r>
      </w:hyperlink>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2005 BCSC 389</w:t>
        </w:r>
      </w:hyperlink>
      <w:r>
        <w:rPr>
          <w:rFonts w:ascii="arial" w:eastAsia="arial" w:hAnsi="arial" w:cs="arial"/>
          <w:color w:val="000000"/>
          <w:sz w:val="20"/>
          <w:lang w:val="en-US" w:eastAsia="en-US" w:bidi="ar-SA"/>
        </w:rPr>
        <w:t>. Corrigendum: issued April 29,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BDC sought leave to appeal that decision. However, Madam Justice Prowse dismissed that application on May 6, 2005: Lieberman v. Business Development Bank of Canada </w:t>
      </w:r>
      <w:hyperlink r:id="rId591" w:history="1">
        <w:r>
          <w:rPr>
            <w:rFonts w:ascii="arial" w:eastAsia="arial" w:hAnsi="arial" w:cs="arial"/>
            <w:i/>
            <w:color w:val="0077CC"/>
            <w:sz w:val="20"/>
            <w:u w:val="single"/>
            <w:shd w:val="clear" w:color="auto" w:fill="FFFFFF"/>
            <w:lang w:val="en-US" w:eastAsia="en-US" w:bidi="ar-SA"/>
          </w:rPr>
          <w:t>(2005), 45 C.C.P.B. 321</w:t>
        </w:r>
      </w:hyperlink>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2005 BCCA 268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will first address the issue of whether the plaintiffs' action meets the criteria for certification as a class proceeding in British Columbia and then proceed to consider the BDC's forum non conveniens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Should the plaintiffs' action be certified as a class action under s. 4 of the Class Proceedings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I have noted, the plaintiffs seek certification of this action as a class action in British Columbia to resolve the following two proposed common issues: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BDC breach its fiduciary duties to the class members as alleged in paragraphs 36 and 37 of the statement of claim?</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BDC did breach its duties to the class members, what relief should be granted to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I have also noted, the BDC does not suggest that the issues raised by the pleadings would not properly be the subject of class proceedings provided they were heard in Quebec. Accordingly, no argument was advanced by the BDC disputing the common issues proposed or the appropriateness of Mr. Lieberman as a proposed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Having considered all of the evidence and the submissions of counsel as I am bound to do notwithstanding the lack of objection by the BDC (aside from its forum non conveniens submissions), I am satisfied that the plaintiffs have met the burden of establishing that the action would appropriately be certified as a class action in British Columbia under s. 4 of the Class Proceedings Act. I am also satisfied that the proposed plaintiff Mr. Lieberman meets the statutory requirements to be appointed as a representative plaintiff under s. 4(1)(e). He is, in my view, uniquely qualified to fulfill that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most of the years since Mr. Lieberman has been retired, he has been actively involved in representing the interests of Retired Members of the BDC Pension Plan as a pensioners' representative on the Pension Committee and on the Advisory Committee of the IDB/FBDB/BDC Pensioners' Association. I am satisfied that he would fairly and adequately represent the interests of the class and has produced a workable plan for advancing the proceeding on behalf of the class and of notifying class members of the proceeding. He also does not have any interest in the proposed common issues that is in conflict with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Should this court stay the plaintiffs' action in British Columbia under Rule 14(6.1) of the Rules of Court in favour of a class action proceeding to be commenced in Quebec?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Although the BDC acknowledges that this Court has jurisdiction over it and the subject matter of the proceedings it submits that in this case "involving a pension plan governed by Quebec law, with Quebec based witnesses, with respect to acts that took place in Quebec with respect to assets located in Quebec," this Court should decline jurisdiction in favour of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472900 B.C. Ltd. v. Thrifty Canada, Ltd. </w:t>
      </w:r>
      <w:hyperlink r:id="rId592" w:history="1">
        <w:r>
          <w:rPr>
            <w:rFonts w:ascii="arial" w:eastAsia="arial" w:hAnsi="arial" w:cs="arial"/>
            <w:i/>
            <w:color w:val="0077CC"/>
            <w:sz w:val="20"/>
            <w:u w:val="single"/>
            <w:shd w:val="clear" w:color="auto" w:fill="FFFFFF"/>
            <w:lang w:val="en-US" w:eastAsia="en-US" w:bidi="ar-SA"/>
          </w:rPr>
          <w:t>(1998) 57 B.C.L.R. (3d) 332</w:t>
        </w:r>
      </w:hyperlink>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168 D.L.R. (4th) 602</w:t>
        </w:r>
      </w:hyperlink>
      <w:r>
        <w:rPr>
          <w:rFonts w:ascii="arial" w:eastAsia="arial" w:hAnsi="arial" w:cs="arial"/>
          <w:color w:val="000000"/>
          <w:sz w:val="20"/>
          <w:lang w:val="en-US" w:eastAsia="en-US" w:bidi="ar-SA"/>
        </w:rPr>
        <w:t xml:space="preserve"> (C.A.) [Thrifty Canada], a five member panel of our Court of Appeal addressed the approach to now be taken in British Columbia in determining a forum non conveniens application. In doing so, Esson J.A. stated for the Court at paragraph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"Abidin Daver" (The), [1984] A.C.. 398 and The Spiliada, [1987] A.C.. 460, laid to rest the insular English rule in both its original and modified forms and mandated the radically different approach of determining which is the more appropriate jurisdiction. Comity, which played no part in the old rule, is now a major consideration. Parallel actions dealing with the same subject matter must now be avoided unless the party resisting the application to stay can demonstrate possible loss of a juridical advantage. The right of the plaintiff to sue in the court of his choice is not now a significant factor. A primary purpose of the present rule is to avoid having two actions proceeding in different jurisdictions with the attendant risk of conflicting decisions. There is now no burden on the applicant to establish that the action would be vexatious, oppressive and/or an abuse of the process of the court. Such matters can, of course, still be relied on in aid of the application to stay because, if they can be established, the jurisdiction in which that would occur can hardly be the appropriate one. But the absence of such factors is no longer a basis for refusing the application to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Stern v. Dove Audio Inc. </w:t>
      </w:r>
      <w:hyperlink r:id="rId593" w:history="1">
        <w:r>
          <w:rPr>
            <w:rFonts w:ascii="arial" w:eastAsia="arial" w:hAnsi="arial" w:cs="arial"/>
            <w:i/>
            <w:color w:val="0077CC"/>
            <w:sz w:val="20"/>
            <w:u w:val="single"/>
            <w:shd w:val="clear" w:color="auto" w:fill="FFFFFF"/>
            <w:lang w:val="en-US" w:eastAsia="en-US" w:bidi="ar-SA"/>
          </w:rPr>
          <w:t>(1994) 47 A.C.W.S. (3d) 275</w:t>
        </w:r>
      </w:hyperlink>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[1994] B.C.J. No. 863</w:t>
        </w:r>
      </w:hyperlink>
      <w:r>
        <w:rPr>
          <w:rFonts w:ascii="arial" w:eastAsia="arial" w:hAnsi="arial" w:cs="arial"/>
          <w:color w:val="000000"/>
          <w:sz w:val="20"/>
          <w:lang w:val="en-US" w:eastAsia="en-US" w:bidi="ar-SA"/>
        </w:rPr>
        <w:t xml:space="preserve"> at paragraph 62 (S.C.), Low J. (as he then was) set forth a non exclusive list of factors that are relevant to the determination of forum non conveniens applications. Those factors include: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each party resides.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each party carries on business.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cause of action arose.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loss or damage occurred.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juridical advantage to the plaintiff in this jurisdiction.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juridical disadvantage to the defendant in this jurisdiction.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Convenience or inconvenience to potential witnesses.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conducting the litigation in this jurisdiction.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Applicable substantive law.</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and cost of proving foreign law, if necessary.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are parallel proceedings in any jurisdiction. ("forum shopping" is to be discouraged.)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These factors remain relevant and appropriate for consideration notwithstanding that Stern v. Dove was decided before Thrifty Canada. They must, however, now be considered and weighed having regard to the non-insular approach approved in Thrifty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determining whether the defendant's forum non conveniens application should succeed, I must also bear in mind the burden of proof that is applicable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Amchem Products Inc. v. British Columbia (Worker's Compensation Board), </w:t>
      </w:r>
      <w:hyperlink r:id="rId594" w:history="1">
        <w:r>
          <w:rPr>
            <w:rFonts w:ascii="arial" w:eastAsia="arial" w:hAnsi="arial" w:cs="arial"/>
            <w:i/>
            <w:color w:val="0077CC"/>
            <w:sz w:val="20"/>
            <w:u w:val="single"/>
            <w:shd w:val="clear" w:color="auto" w:fill="FFFFFF"/>
            <w:lang w:val="en-US" w:eastAsia="en-US" w:bidi="ar-SA"/>
          </w:rPr>
          <w:t>[1993] 1 S.C.R. 897</w:t>
        </w:r>
      </w:hyperlink>
      <w:r>
        <w:rPr>
          <w:rFonts w:ascii="arial" w:eastAsia="arial" w:hAnsi="arial" w:cs="arial"/>
          <w:color w:val="000000"/>
          <w:sz w:val="20"/>
          <w:lang w:val="en-US" w:eastAsia="en-US" w:bidi="ar-SA"/>
        </w:rPr>
        <w:t xml:space="preserve"> at 921, </w:t>
      </w:r>
      <w:hyperlink r:id="rId594" w:history="1">
        <w:r>
          <w:rPr>
            <w:rFonts w:ascii="arial" w:eastAsia="arial" w:hAnsi="arial" w:cs="arial"/>
            <w:i/>
            <w:color w:val="0077CC"/>
            <w:sz w:val="20"/>
            <w:u w:val="single"/>
            <w:shd w:val="clear" w:color="auto" w:fill="FFFFFF"/>
            <w:lang w:val="en-US" w:eastAsia="en-US" w:bidi="ar-SA"/>
          </w:rPr>
          <w:t>77 B.C.L.R. (2d) 62</w:t>
        </w:r>
      </w:hyperlink>
      <w:r>
        <w:rPr>
          <w:rFonts w:ascii="arial" w:eastAsia="arial" w:hAnsi="arial" w:cs="arial"/>
          <w:color w:val="000000"/>
          <w:sz w:val="20"/>
          <w:lang w:val="en-US" w:eastAsia="en-US" w:bidi="ar-SA"/>
        </w:rPr>
        <w:t xml:space="preserve"> [Amchem Products], Sopinka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standard of proof remains that applicable in civil cases, I agree with the English authorities that the existence of a more appropriate forum must be </w:t>
      </w:r>
      <w:r>
        <w:rPr>
          <w:rFonts w:ascii="arial" w:eastAsia="arial" w:hAnsi="arial" w:cs="arial"/>
          <w:color w:val="000000"/>
          <w:sz w:val="20"/>
          <w:u w:val="single"/>
          <w:lang w:val="en-US" w:eastAsia="en-US" w:bidi="ar-SA"/>
        </w:rPr>
        <w:t>clearly</w:t>
      </w:r>
      <w:r>
        <w:rPr>
          <w:rFonts w:ascii="arial" w:eastAsia="arial" w:hAnsi="arial" w:cs="arial"/>
          <w:color w:val="000000"/>
          <w:sz w:val="20"/>
          <w:lang w:val="en-US" w:eastAsia="en-US" w:bidi="ar-SA"/>
        </w:rPr>
        <w:t xml:space="preserve"> established to displace the forum selected by the plaintiff. This was the position adopted by McLachlin J.A. (as she then was) in Avenue Properties Ltd. v. First City Dev. Corp. </w:t>
      </w:r>
      <w:hyperlink r:id="rId595" w:history="1">
        <w:r>
          <w:rPr>
            <w:rFonts w:ascii="arial" w:eastAsia="arial" w:hAnsi="arial" w:cs="arial"/>
            <w:i/>
            <w:color w:val="0077CC"/>
            <w:sz w:val="20"/>
            <w:u w:val="single"/>
            <w:shd w:val="clear" w:color="auto" w:fill="FFFFFF"/>
            <w:lang w:val="en-US" w:eastAsia="en-US" w:bidi="ar-SA"/>
          </w:rPr>
          <w:t>(1986), 7 B.C.L.R. (2d) 45</w:t>
        </w:r>
      </w:hyperlink>
      <w:r>
        <w:rPr>
          <w:rFonts w:ascii="arial" w:eastAsia="arial" w:hAnsi="arial" w:cs="arial"/>
          <w:color w:val="000000"/>
          <w:sz w:val="20"/>
          <w:lang w:val="en-US" w:eastAsia="en-US" w:bidi="ar-SA"/>
        </w:rPr>
        <w:t>. She emphasized that this had particular application where there were no parallel foreign proceedings pending.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the plaintiffs submitted that since this is a case where there are no parallel proceedings, the burden of proof established in Amchem Products is of particular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response to that submission, counsel for the BDC submitted that the fact that there are not presently parallel proceedings should not be of significant concern because to emphasize that factor in weighing all of the Stern v. Dove factors and any other relevant factors would overemphasize the plaintiffs' choice of forum, an approach that was rejected by our Court of Appeal in its decision in Thrifty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BDC also submits that the lack of parallel proceedings should not be of significant concern because the BDC could have sought a declaration in Quebec concerning whether it had breached any obligations owed to the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am satisfied that the lack of the existence of parallel proceedings in a foreign jurisdiction (in this case Quebec) is an important factor to be considered in determining whether the applicant has met its burden of establishing that Quebec is clearly a more appropriate forum for the determination of the issues raised in this class proceeding. See: Scalas Fashinon v. Yorkton Securities (2002), 21 C.P.C. (5th) 256, </w:t>
      </w:r>
      <w:hyperlink r:id="rId596" w:history="1">
        <w:r>
          <w:rPr>
            <w:rFonts w:ascii="arial" w:eastAsia="arial" w:hAnsi="arial" w:cs="arial"/>
            <w:i/>
            <w:color w:val="0077CC"/>
            <w:sz w:val="20"/>
            <w:u w:val="single"/>
            <w:shd w:val="clear" w:color="auto" w:fill="FFFFFF"/>
            <w:lang w:val="en-US" w:eastAsia="en-US" w:bidi="ar-SA"/>
          </w:rPr>
          <w:t>2002 BCSC 173</w:t>
        </w:r>
      </w:hyperlink>
      <w:r>
        <w:rPr>
          <w:rFonts w:ascii="arial" w:eastAsia="arial" w:hAnsi="arial" w:cs="arial"/>
          <w:color w:val="000000"/>
          <w:sz w:val="20"/>
          <w:lang w:val="en-US" w:eastAsia="en-US" w:bidi="ar-SA"/>
        </w:rPr>
        <w:t xml:space="preserve"> at paragraph 66 (reversed on other grounds </w:t>
      </w:r>
      <w:hyperlink r:id="rId597" w:history="1">
        <w:r>
          <w:rPr>
            <w:rFonts w:ascii="arial" w:eastAsia="arial" w:hAnsi="arial" w:cs="arial"/>
            <w:i/>
            <w:color w:val="0077CC"/>
            <w:sz w:val="20"/>
            <w:u w:val="single"/>
            <w:shd w:val="clear" w:color="auto" w:fill="FFFFFF"/>
            <w:lang w:val="en-US" w:eastAsia="en-US" w:bidi="ar-SA"/>
          </w:rPr>
          <w:t>17 B.C.L.R. (4th) 6</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2003 BCCA 366</w:t>
        </w:r>
      </w:hyperlink>
      <w:r>
        <w:rPr>
          <w:rFonts w:ascii="arial" w:eastAsia="arial" w:hAnsi="arial" w:cs="arial"/>
          <w:color w:val="000000"/>
          <w:sz w:val="20"/>
          <w:lang w:val="en-US" w:eastAsia="en-US" w:bidi="ar-SA"/>
        </w:rPr>
        <w:t xml:space="preserve">, 35 C.P.C. (5th) 40) and Her Majesty the Queen v. Imperial Tobacco Ltd. </w:t>
      </w:r>
      <w:hyperlink r:id="rId598" w:history="1">
        <w:r>
          <w:rPr>
            <w:rFonts w:ascii="arial" w:eastAsia="arial" w:hAnsi="arial" w:cs="arial"/>
            <w:i/>
            <w:color w:val="0077CC"/>
            <w:sz w:val="20"/>
            <w:u w:val="single"/>
            <w:shd w:val="clear" w:color="auto" w:fill="FFFFFF"/>
            <w:lang w:val="en-US" w:eastAsia="en-US" w:bidi="ar-SA"/>
          </w:rPr>
          <w:t>(2005), 44 B.C.L.R. (4th) 125</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2005 BCSC 946</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13 C.P.C. (6th) 272</w:t>
        </w:r>
      </w:hyperlink>
      <w:r>
        <w:rPr>
          <w:rFonts w:ascii="arial" w:eastAsia="arial" w:hAnsi="arial" w:cs="arial"/>
          <w:color w:val="000000"/>
          <w:sz w:val="20"/>
          <w:lang w:val="en-US" w:eastAsia="en-US" w:bidi="ar-SA"/>
        </w:rPr>
        <w:t xml:space="preserve"> at paragraph 167 and cases cited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also agree, however, that the lack of existence of parallel foreign proceedings is not to be treated as an overriding factor because all other relevant factors must also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turn next to my determination of whether the BDC has established that Quebec is clearly the more appropriate forum in which to determine the issues in this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Some of the important facts relied upon by the BDC in support of its jurisdiction submissions are that:</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BDC and its predecessor the FBDB have always had their headquarters in Montreal, Quebec;</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BDC Plan was administered in Quebec;</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BDC obtained its actuarial advice with respect to contribution holidays from the BDC Plan's actuary, Mercer &amp; Associates, who are located in Montreal, Quebec;</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exception of one meeting held in Toronto, Ontario, each meeting of the BDC Board of Directors that approved a contribution holiday for the BDC or for the Active Members of the BDC Plan was held in BDC's head office in Montreal, Quebec;</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FBDB Fund and the BDC Fund have been held in Quebec since the inception of the FBDB Fund and the BDC Fund is now held in Montreal at the offices of the custodian, Royal Trust;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decisions concerning the administration of the FBDB Plan were made by the Board of Directors of the FBDB and the BDC at its head office in Montreal;</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payments of benefits and administrative expenses from the FBDB Fund and the BDC Fund have always been made from Quebec;</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currently seven trustees of the BDC Plan, four of whom reside in Quebec;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Article 13.8 of the 1991 Trust Agreement provides: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This Trust Agreement shall be governed by, and construed in accordance with, the laws of the Province of Quebec and the applicable laws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the other hand, the plaintiffs rely, among other things, upon the facts that:</w:t>
      </w:r>
      <w:r>
        <w:rPr>
          <w:rFonts w:ascii="arial" w:eastAsia="arial" w:hAnsi="arial" w:cs="arial"/>
          <w:sz w:val="20"/>
          <w:lang w:val="en-US" w:eastAsia="en-US" w:bidi="ar-SA"/>
        </w:rPr>
        <w:cr/>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BDC operates at least 88 branch operations across Canada as a national institution located in every province and territory with 27 branches in Ontario, 22 in Quebec and 15 in British Columbia;</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substantial number of the proposed class members reside in British Columbia;</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information provided by the BDC, as of June 2003, a roughly equal number of the approximately 1,147 class members reside in British Columbia and Quebec. Although more Retired Members live in British Columbia than Quebec, more Deferred Vested Members live in Quebec than British Columbia;</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payments of benefits to class members from the BDC Plan are made from Quebec, they are received by class members in the jurisdiction in which they reside and most importantly, are derived from entitlement earned through their employment by the BDC and its predecessors in all provinces and territories of Canada; and</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BDC Pension Plan, and most particularly the statutory obligations of the BDC as the administrator of the BDC Plan are subject to and governed by the PBSA, a federal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will now consider in more detail the factors outlined in Stern v. Dove weighed in accordance with the approach required by Thrifty Foods and Amchem Products in determining whether this Court should decline jurisdiction in this class proceeding in favour of the Quebec courts. In doing so I will consider on a combined basis those factors that I believe to be inextricably related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residence of the parties (and where each carries on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BDC submits that these factors strongly favour Quebec and emphasizes that the plaintiffs seek to represent a national class, the largest percentage of whose members reside in Quebec. Further, the main corporate presence of the BDC is in Quebec since its head office and records office are located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response, the plaintiffs assert that the place of residence of all class members is of less significance than is the residence of the plaintiffs, and particularly Mr. Lieberman as the representative plaintiff. The plaintiffs point to the leading role that Mr. Lieberman will play in instructing counsel and communicating with the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it is important that although the BDC does have a strong corporate presence in Quebec, it is also a national institution that was set up to do business nation wide and actively carries on business in British Columbia from 15 separate locations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Importantly also, this is a class proceeding that will involve class members from all provinces and while many class members reside in Quebec, they are not the majority of the total class. Further, although more Deferred Vested Members of the class reside in Quebec, more Retirement Members live in British Columbia than in Quebec. Also of importance is the fact that, no class or prospective class member who resides in Quebec has come forward to spearhead this litigation as a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all of the circumstances I am satisfied that the residence of the parties (and in the case of the BDC where it carries on business) in a case which involves a national class and a national institution are relatively neutral considerations in the assessment of whether this Court should decline jurisdiction in this class proceeding in favour of the Quebec courts.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alleged causes of action arose (and where damages were allegedly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allege that the BDC breached its statutory and private law duties and committed a partial revocation of trust by:</w:t>
      </w:r>
      <w:r>
        <w:rPr>
          <w:rFonts w:ascii="arial" w:eastAsia="arial" w:hAnsi="arial" w:cs="arial"/>
          <w:sz w:val="20"/>
          <w:lang w:val="en-US" w:eastAsia="en-US" w:bidi="ar-SA"/>
        </w:rPr>
        <w:cr/>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amending the BDC Plan to provide that the BDC would receive any surplus upon the winding up or termination of the BDC Plan;</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itself and Active Members contribution holidays; and</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paying administrative expenses out of the trust fund constituted for the beneficiaries of the BDC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BDC submits that if there were any such beaches of duty, they occurred in Quebec and that the damages resulting from those breaches were suffered by the BDC Fund and class members in Quebec. It submits that these factors, including the somewhat related factor of the substantive law that will ultimately determine whether there were such breaches, strongly favour Quebec as the clearly more appropriate forum for the determination of the issues in this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submit that although the first impact of the alleged breaches of duty by the BDC related to the administration and maintenance of the BDC Plan and the BDC Fund may have been sustained by a trust created and situated in Quebec, the obligations out of which those breaches arise were founded in the employment contracts of the class members which were entered into in many jurisdictions other than Quebec. They argue that damages arising from the BDC's breaches of statutory and private law duties were ultimately suffered and will continue to be suffered by class members in those jurisdictions in which they receive their BDC Plan benefits, including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this stage of these proceedings, any inquiry into the substantive law that will ultimately apply in the determination of the issues raised must be a preliminary inquiry entered into for the limited purpose of determining whether there is a clearly more appropriate forum for the determination of the issues raised than that chosen by the plaintiff. The determination of the substantive law that will apply and such issues as where the cause of action arose and where damages were actually suffered are issues that can ultimately only be assessed at trial against the full factual matrix of the evidence adduced at trial informed by legal argument and analysis that is relevant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cannot, at this stage of the proceedings, say that the BDC's submissions that the plaintiff's claims are related solely to alleged breaches of trust will ultimately prevail. I also cannot say that the plaintiffs' submissions that the genesis of the causes of action pleaded is the employment contracts (with their related pension benefits) entered into by the class with the BDC or its predecessors will ultimately succeed in whole or in part. Similarly, I also cannot now say that the plaintiffs or the class have not suffered damages in the provinces in which they now reside or were employed as a consequence of any breaches of federal statutory duties or private law duties that may have been committed by the BDC or its predecessors in Quebec or elsewhere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Moran v. Pyle National (Canada) Ltd., </w:t>
      </w:r>
      <w:hyperlink r:id="rId599"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43 D.L.R. (3d) 239</w:t>
        </w:r>
      </w:hyperlink>
      <w:r>
        <w:rPr>
          <w:rFonts w:ascii="arial" w:eastAsia="arial" w:hAnsi="arial" w:cs="arial"/>
          <w:color w:val="000000"/>
          <w:sz w:val="20"/>
          <w:lang w:val="en-US" w:eastAsia="en-US" w:bidi="ar-SA"/>
        </w:rPr>
        <w:t>, in considering the tort of alleged careless manufacture by a corporation involved in international commerce, the Supreme Court of Canada stated at 408-409: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speaking, in determining where a tort has been committed, it is unnecessary, and unwise, to have resort to any arbitrary set of rules. The place of acting and the place of harm theories are too arbitrary and inflexible to be recognized in contemporary jurisprudence. In the Distillers' case, [1971] 1 All E.R. 694, and again in the Cordova case, [1966] 1 W.L.R. 793, a real and substantial connection test was hinted at. Cheshire, 8th ed., 1970, p. 281, has suggested a test very similar to this; the author says that it would not be inappropriate to regard a tort as having occurred in any country substantially affected by the defendant's activities or its consequences and the law of which is likely to have been in the reasonable contemplation of the parties. Applying this test to a case of careless manufacture, the following rule can be formulated: where a foreign defendant carelessly manufactures a product in a foreign jurisdiction which enters into the normal channels of trade and he knows or ought to know both that as a result of his carelessness a consumer may well be injured and it is reasonably foreseeable that the product would be used or consumed where the plaintiff used or consumed it, then the forum in which the plaintiff suffered damage is entitled to exercise judicial jurisdiction over that foreign defendant. This rule recognizes the important interest a state has in injuries suffered by persons within its territory. It recognizes that the purpose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tort is to protect against carelessly inflicted injury and thus that the predominating element is damage suffered. By tendering his products in the market place directly or through normal distributive channels, a manufacturer ought to assume the burden of defending those products wherever they cause harm as long as the forum into which the manufacturer is taken is one that he reasonably ought to have had in his contemplation when he so tendered his goods. This is particularly true of dangerously defective goods placed in the interprovincial flow of commerce.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differences between a case of potential liability for a negligently manufactured product and that of potential liability for breach of an employers' obligations to its retired employees under a pension plan are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however, satisfied for the purposes of this application that, given the national nature of the BDC's undertaking, it would be inappropriate, even on a preliminary basis, to find that it is likely that the alleged torts occurred only in Quebec or that the alleged damage was suffered only in Quebec. Accordingly, I do not agree with the submissions of the BDC that these factors heavily favour Quebec as a clearly more appropriate forum.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Applicable substantive law (and the difficulty and cost of proving foreign law,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concerns that I have addressed relating to a preliminary assessment of where the causes of action alleged by the plaintiffs arose and where damages (if any) were suffered by them are of equal importance to my consideration of these related substantive law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I have said, the final determination of the applicable substantive law is a triable issue and the inquiry into potentially applicable substantive law is at this stage only an inquiry to assess the extent that such issues may effect the multi-factorial determination of whether Quebec is a clearly more 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BDC submits that both the applicable substantive law in relation to the allegations made by the plaintiffs and the cost of proving that law as substantive law which is foreign to British Columbia weigh heavily in favour of this Court's declining jurisdiction in favour of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Concerning the application of Quebec civil law to the issues to be decided, the BDC submits that:</w:t>
      </w:r>
      <w:r>
        <w:rPr>
          <w:rFonts w:ascii="arial" w:eastAsia="arial" w:hAnsi="arial" w:cs="arial"/>
          <w:sz w:val="20"/>
          <w:lang w:val="en-US" w:eastAsia="en-US" w:bidi="ar-SA"/>
        </w:rPr>
        <w:cr/>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conflict of laws rules, the law applicable to a trust is the law expressly or impliedly chosen by the settlor except where the settlor has not chosen a law, in which case the trust will be governed by the law that is most closely connected to the trust;</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 38(1) of the Federal Business Development Act provided that the FBDB could establish a pension fund, and in doing so, the FBDB in its role as settlor chose the law of Quebec as the proper law of the trust;</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Canada the law of a trust must be the law of a particular province because there is no "Canadian" law of trusts since property rights lie within an area of exclusive provincial jurisdiction;</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accordingly, the proper law of the BDC Plan and the BDC Fund is the law of Quebec because the BDC fund is constituted as a trust in Quebec;</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FBDB's choice of Quebec civil law was affirmed in the 1991 Trust Agreement vesting the FBDB Fund in the Trustees and giving the Trustees the power to administer and make payments out of the FBDB Fund including the payment of benefits, fees and expenses;</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13.8 of the 1991 Trust Agreement which provides: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This Trust Agreement shall be governed by, and construed in accordance with, the laws of the Province of Quebec and the applicable laws of Canada.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does not purport to change the proper law of the trust that had applied to the trust since its inception in 1976 but rather evidenced in writing what had always been the FBDB's intention with respect to the law governing the trust while also recognizing the role that the federal PBSA plays in matters related to the administration of the BDC Plan as a pension plan as opposed to matters effecting trust law and trust issues;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proper law of the trust is the civil law of Quebec, the issues in this case that relate to the trust (including those concerning whether there were breaches of trust or a partial revocation of trust by the BDC in: amending the BDC Plan to provide that the BDC would receive any surplus upon the winding up or termination; providing itself and Active Members contribution holidays; and, paying administrative expenses out of the trust fund) must of necessity be determined by application of Quebec civil law since there is no federal Canadian law of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BDC also submits that the impact of the application of Quebec civil law in this case and the difficulty of proving that law, should be of particular concern in considering issues of forum non conveniens. In support of that proposition, it relies upon the decision of the Supreme Court of Canada in Tolofson v. Jensen (Litigation Guardian of), </w:t>
      </w:r>
      <w:hyperlink r:id="rId600"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100 B.C.L.R. (2d) 1</w:t>
        </w:r>
      </w:hyperlink>
      <w:r>
        <w:rPr>
          <w:rFonts w:ascii="arial" w:eastAsia="arial" w:hAnsi="arial" w:cs="arial"/>
          <w:color w:val="000000"/>
          <w:sz w:val="20"/>
          <w:lang w:val="en-US" w:eastAsia="en-US" w:bidi="ar-SA"/>
        </w:rPr>
        <w:t xml:space="preserve"> where at 1064-1065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of our constitutional arrangements - a single country with different provinces exercising territorial legislative jurisdiction - would seem to me to support a rule that is certain and that ensures that an act committed in one part of this country will be given the same legal effect throughout the country. This militates strongly in favour of the lex loci delicti rule. In this respect, given the mobility of Canadians and the many common features in the law of the various provinces as well as the essentially unitary nature of Canada's court system, I do not see the necessity of an invariable rule that the matter also be actionable in the province of the forum. That seems to me to be a factor to be considered in determining whether there is a real and substantial connection to the forum to warrant its exercise of jurisdiction. Any problems that might arise could, I should think, be resolved by a sensitive application of the doctrine of forum non conveniens. </w:t>
      </w:r>
      <w:r>
        <w:rPr>
          <w:rFonts w:ascii="arial" w:eastAsia="arial" w:hAnsi="arial" w:cs="arial"/>
          <w:i/>
          <w:color w:val="000000"/>
          <w:sz w:val="20"/>
          <w:lang w:val="en-US" w:eastAsia="en-US" w:bidi="ar-SA"/>
        </w:rPr>
        <w:t>The doctrine of forum non conveniens would, of course, have far more occasions to be brought into play where a dispute involving the interrelation of Quebec's Civil Code is involved in a suit in some other province, or where a legal issue involving an essentially common law problem arises in Quebec.</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BDC has also filed the affidavit opinion of Mr. Gary Nachshen, of Toronto, Ontario, who is a member of both the Barreau du Quebec and the Law Society of Upper Canada concerning how the Quebec Courts might address the issues raised by this litigation. In his written submissions counsel for the BDC refers to that affidavit for the proposition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Quebec has, and has always had a body of civil law capable of addressing the issues raised in this action, and that body of law differs significantly from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submit that even if the proper law of the FBDB Fund and BDC Fund created and administered under the BDC Plan is that of Quebec (an issue which they do not concede), the issues raised by this litigation must consider not only civil law but also the common law, not only of British Columbia, but possibly of other common law provinces (to the extent that it may differ) and most importantly must consider the application of the PBSA, a federal statute, concerning the impugned actions of the BDC in relation to the BDC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Counsel for the plaintiffs submits that:</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it is arguable that the law of Quebec applies to the interpretation of the provisions of the 1991 Amendment, the interpretation of that document is not the focus of this litigation because it is pleaded that the 1991 Amendment is itself a breach of the BDC's obligations to the plaintiffs and other class members;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trial, the Court hearing this action may ultimately determine that: the law of Quebec may apply to a part of the proceeding; federal statutory considerations will apply to or at least inform other issues; and, common law considerations will apply to or inform other issues due to the existence of the employment contracts out of which pension entitlement under the BDC Plan arose;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importantly, the pension laws affecting the interests of plaintiffs and the other class members as well as the actions of the BDC (as the Administrator of the BDC Plan) in relation to those interests will be determined by reference to the law of trusts as it relates to fiduciaries in all parts of Canada by reason of the PBSA, ss. 8(3), (4) and (10) which provide: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administrator </w:t>
      </w:r>
      <w:r>
        <w:rPr>
          <w:rFonts w:ascii="arial" w:eastAsia="arial" w:hAnsi="arial" w:cs="arial"/>
          <w:color w:val="000000"/>
          <w:sz w:val="20"/>
          <w:u w:val="single"/>
          <w:lang w:val="en-US" w:eastAsia="en-US" w:bidi="ar-SA"/>
        </w:rPr>
        <w:t>shall administer the pension plan and pension fund as a trustee for the employer, the members of the pension plan, former members, and any other persons entitled to pension benefits</w:t>
      </w:r>
      <w:r>
        <w:rPr>
          <w:rFonts w:ascii="arial" w:eastAsia="arial" w:hAnsi="arial" w:cs="arial"/>
          <w:color w:val="000000"/>
          <w:sz w:val="20"/>
          <w:lang w:val="en-US" w:eastAsia="en-US" w:bidi="ar-SA"/>
        </w:rPr>
        <w:t xml:space="preserve"> or refunds </w:t>
      </w:r>
      <w:r>
        <w:rPr>
          <w:rFonts w:ascii="arial" w:eastAsia="arial" w:hAnsi="arial" w:cs="arial"/>
          <w:color w:val="000000"/>
          <w:sz w:val="20"/>
          <w:u w:val="single"/>
          <w:lang w:val="en-US" w:eastAsia="en-US" w:bidi="ar-SA"/>
        </w:rPr>
        <w:t>under the plan.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administration of the pension plan and pension fund, the administrator </w:t>
      </w:r>
      <w:r>
        <w:rPr>
          <w:rFonts w:ascii="arial" w:eastAsia="arial" w:hAnsi="arial" w:cs="arial"/>
          <w:color w:val="000000"/>
          <w:sz w:val="20"/>
          <w:u w:val="single"/>
          <w:lang w:val="en-US" w:eastAsia="en-US" w:bidi="ar-SA"/>
        </w:rPr>
        <w:t>shall exercise the degree of care that a person of ordinary prudence would exercise in dealing with the property of another person.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If there is a material conflict of interest between the role of an employer who is an administrator,</w:t>
      </w:r>
      <w:r>
        <w:rPr>
          <w:rFonts w:ascii="arial" w:eastAsia="arial" w:hAnsi="arial" w:cs="arial"/>
          <w:color w:val="000000"/>
          <w:sz w:val="20"/>
          <w:lang w:val="en-US" w:eastAsia="en-US" w:bidi="ar-SA"/>
        </w:rPr>
        <w:t xml:space="preserve"> or the role of the administrator of a simplified pension plan, </w:t>
      </w:r>
      <w:r>
        <w:rPr>
          <w:rFonts w:ascii="arial" w:eastAsia="arial" w:hAnsi="arial" w:cs="arial"/>
          <w:color w:val="000000"/>
          <w:sz w:val="20"/>
          <w:u w:val="single"/>
          <w:lang w:val="en-US" w:eastAsia="en-US" w:bidi="ar-SA"/>
        </w:rPr>
        <w:t>and their role in any other capacity,</w:t>
      </w:r>
      <w:r>
        <w:rPr>
          <w:rFonts w:ascii="arial" w:eastAsia="arial" w:hAnsi="arial" w:cs="arial"/>
          <w:color w:val="000000"/>
          <w:sz w:val="20"/>
          <w:lang w:val="en-US" w:eastAsia="en-US" w:bidi="ar-SA"/>
        </w:rPr>
        <w:t xml:space="preserve"> the administrator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within thirty days after becoming aware that a material conflict of interest exists, declare that conflict of interest to the pension council or to the members of the pension plan;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shall act in the best interests of the members of the pension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have concluded that it is far from clear, as submitted by the BDC, that the civil law of Quebec will apply to all aspects of the plaintiffs' claims. While it appears that civil law concepts will be important to the issues to be decided, it is also likely that common law concepts will ultimately inform the decision-making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reach that very preliminary conclusion on the basis of the argument and pleadings to date for the following reasons: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 8(1) of the Interpretation Act, </w:t>
      </w:r>
      <w:hyperlink r:id="rId601" w:history="1">
        <w:r>
          <w:rPr>
            <w:rFonts w:ascii="arial" w:eastAsia="arial" w:hAnsi="arial" w:cs="arial"/>
            <w:i/>
            <w:color w:val="0077CC"/>
            <w:sz w:val="20"/>
            <w:u w:val="single"/>
            <w:shd w:val="clear" w:color="auto" w:fill="FFFFFF"/>
            <w:lang w:val="en-US" w:eastAsia="en-US" w:bidi="ar-SA"/>
          </w:rPr>
          <w:t>R.S.C. 1985, c. I-21</w:t>
        </w:r>
      </w:hyperlink>
      <w:r>
        <w:rPr>
          <w:rFonts w:ascii="arial" w:eastAsia="arial" w:hAnsi="arial" w:cs="arial"/>
          <w:color w:val="000000"/>
          <w:sz w:val="20"/>
          <w:lang w:val="en-US" w:eastAsia="en-US" w:bidi="ar-SA"/>
        </w:rPr>
        <w:t xml:space="preserve"> provides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8.(1) Every enactment applies to the whole of Canada, unless a contrary intention is expressed in the enactment;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ss. 8.1 and 8.2 concerning the duality of legal traditions in Canada and the application of provincial law concerning property and civil rights provide: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8.1 Both the common law and the civil law are equally authoritative and recognized sources of the law of property and civil rights in Canada and, unless otherwise provided by law, if in interpreting an enactment it is necessary to refer to a province's rules, principles or concepts forming part of the law of property and civil rights, reference must be made to the rules, principles and concepts in force in the province at the time the enactment is being applied.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8.2 Unless otherwise provided by law, when an enactment contains both civil law and common law terminology, or terminology that has a different meaning in the civil law and the common law, the civil law terminology or meaning is to be adopted in the Province of Quebec and the common law terminology or meaning is to be adopted in the other provinces.</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 8(4) of the PBSA (enacted in 1986) requires the administration of the BDC Plan by the BDC as a "trustee" for the benefit of amongst others, Retired Members of the BDC Plan;</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opinion of Mr. Nachshen, prior to 1994, the applicable civil law concept of "trust" in Quebec was narrower than it is now, "applying only to certain arrangements created by gift". This gives rise to the distinct possibility that the interpretation of the duties of the BDC as a "trustee" will be informed by common law equitable principles developed outside of Quebec civil law;</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also, as I read Mr. Nachshen's opinion, if a Quebec Court was to determine the issues raised in this case, it would have regard to the relevant provisions of the BDC Plan, the provisions of the PBSA, the provisions of the Civil Code of Quebec as well as common law jurisprudence on point;</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approach suggested by Mr. Nachshen in relation to the determination of issues related to a national pension plan that is subject to the PBSA is not surprising and is similar to that recently undertaken by this Court in Williams v. British Columbia (College Pension Board of Trustees) </w:t>
      </w:r>
      <w:hyperlink r:id="rId602" w:history="1">
        <w:r>
          <w:rPr>
            <w:rFonts w:ascii="arial" w:eastAsia="arial" w:hAnsi="arial" w:cs="arial"/>
            <w:i/>
            <w:color w:val="0077CC"/>
            <w:sz w:val="20"/>
            <w:u w:val="single"/>
            <w:shd w:val="clear" w:color="auto" w:fill="FFFFFF"/>
            <w:lang w:val="en-US" w:eastAsia="en-US" w:bidi="ar-SA"/>
          </w:rPr>
          <w:t>(2005), 45 B.C.L.R. (4th) 158</w:t>
        </w:r>
      </w:hyperlink>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2005 BCSC 788</w:t>
        </w:r>
      </w:hyperlink>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254 D.L.R. (4th) 536</w:t>
        </w:r>
      </w:hyperlink>
      <w:r>
        <w:rPr>
          <w:rFonts w:ascii="arial" w:eastAsia="arial" w:hAnsi="arial" w:cs="arial"/>
          <w:color w:val="000000"/>
          <w:sz w:val="20"/>
          <w:lang w:val="en-US" w:eastAsia="en-US" w:bidi="ar-SA"/>
        </w:rPr>
        <w:t xml:space="preserve">. In that case Sigurdson J. considered the decision of the Quebec Court of Appeal in Association Provinciale des retraités d'Hydro-Quebec c. Hydro-Quebec </w:t>
      </w:r>
      <w:r>
        <w:rPr>
          <w:rFonts w:ascii="arial" w:eastAsia="arial" w:hAnsi="arial" w:cs="arial"/>
          <w:i/>
          <w:color w:val="000000"/>
          <w:sz w:val="20"/>
          <w:lang w:val="en-US" w:eastAsia="en-US" w:bidi="ar-SA"/>
        </w:rPr>
        <w:t>(2005), 45 C.C.P.B. 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[2005] R.J.Q. No. 927</w:t>
      </w:r>
      <w:r>
        <w:rPr>
          <w:rFonts w:ascii="arial" w:eastAsia="arial" w:hAnsi="arial" w:cs="arial"/>
          <w:color w:val="000000"/>
          <w:sz w:val="20"/>
          <w:lang w:val="en-US" w:eastAsia="en-US" w:bidi="ar-SA"/>
        </w:rPr>
        <w:t xml:space="preserve">, which had in turn relied upon the decision from the Supreme Court of Canada in Schmidt v. Air Products Canada Ltd., [1994] 2. S.C.R. 611, </w:t>
      </w:r>
      <w:hyperlink r:id="rId603" w:history="1">
        <w:r>
          <w:rPr>
            <w:rFonts w:ascii="arial" w:eastAsia="arial" w:hAnsi="arial" w:cs="arial"/>
            <w:i/>
            <w:color w:val="0077CC"/>
            <w:sz w:val="20"/>
            <w:u w:val="single"/>
            <w:shd w:val="clear" w:color="auto" w:fill="FFFFFF"/>
            <w:lang w:val="en-US" w:eastAsia="en-US" w:bidi="ar-SA"/>
          </w:rPr>
          <w:t>115 D.L.R. (4th) 631</w:t>
        </w:r>
      </w:hyperlink>
      <w:r>
        <w:rPr>
          <w:rFonts w:ascii="arial" w:eastAsia="arial" w:hAnsi="arial" w:cs="arial"/>
          <w:color w:val="000000"/>
          <w:sz w:val="20"/>
          <w:lang w:val="en-US" w:eastAsia="en-US" w:bidi="ar-SA"/>
        </w:rPr>
        <w:t>, that related to a case that had originated from Alberta; and</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approach also appears necessary to give effect to the "choice of law" clause in the 1991 Amendment which does not purport to make the law of Quebec the only applicable law governing that agreement because it also specifically refers to the "applicable laws of Canada", a phrase which must ultimately be given some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Since I am not persuaded that, as submitted by the BDC, it is clear and obvious that the civil law of Quebec will apply to all aspects of the plaintiffs' claims and since my preliminary assessment of the substantive law issues necessary for the purposes of this application leads me to conclude that the issues may well involve the application of both civil law and common law civil concepts, I have determined that issues concerning the applicable substantive law or the cost of proving foreign law are not factors that weigh heavily in favour of either British Columbia or Quebec as a more 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say that because, if there are significant differences between the civil law of Quebec and that of the common law provinces or any "applicable laws of Canada" concerning the issues raised in this litigation (a fact of which I am not presently convinced), it will be necessary to prove those differences in whatever forum ultimately determines the issues. There is no evidence that the cost of proving any "foreign law" would be greater in British Columbia than in Quebec.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Potential juridical advantages to the plaintiffs or disadvantages to the BDC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primary competing interests concerning these factors relate to questions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submit that s. 37 of the British Columbia Class Proceedings Act which establishes a "no-cost" regime under which neither a successful plaintiff nor a successful defendant may recover costs or disbursements from the other except in extraordinary circumstances avails the plaintiffs of a juridical advantage in British Columbia that is unavailable to them in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BDC submits that the combined effect on costs of the legislation and regulations that govern class proceedings in Quebec is not seriously disadvantageous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support of that position the BDC says that in Quebec, for costs purposes, all class actions are deemed to be actions of from $1,000 to $3,000. The BDC submits that in those circumstances any cost consequences to the plaintiffs if they are unsuccessful in Quebec would be insignificant.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also advised by counsel for the BDC that a representative plaintiff in a class action in Quebec has the option of applying under An Act Respecting the Class Action, R.S.Q., c. R-2.1 to the "Fonds d'aide aux recours collectifs" (the "Fonds"), for funding in the proceeding to defray the costs of paying both lawyer's fees and disbursements incurred in the class action. Also, if the BDC were to be ultimately successful in defending this proceeding as a class action in Quebec in circumstances where the representative plaintiff had applied for and been granted assistance by the Fonds, the BDC could potentially obtain recourse against the Fonds for any shortfall from the "full judicial costs" not recoverable from the property of the "representative". In such a case, the Fonds would be subrogated to the BDC's right of recovery from that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Counsel for the BDC submits that the potential of obtaining assistance from the Fonds provides a juridical advantage to the plaintiffs in Quebec that is not available to them in British Columbia and further, that the loss of the potential of the BDC recovering any shortfall in cost recovery from the Fonds establishes a juridical disadvantage to the BDC if required to defend this action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satisfied that the "no cost" regime under the British Columbia Class Proceedings Act provides some juridical advantage to the plaintiffs in British Columbia arising from certainty and the fact that even if the costs to which the representative plaintiffs are potentially liable under Quebec law are small, they are still recoverable from the representative plaintiff personally. Further, while the Quebec costs regime offers some potential assistance, that is both uncertain and discretionary.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am also satisfied that the absence of similar "shortfall" provisions in British Columbia to those potentially available in Quebec do not create a serious juridical disadvantage to the BDC in British Columbia because: based on the submissions of the BDC, any shortfall recovery would be minimal; and, any recovery would only be available if the plaintiffs applied for and received funding from the Fonds.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Convenience or inconvenience to witnesses and cost of conducting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BDC has submitted that nearly all of the key witnesses reside in Quebec. Amongst those suggested witnesses are present trustees of the BDC Plan, plan actuaries and witnesses who may give evidence on behalf of the custodian, Royal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BDC also submits that the conduct of this litigation in British Columbia would be far more costly for it than in Quebec due to the necessity of travel and the fact that most relevant documents will be located in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addition, the BDC says that although the plaintiffs would be inconvenienced by being required to have this trial in Quebec, that problem could be overcome by appointing a new representative plaintiff in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answer to those submissions, the plaintiffs submit that, as a national institution, the BDC has representatives in all provinces and executives who travel widely and regularly. They submit that transferring information and documentation from Montreal to a Vancouver lawyer would be "business as usual" for the BDC. They submit that, in contrast, the plaintiffs as British Columbia retirees would be dramatically adversely affected by the cost of conducting this litigation in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have determined that the factors of cost and inconvenience of having this litigation conducted in Quebec weigh in favour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am not convinced that all of the potential witnesses now identified by the BDC will ultimately be required to testify at trial. For example, I note that neither the trustees nor the custodian were sued by the plaintiffs. It is also my assessment of the pleadings and the evidence on this application, that if actuarial evidence is necessary, such evidence would not likely be 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Issues concerning the cost of pre-trial procedures and discovery of documents can, in many respects, be managed by sensitivity to the residence of a witness. For example, some discovery evidence could be taken in Quebec if a witness is not otherwise required to be in Vancouver for the BDC's usual business. Further, the availability and improvement of the quality of video conferencing technology has greatly lessened the impact of travel and distance on the litigation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Most importantly, however, I am satisfied that the BDC's submission concerning cost and inconvenience are centred only on their interest in this litigation. That is particularly so of the suggestion that the plaintiffs could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That submission is insensitive to the plaintiffs' personal interest in this litigation and particularly insensitive to Mr. Lieberman's unique knowledge of and involvement in the history of the evolution of the BDC Plan. Further, while the BDC suggests that a different representative plaintiff could be found in Quebec, none has come forward. The determination of these plaintiffs to have these issues tried by a court of competent jurisdiction should not be defeated by the possibility that there is no person who is both willing to come forward or appropriately qualified to take on the onerous responsibilities that Mr. Lieberman has willingly taken on in commencing these proceedings as a class action in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there are parallel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I noted at the commencement of this analysis, I disagree with the BDC's submission that the lack of parallel proceedings in Quebec should not be of significant concern to a forum non conveniens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One aspect of the BDC's submission which does, however, require some further analysis is the suggestion that to answer such concerns, the BDC could have merely sought a declaration in Quebec concerning whether it had breached any obligations owed to the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While there is a superficial attraction to that submission, in my view that attraction only arises from the fact that Quebec would also be an appropriate forum to determine the issues now raised by the plaintiffs. There are, however, significant difficulties with the proposition advanced. Those include:</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defendant be entitled to define the issues to be decided?</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who would be the defendants in a declaratory action commenced by the BDC?</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who would be the "representative defendant"?</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such an entity even contemplated by class action proceedings legislation?</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BDC did not obtain the declaratory relief sought, what members of the class would obtain what relief and how would they obtain such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For all of those reasons as well as the fact that Mr. Lieberman is not simply a "replaceable representative", I am satisfied that the lack of the existence of parallel proceedings in Quebec is an important factor in favour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is common ground that in circumstances where either of two possible jurisdictions would be suitable for the determination of the issues raised by the litigation at issue, the consideration of the numerous factors enunciated in Stern v. Dove, supra, and any other relevant factors is neither mathematical nor mechanical. Not all factors will be of equal weight. Rather, they must be assessed individually and collectively within the context of the case under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This is one of those cases described by Sopinka J. in Amchem Products, supra, where there are at least two and likely more jurisdictions which could appropriately exercise jurisdiction over the parties and the subject matter of the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Such issues as the residence of the parties, the application of the appropriate substantive law and the cost of litigation do not, as submitted by the BDC, heavily favour Quebec due to: the importance of the PBSA to the issues to be determined; the national nature of the BDC's undertaking; the national scope of the plaintiff class; and, the fact that there are no parallel proceedings in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Having considered the submissions of counsel in light of the totality of the evidence on this application and the principles enunciated in Amchem Products, Thrifty Canada, supra, and Stern v. Dove, I have determined that the applicant BDC has not met the burden of establishing that Quebec is the clearly more appropriate forum for the determination of the issues raised by the plaintiff in these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This action will be certified as a class action in British Columbia under s. 4 of the Class Proceedings Act. The plaintiff, Lucien Lieberman, will be appointed as a representative plaintiff under s. 4(1)(e). The ancillary orders that were negotiated by counsel and are needed to continue the conduct of this litigation as a class action in British Columbia will become orders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Moses v. Lower Nicola Indian Band, [2014] B.C.J. No. 669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Donegan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48738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669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643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Cyril Moses, Plaintiff, and Lower Nicola Indian Band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7" w:name="Keywords_25"/>
      <w:bookmarkEnd w:id="167"/>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Judgments and orders — Summary judgments — Availability — For part of claim — To dismiss action — Application by defendant for summary judgment or to strike plaintiff's claim allowed — Respondent sought legal costs for Federal Court action resolved by consent order — Order provided there would be no costs order — Claim brought on basis of tort of misfeasance in public office and/or unjust enrichment — Two year limitation period applicable to misfeasance in public office — No basis for postponement argument — Summary judgment granted — Six year limitation period applied to unjust enrichment — No facts pled to establish applicant's enrichment — Plain and obvious unjust enrichment claim disclosed no reasonable cause of action.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Time — Extension, interruption, suspension and inapplicability — Expiry of limitation periods — Effect of — Application by defendant for summary judgment or to strike plaintiff's claim allowed — Respondent sought legal costs for Federal Court action resolved by consent order — Order provided there would be no costs order — Claim brought on basis of tort of misfeasance in public office and/or unjust enrichment — Two year limitation period applicable to misfeasance in public office — No basis for postponement argument — Summary judgment granted — Six year limitation period applied to unjust enrichment — No facts pled to establish applicant's enrichment — Plain and obvious unjust enrichment claim disclosed no reasonable cause of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8" w:name="Case Summary_23"/>
            <w:bookmarkEnd w:id="1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summary judgment or to alternatively strike the plaintiff's claim. In the action, the respondent sought legal costs for a Federal Court action which was resolved on the basis of a consent order. The order provided that there would be no costs. The action was commenced on the basis of the tort of misfeasance in public office and/or unjust enrichment. The applicant argued that the claim should be dismissed on the basis that it was commenced after the expiry of the relevant limitation periods. Alternatively, the applicant argued that the claim disclosed no cause of action, constituted an abuse of process, or contained no genuine issue for trial because it was actually an attempt by the respondent to seek costs from the previous proceeding.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9" w:name="Holdings of Court_19"/>
            <w:bookmarkEnd w:id="169"/>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two year limitation period applied to the tort of misfeasance in public office. There was no basis to the respondent's position that the limitation period should be postponed. The respondent's concern that he was unable to make his case or did not have the opportunity to negotiate with the applicant was not a basis to postpone the limitations period. Summary judgment was therefore granted. A six year limitation period applied to the unjust enrichment claim. While there was no basis to grant summary judgment because the claim was brought in time, no facts were pled to establish the enrichment of the applicant. It was plain and obvious that the unjust enrichment claim disclosed no reasonable cause of action. The claim was accordingly struck.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Legislation Cited_18"/>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0"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3(2)(a), s. 3(5), s. 6(3), s. 6(4), s. 6(4)(b)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 Rule 9-5(1)(a), Rule 9-5(1)(d), Rule 9-6, Rule 9-6(5)(a)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1" w:name="Counsel_25"/>
      <w:bookmarkEnd w:id="1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 Nahanee.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 Anderson.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2" w:name="Judgment_25"/>
      <w:bookmarkEnd w:id="172"/>
      <w:r>
        <w:pict>
          <v:line id="_x0000_s1152"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3" w:name="S.A. DONEGAN J."/>
            <w:bookmarkEnd w:id="173"/>
            <w:r>
              <w:rPr>
                <w:rFonts w:ascii="arial" w:eastAsia="arial" w:hAnsi="arial" w:cs="arial"/>
                <w:b/>
                <w:color w:val="000000"/>
                <w:sz w:val="30"/>
                <w:lang w:val="en-US" w:eastAsia="en-US" w:bidi="ar-SA"/>
              </w:rPr>
              <w:t>S.A. DONEGAN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Donald Moses seeks to recover legal costs he incurred in a Federal Court action in 2010. The damages he seeks against the Lower Nicola Indian Band ("LNIB") appear to be based upon unjust enrichment and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application, LNIB seeks to have the claim dismissed pursuant to Rule 9-6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on the basis that it was brought after the expiration of the relevant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If summary dismissal is not granted or only disposes of part of the claim, LNIB also seeks an order striking out the claim pursuant to Rule 9-5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on the basis that the pleadings disclose no cause of action, constitute an abuse of process, or contain no genuine issue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Moses was Chief of LNIB when he was suspended twice from office in early 2010 as a result of two Band Council Resolutions ("BCRs").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Moses sought judicial review of the BCRs in the Federal Court of Canada by commencing Action T-209-10 in February of 2010 (the "Federal Court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Federal Court Action, Mr. Moses named himself and LNIB Council, as represented by two named councillors, as the applicants. He named the "Council Table", as represented by five named councillors, as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resolved the Federal Court Action by way of a consent order dated June 4, 2010. This consent order, among other things, reinstated Mr. Moses as Chief. With respect to the issue of costs, the order reads: "There is no order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parties each retained legal counsel to represent them in the Federal Court Action. LNIB did not agree to pay Mr. Moses' legal costs, nor has it paid any of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Following the consent order, Mr. Moses wrote to LNIB Chief and Council on three occasions, demanding repayment of the nearly $100,000.00 he paid to his lawyer for representation in the Federal Court Action. He wrote first on August 20, 2010. Receiving no reply, he wrote again in December of that year. Mr. Moses then took no further steps to pursue the matter until January 14, 2013, when he wrote for a third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25, 2013, LNIB Chief and Council wrote to Mr. Moses denying his request for repayment of his legal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May 2, 2013, Mr. Moses commenced this action, suing only LNIB for reimbursement of his legal costs. Specifically, he seeks: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1: RELIEF SOUGHT</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Declaratory Order that the Defendant, Lower Nicola Indian Band, is liable to reimburse the Plaintiff the sum of $99,000.00 for the legal expenses incurred by the Plaintiff in the discharge of his duties as Chief of the Lower Nicola Indian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pleadings are not drafted with precision or clarity. However, plaintiff's counsel made it clear in oral and subsequent written submissions that her client's claim is for damages based upon the tort of misfeasance in public office and/or unjust enrichment. Her client's claim is not a claim in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May 24, 2013, LNIB filed its response seeking dismissal of the action. LNIB claims, among other things, that Mr. Moses is not truly seeking damages based upon any provable cause of action, but is actually attempting to claim costs from the Federal Court Action where he agreed there would be no order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w:t>
      </w:r>
      <w:r>
        <w:rPr>
          <w:rFonts w:ascii="arial" w:eastAsia="arial" w:hAnsi="arial" w:cs="arial"/>
          <w:b/>
          <w:color w:val="000000"/>
          <w:sz w:val="20"/>
          <w:u w:val="single"/>
          <w:lang w:val="en-US" w:eastAsia="en-US" w:bidi="ar-SA"/>
        </w:rPr>
        <w:t>ARE THE PLAINTIFF'S CLAIMS STATUTE BARRED?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LNIB submits that both causes of action are statute barred. It says that whether the claim is brought as one in damages for economic loss as a result of misfeasance in public office, or as one for restitution based upon unjust enrichment, a two-year limitation period applies. Whether time began to run as of the date of the alleged misfeasance (January and February 2010), the date of the Federal Court Action consent order (June 4, 2010), or when the legal fees were paid by Mr. Moses (August 2010), the limitation period expired long before his claim was filed on May 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Moses' position, as articulated in his response to application and his counsel's oral and two sets of written submissions, was often difficult to discern. From what I can gather, Mr. Moses submits that the tort of misfeasance in public office has, at a minimum, a six-year limitation period. With respect to his claim based upon unjust enrichment, he says that no limitation period applies, citing a Lawyer's Weekly article discussing an Ontario family law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Alternatively, if a two-year limitation period applies, Mr. Moses submits that time began to run on January 25, 2013, the date of LNIB's letter refusing his demand for repayment.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Law</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Rule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relevant portions of Rule 9-6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by answering party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 of court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distinction between Rules 9-5 and 9-6 was outlined recently by the British Columbia Court of Appeal in </w:t>
      </w:r>
      <w:r>
        <w:rPr>
          <w:rFonts w:ascii="arial" w:eastAsia="arial" w:hAnsi="arial" w:cs="arial"/>
          <w:i/>
          <w:color w:val="000000"/>
          <w:sz w:val="20"/>
          <w:lang w:val="en-US" w:eastAsia="en-US" w:bidi="ar-SA"/>
        </w:rPr>
        <w:t>International Taoist Church of Canada v. Ching Chung Taoist Association of Hong Kong Limited</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 xml:space="preserve"> at paras. 9-15: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Rules 9-5 and 9-6 are quite different. The former is an attack on the pleadings on the basis that the action or the defence, as pleaded, cannot succeed as a matter of law. It raises a matter of law only. The latter is an assertion that the claim or the defence is factually without merit. It raises an issue of fact only or, at most, an issue of mixed fact and law, unless under subrule (5)(c) the court determines that "the only genuine issue is an issue of law", in which case it "may determine the question [of law] and pronounce judgment accordingly."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Rule 9-5 is concerned only with the sufficiency of pleadings. It provides in subrule (1) that the court may strike or amend any pleading, in whole or in part. Subrule (2) prohibits the filing of evidence on an application under subrule 1(a). An order striking a pleading could not be the basis for a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defence in subsequent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Rule 9-6 permits an application for summary judgment, either allowing a claim in whole or in part or dismissing a claim in whole or in part. It is clear that the result sought by the application would support a future pleading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It seemed to be the position of both counsel at the hearing of this appeal that no evidence was permitted on an application for summary judgment under this rule. I disagree.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Rule 9-6 does not contain a provision prohibiting the receipt of evidence. The rule replaces R. 18 in the previous rules. Rule 18 required affidavit evidence. I find it curious that R. 9-6 does not specifically provide for affidavit evidence except in response to a plaintiff's application. It is inconceivable to me, however, that a plaintiff could overcome a filed defence and obtain summary judgment under the new rule in the absence of sworn evidence that proves the claim. A claim for a liquidated sum under a contract, for example, surely would require sworn evidence under the rule to prove the contract, breach of the contract and the amount 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It is also inconceivable to me that a defendant could obtain summary judgment without presenting sworn evidence establishing that the claim is without merit. In either case, if the court is faced with oath against oath it is most unlikely that it could grant judgment to the plaintiff or dismiss the claim, as the case may be. In that regard, see the judgment of Thackray J.A. in </w:t>
      </w:r>
      <w:r>
        <w:rPr>
          <w:rFonts w:ascii="arial" w:eastAsia="arial" w:hAnsi="arial" w:cs="arial"/>
          <w:i/>
          <w:color w:val="000000"/>
          <w:sz w:val="20"/>
          <w:lang w:val="en-US" w:eastAsia="en-US" w:bidi="ar-SA"/>
        </w:rPr>
        <w:t>Skybridge Investments Ltd. v. Metro Motors Ltd. (c.o.b. Metro Ford)</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61 B.C.L.R. (4th) 241</w:t>
        </w:r>
      </w:hyperlink>
      <w:r>
        <w:rPr>
          <w:rFonts w:ascii="arial" w:eastAsia="arial" w:hAnsi="arial" w:cs="arial"/>
          <w:color w:val="000000"/>
          <w:sz w:val="20"/>
          <w:lang w:val="en-US" w:eastAsia="en-US" w:bidi="ar-SA"/>
        </w:rPr>
        <w:t>,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There was no evidence before the chambers judge. The contract documents, in my opinion, could have been before the court as exhibits to an affidavit on the application for summary judgment but not on the application to strike the entire statement of claim. In my opinion, the chambers judge was obliged to dismiss the application for summary judgment under R. 9-6 because of the absence of sworn evidence establishing that the claim was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Rule 9-6(5)(a) is mandatory. In </w:t>
      </w: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 Madam Justice Koenigsberg explained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Rule 9-6(5)(a) is mandatory. If the court is satisfied that there is no genuine issue for trial, then it must dismiss the claim. On an application under Rule 9-6, the court may make an order for summary judgment in favour of a defendant dismissing the claim only where a plaintiff is "bound to lose". Another way of stating the test is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w:t>
      </w:r>
      <w:r>
        <w:rPr>
          <w:rFonts w:ascii="arial" w:eastAsia="arial" w:hAnsi="arial" w:cs="arial"/>
          <w:i/>
          <w:color w:val="000000"/>
          <w:sz w:val="20"/>
          <w:lang w:val="en-US" w:eastAsia="en-US" w:bidi="ar-SA"/>
        </w:rPr>
        <w:t>Pitt v. Holt</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2007 BCSC 1555</w:t>
        </w:r>
      </w:hyperlink>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Pearlman v. Critchley</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2012 BCSC 170</w:t>
        </w:r>
      </w:hyperlink>
      <w:r>
        <w:rPr>
          <w:rFonts w:ascii="arial" w:eastAsia="arial" w:hAnsi="arial" w:cs="arial"/>
          <w:color w:val="000000"/>
          <w:sz w:val="20"/>
          <w:lang w:val="en-US" w:eastAsia="en-US" w:bidi="ar-SA"/>
        </w:rPr>
        <w:t xml:space="preserve"> at para. 16. In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at paras. 10-13, Thackray J.A. states as follows at paras. 10-13: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 A judge hearing an application pursuant to Rule 18(6) must: examine the pleaded facts to determine which causes of action they may support; identify the essential elements required to be proved at trial in order to succeed on each cause of action; and determine if sufficient material facts have been pleaded to support each element of a given cause of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If </w:t>
      </w:r>
      <w:r>
        <w:rPr>
          <w:rFonts w:ascii="arial" w:eastAsia="arial" w:hAnsi="arial" w:cs="arial"/>
          <w:color w:val="000000"/>
          <w:sz w:val="20"/>
          <w:u w:val="single"/>
          <w:lang w:val="en-US" w:eastAsia="en-US" w:bidi="ar-SA"/>
        </w:rPr>
        <w:t>insufficient</w:t>
      </w:r>
      <w:r>
        <w:rPr>
          <w:rFonts w:ascii="arial" w:eastAsia="arial" w:hAnsi="arial" w:cs="arial"/>
          <w:color w:val="000000"/>
          <w:sz w:val="20"/>
          <w:lang w:val="en-US" w:eastAsia="en-US" w:bidi="ar-SA"/>
        </w:rPr>
        <w:t xml:space="preserve"> material facts have been pleaded to support every element of a cause of action, then beyond a doubt that cause of action is bound to fail and a defendant bringing an application pursuant to Rule 18(6) will have met the onus to negative the existence of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If </w:t>
      </w:r>
      <w:r>
        <w:rPr>
          <w:rFonts w:ascii="arial" w:eastAsia="arial" w:hAnsi="arial" w:cs="arial"/>
          <w:color w:val="000000"/>
          <w:sz w:val="20"/>
          <w:u w:val="single"/>
          <w:lang w:val="en-US" w:eastAsia="en-US" w:bidi="ar-SA"/>
        </w:rPr>
        <w:t>sufficient</w:t>
      </w:r>
      <w:r>
        <w:rPr>
          <w:rFonts w:ascii="arial" w:eastAsia="arial" w:hAnsi="arial" w:cs="arial"/>
          <w:color w:val="000000"/>
          <w:sz w:val="20"/>
          <w:lang w:val="en-US" w:eastAsia="en-US" w:bidi="ar-SA"/>
        </w:rPr>
        <w:t xml:space="preserve"> material facts have been pleaded to support every element of a cause of action, but one or more of those pleaded material facts are contested, then the judge ruling on a Rule 18(6) application is not to weigh the evidence to determine the issue of fact for the purpose of the application. The judge's function is limited to a determination as to whether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arises on the material before the court in the context of the applicable law. If a judge ruling on a Rule 18(6) application must assess and weigh the evidence to arrive at a summary judgment, the "plain and obvious" or "beyond a doubt" test has not been met.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On appeal, as on the application in chambers, the question addressed in a Rule 18(6) application of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issue to be tried must be decided assuming that the uncontested material facts as pleaded by the plaintiff are true: </w:t>
      </w:r>
      <w:r>
        <w:rPr>
          <w:rFonts w:ascii="arial" w:eastAsia="arial" w:hAnsi="arial" w:cs="arial"/>
          <w:i/>
          <w:color w:val="000000"/>
          <w:sz w:val="20"/>
          <w:lang w:val="en-US" w:eastAsia="en-US" w:bidi="ar-SA"/>
        </w:rPr>
        <w:t>Van Den Akker v. Naudi</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[1997] B.C.J. No. 1649</w:t>
        </w:r>
      </w:hyperlink>
      <w:r>
        <w:rPr>
          <w:rFonts w:ascii="arial" w:eastAsia="arial" w:hAnsi="arial" w:cs="arial"/>
          <w:color w:val="000000"/>
          <w:sz w:val="20"/>
          <w:lang w:val="en-US" w:eastAsia="en-US" w:bidi="ar-SA"/>
        </w:rPr>
        <w:t xml:space="preserve"> (Q.L.), 1997 CarswellBC 1470 (WeC)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If a plaintiff's claim is clearly statute barred, it is a claim where "there is no issue for trial" and is suitable for summary judgment: </w:t>
      </w:r>
      <w:r>
        <w:rPr>
          <w:rFonts w:ascii="arial" w:eastAsia="arial" w:hAnsi="arial" w:cs="arial"/>
          <w:i/>
          <w:color w:val="000000"/>
          <w:sz w:val="20"/>
          <w:lang w:val="en-US" w:eastAsia="en-US" w:bidi="ar-SA"/>
        </w:rPr>
        <w:t>Andersen v. Howes</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2012 BCSC 1229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An action which is clearly statute barred can be dismissed on a summary judgment application, unless there are "real issues concerning postponement": </w:t>
      </w:r>
      <w:r>
        <w:rPr>
          <w:rFonts w:ascii="arial" w:eastAsia="arial" w:hAnsi="arial" w:cs="arial"/>
          <w:i/>
          <w:color w:val="000000"/>
          <w:sz w:val="20"/>
          <w:lang w:val="en-US" w:eastAsia="en-US" w:bidi="ar-SA"/>
        </w:rPr>
        <w:t>Sime v. Jupp</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2009 BCSC 1154</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On a summary judgment application, the court is not to weigh evidence or choose between conflicting versions of events if there are disputed facts. Inferences from the facts are to be viewed in the light most favourable to the plaintiff: </w:t>
      </w:r>
      <w:r>
        <w:rPr>
          <w:rFonts w:ascii="arial" w:eastAsia="arial" w:hAnsi="arial" w:cs="arial"/>
          <w:i/>
          <w:color w:val="000000"/>
          <w:sz w:val="20"/>
          <w:lang w:val="en-US" w:eastAsia="en-US" w:bidi="ar-SA"/>
        </w:rPr>
        <w:t>Foote v. Canada (Attorney General)</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2012 BCSC 177</w:t>
        </w:r>
      </w:hyperlink>
      <w:r>
        <w:rPr>
          <w:rFonts w:ascii="arial" w:eastAsia="arial" w:hAnsi="arial" w:cs="arial"/>
          <w:color w:val="000000"/>
          <w:sz w:val="20"/>
          <w:lang w:val="en-US" w:eastAsia="en-US" w:bidi="ar-SA"/>
        </w:rPr>
        <w:t xml:space="preserve"> at para. 25, aff'd </w:t>
      </w:r>
      <w:hyperlink r:id="rId620" w:history="1">
        <w:r>
          <w:rPr>
            <w:rFonts w:ascii="arial" w:eastAsia="arial" w:hAnsi="arial" w:cs="arial"/>
            <w:i/>
            <w:color w:val="0077CC"/>
            <w:sz w:val="20"/>
            <w:u w:val="single"/>
            <w:shd w:val="clear" w:color="auto" w:fill="FFFFFF"/>
            <w:lang w:val="en-US" w:eastAsia="en-US" w:bidi="ar-SA"/>
          </w:rPr>
          <w:t>2013 BCCA 135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The Applicable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Following oral submissions and receipt of written submissions, I requested further written submissions in respect of the applicable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Specifically, I requested submissions on whether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[2012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or it predecessor,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[1996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 applies in this case. Counsel had referred to both acts in the course of their submissions and in their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From these further written submissions, it seems both counsel agree the 1996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 I concur.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2012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came into force on June 1, 2013. This action was commenced approximately one month earlier and concerns alleged acts or omissions that occurred in 2010. The transitional provisions contained within the 2012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also support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relevant provisions of the 1996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(2) After the expiration of 2 years after the date on which the right to do so arose a person may not bring any of the following actions: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 (k), for damages in respect of injury to person or property, including economic loss arising from the injury, whether based on contract, tort or statutory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paragraphs 13 and 16 of his notice of civil claim, Mr. Moses claims that passage of the BCRs suspending him as Chief constituted "malfeasance in public office (negatively affecting the political integrity of the LNIB)." It is curious that the alleged tortfeasors, the councillors who passed the BCRs, are not named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elements of this cause of action were summarized by the Supreme Court of Canada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To summarize, I am of the opinion that the tort of misfeasance in a public office is an intentional tort whose distinguishing elements are twofold: (i) deliberate unlawful conduct in the exercise of public functions; and (ii) awareness that the conduct is unlawful and likely to injure the plaintiff. Alongside deliberate unlawful conduct and the requisite knowledge, a plaintiff must also prove the other requirements common to all torts. More specifically, the plaintiff must prove that the tortious conduct was the legal cause of his or her injuries, and that the injuries suffered are compensable in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Neither counsel provided relevant case law regarding the applicable limitation period; however, recent authorities make it clear, in my view, that the limitation period for the tort of misfeasance in public office is two years: </w:t>
      </w:r>
      <w:r>
        <w:rPr>
          <w:rFonts w:ascii="arial" w:eastAsia="arial" w:hAnsi="arial" w:cs="arial"/>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Foote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Canada (Attorney General)</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2012 BCSC 1732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Foote v. Canada (Attorney General)</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2013 BCCA 135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general rule is that the limitation period begins to run on the date of the injury: </w:t>
      </w:r>
      <w:r>
        <w:rPr>
          <w:rFonts w:ascii="arial" w:eastAsia="arial" w:hAnsi="arial" w:cs="arial"/>
          <w:i/>
          <w:color w:val="000000"/>
          <w:sz w:val="20"/>
          <w:lang w:val="en-US" w:eastAsia="en-US" w:bidi="ar-SA"/>
        </w:rPr>
        <w:t>Levitt v. Carr</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(1992), 66 B.C.L.R. (2d) 58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absence of postponement, I find the date of injury or commencement of the applicable limitation period was either the date of the second BCR or the date Mr. Moses incurred his legal fees. In either case, the two-year limitation period had long expired at the time he filed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Mr. Moses did not plead postponement under the applicable provisions of the 1996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in his pleadings. He did not specifically claim postponement in his application response or his submissions. However, his counsel has referred to issues of "discoverability".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discoverability and postponement provisions are found in ss. 6(3) and (4) of the 1996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which provide:</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brought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McLachlin J., as she then was, summarized the proper interpretation of s. 6(4)(b) of the 1996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scheme and purpose of the Act leads me to conclude that the appropriate test is a variant of the second approach. Leaving aside the requirement that the identity of the defendant must be known to the plaintiff and that the provisions of s. 6(4)(a) must also be satisfied before the running of time is postponed, it is my view that the proper interpretation of s. 6(4)(b) may be summarized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 6(4)(b) requires the court to adopt the perspective of a reasonable person who knows the facts that are within the plaintiff's knowledge and has taken the appropriate advice a reasonable person would seek on those facts. Time does not begin to run until this reasonable person would conclude that someone in the plaintiff's position could, acting reasonably in light of his or her own circumstances and interests, bring an action. The question posed by s. 6(4)(b) therefore becomes: "in light of his or her own particular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Purely tactical concerns have no place in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have the benefit of comprehensive affidavit evidence from both parties. Mr. Moses claims that following his reinstatement as Chief in June 2010 and October 2011, he was unable to seek reimbursement of his legal fees because members of the council table refused to attend meetings. He further claims that the LNIB was "completely dysfunctional" between June 6, 2010 and July 30, 2012, as evidenced by other Federal Court decisions. He claims it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impossible for me to make [my] case for reimbursement of my personal moneys expended on behalf of the LNIB because of the political instability and hostility at the Council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Even accepting Mr. Moses' evidence fully, I find there are no facts raised that would support any postponement argument under the 1996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Put another way, viewing Mr. Moses' evidence in the most favourable light, I find there are "no real issues concerning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Moses knew the identity of the potential defendants from the moment his claim arose. Further, at that time all of the facts of the case were within his means of knowledge as meant by s. 6(4). While those facts cannot be said to show that the action would have a reasonable prospect of success apart from the limitation period, that is due to the weakness of Mr. Moses' claim rather than any facts remaining undiscovered. Finally, in light of his particular circumstances and interest, he was fully able to bring an action as of the date his claim arose. Simply because he felt he was unable to "make his case" or negotiate with the defendant during a period of instability did not prevent him from bringing an action within the two-year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view, it cannot be said that Mr. Moses could not reasonably have commenced this claim within the applicable limitation period. By his own evidence, he believed the alleged tortfeasors had committed a wrong against him, causing him economic harm, in 2010. Yet, he did nothing in the three years that passed to file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infer from counsel's written submission that the plaintiff relies upon </w:t>
      </w:r>
      <w:r>
        <w:rPr>
          <w:rFonts w:ascii="arial" w:eastAsia="arial" w:hAnsi="arial" w:cs="arial"/>
          <w:i/>
          <w:color w:val="000000"/>
          <w:sz w:val="20"/>
          <w:lang w:val="en-US" w:eastAsia="en-US" w:bidi="ar-SA"/>
        </w:rPr>
        <w:t>Vance v. Peglar</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(1996), 22 B.C.L.R. (3d) 251</w:t>
        </w:r>
      </w:hyperlink>
      <w:r>
        <w:rPr>
          <w:rFonts w:ascii="arial" w:eastAsia="arial" w:hAnsi="arial" w:cs="arial"/>
          <w:color w:val="000000"/>
          <w:sz w:val="20"/>
          <w:lang w:val="en-US" w:eastAsia="en-US" w:bidi="ar-SA"/>
        </w:rPr>
        <w:t xml:space="preserve"> (C.A.), to support his position that the limitation period was postponed until January 25, 2013, the date LNIB wrote to him rejecting his request for reimbursement.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Plaintiff's counsel only provided a headnote of this case, a practise which is to be discouraged. Upon review of the entire judgment, I agree with the defendant's position that it is clearly distinguishable from the case at bar. It does not stand for the very general proposition that the plaintiff asserts. In </w:t>
      </w:r>
      <w:r>
        <w:rPr>
          <w:rFonts w:ascii="arial" w:eastAsia="arial" w:hAnsi="arial" w:cs="arial"/>
          <w:i/>
          <w:color w:val="000000"/>
          <w:sz w:val="20"/>
          <w:lang w:val="en-US" w:eastAsia="en-US" w:bidi="ar-SA"/>
        </w:rPr>
        <w:t>Vance</w:t>
      </w:r>
      <w:r>
        <w:rPr>
          <w:rFonts w:ascii="arial" w:eastAsia="arial" w:hAnsi="arial" w:cs="arial"/>
          <w:color w:val="000000"/>
          <w:sz w:val="20"/>
          <w:lang w:val="en-US" w:eastAsia="en-US" w:bidi="ar-SA"/>
        </w:rPr>
        <w:t xml:space="preserve">, the plaintiff suffered a serious injury while at work. While receiving treatment for that injury in hospital, he suffered further injuries. After his discharge from the hospital, he filed a Worker's Compensation claim for the injuries he suffered on the job and those endured at the hospital. The Worker's Compensation Board accepted his claim for the workplace injuries, but rejected the claim pertaining to injuries he suffered in the hospital. Mr. Vance and his lawyer pursued a variety of appeals within the Worker's Compensation Board scheme. When all appeals were finally exhausted, he commenced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professionals who had treated him for his injuries. In those circumstances, the court postponed the running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this case, Mr. Moses was not pursuing any legal avenues in the roughly three years that passed between the time he incurred the loss and when he commenced this action. He simply wrote to LNIB twice in 2010, seeking compensation. When he received no answer, he waited for over two years to try again, feeling that LNIB was in such a state of disarray that he could not approach the issue. These facts are clearly distinguishable from those in </w:t>
      </w:r>
      <w:r>
        <w:rPr>
          <w:rFonts w:ascii="arial" w:eastAsia="arial" w:hAnsi="arial" w:cs="arial"/>
          <w:i/>
          <w:color w:val="000000"/>
          <w:sz w:val="20"/>
          <w:lang w:val="en-US" w:eastAsia="en-US" w:bidi="ar-SA"/>
        </w:rPr>
        <w:t>Vance</w:t>
      </w:r>
      <w:r>
        <w:rPr>
          <w:rFonts w:ascii="arial" w:eastAsia="arial" w:hAnsi="arial" w:cs="arial"/>
          <w:color w:val="000000"/>
          <w:sz w:val="20"/>
          <w:lang w:val="en-US" w:eastAsia="en-US" w:bidi="ar-SA"/>
        </w:rPr>
        <w:t>. As I have indicated, there are no facts to support a finding of postponement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end, I find the plaintiff's claim, based on the tort of misfeasance in public office, is barred by the passage of time. The defendant's application for summary judgment is granted with respect to this portion of the claim. The plaintiff's claim for damages as a result of misfeasance in public office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Moses submits there is no limitation period for a claim based upon unjust enrichment. In support, his counsel cites a 2013 Lawyer's Weekly article discussing an Ontario family law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LNIB submits the plaintiff's claim for restitution, based upon unjust enrichment, is a "claim for economic loss based upon an allegation of breach of statutory duty", whereby the two-year limitation period set out in s. 3(2)(a) of the 1996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disagree with both parties. I find that the six-year limitation period set out in s. 3(5) of the 1996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argument has no relevance to this case. I must stress that citing only an article discussing case law is a practice to be discouraged. Upon review of the actual decision, it is clearly inapplicable. The decision deals with a different subject matter in an entirely different provincial 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argument that s. 3(2)(a) should govern does not take into account the introductory phrase in s. 3(2)(a), which specifies "...for damages in respect of injury to person or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This is a claim for economic loss. As stated by the British Columbia Court of Appeal in </w:t>
      </w:r>
      <w:r>
        <w:rPr>
          <w:rFonts w:ascii="arial" w:eastAsia="arial" w:hAnsi="arial" w:cs="arial"/>
          <w:i/>
          <w:color w:val="000000"/>
          <w:sz w:val="20"/>
          <w:lang w:val="en-US" w:eastAsia="en-US" w:bidi="ar-SA"/>
        </w:rPr>
        <w:t>Armstrong v. West Vancouver (District)</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2003 BCCA 73</w:t>
        </w:r>
      </w:hyperlink>
      <w:r>
        <w:rPr>
          <w:rFonts w:ascii="arial" w:eastAsia="arial" w:hAnsi="arial" w:cs="arial"/>
          <w:color w:val="000000"/>
          <w:sz w:val="20"/>
          <w:lang w:val="en-US" w:eastAsia="en-US" w:bidi="ar-SA"/>
        </w:rPr>
        <w:t xml:space="preserve">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It is now settled that a claim for pure economic loss is not "injury to property" within s. 3(2)(a)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Alberni District Credit Union v. Cambridge Properties Ltd.</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(1985), 65 B.C.L.R. 297</w:t>
        </w:r>
      </w:hyperlink>
      <w:r>
        <w:rPr>
          <w:rFonts w:ascii="arial" w:eastAsia="arial" w:hAnsi="arial" w:cs="arial"/>
          <w:color w:val="000000"/>
          <w:sz w:val="20"/>
          <w:lang w:val="en-US" w:eastAsia="en-US" w:bidi="ar-SA"/>
        </w:rPr>
        <w:t xml:space="preserve">(C.A.); </w:t>
      </w:r>
      <w:r>
        <w:rPr>
          <w:rFonts w:ascii="arial" w:eastAsia="arial" w:hAnsi="arial" w:cs="arial"/>
          <w:b/>
          <w:i/>
          <w:color w:val="000000"/>
          <w:sz w:val="20"/>
          <w:lang w:val="en-US" w:eastAsia="en-US" w:bidi="ar-SA"/>
        </w:rPr>
        <w:t>Workers' Compensation Bd. (British Columbia) v. Genstar Corp.</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(1986), 24 B.C.L.R. (2d) 157</w:t>
        </w:r>
      </w:hyperlink>
      <w:r>
        <w:rPr>
          <w:rFonts w:ascii="arial" w:eastAsia="arial" w:hAnsi="arial" w:cs="arial"/>
          <w:color w:val="000000"/>
          <w:sz w:val="20"/>
          <w:lang w:val="en-US" w:eastAsia="en-US" w:bidi="ar-SA"/>
        </w:rPr>
        <w:t xml:space="preserve"> (C.A.). The applicable limitation provision is therefore s. 3(5) which sets a basic limitation period of 6 years from the date the right to bring the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Many cases have held that, generally, an unjust enrichment claim is subject to a six-year limitation period: </w:t>
      </w:r>
      <w:r>
        <w:rPr>
          <w:rFonts w:ascii="arial" w:eastAsia="arial" w:hAnsi="arial" w:cs="arial"/>
          <w:i/>
          <w:color w:val="000000"/>
          <w:sz w:val="20"/>
          <w:lang w:val="en-US" w:eastAsia="en-US" w:bidi="ar-SA"/>
        </w:rPr>
        <w:t>Hansen Estate v. Hansen</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2005 BCSC 305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Guzzo v. Catlin Estate</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(1989), 38 B.C.L.R. (2d) 41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Deutschmann Estate v. Fallis</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2011 BCSC 1009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Can-Auto Inspections Inc. v. Vascor, Ltd.</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2011 BCSC 1644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Peace Portal Properties Ltd. v. Surrey (District)</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[1989] B.C.J. No. 533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Accordingly, the plaintiff's claim for restitution, based upon unjust enrichment, is not barred by the passage of time. The defendant's application for summary judgment in respect of this cause of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w:t>
      </w:r>
      <w:r>
        <w:rPr>
          <w:rFonts w:ascii="arial" w:eastAsia="arial" w:hAnsi="arial" w:cs="arial"/>
          <w:b/>
          <w:color w:val="000000"/>
          <w:sz w:val="20"/>
          <w:u w:val="single"/>
          <w:lang w:val="en-US" w:eastAsia="en-US" w:bidi="ar-SA"/>
        </w:rPr>
        <w:t>APPLICATION TO STRIKE PLEADINGS -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Given that I have granted summary judgment dismissing only part of the claim, I will now consider LNIB's application to strike the balance of the action, namely the unjust enrichment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LNIB submits that the plaintiff has advanced no reasonable cause of action and his claim ought to be struck. It says that Mr. Moses is actually trying to recover legal costs from another forum as against LNIB when the issue of costs was already decided between the parties to the action. As such, the claim constitutes an abuse of the process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Mr. Moses submits that he did not name LNIB as a party to the Federal Court Action and, therefore, his action to recover costs is not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He asserts that his pleadings meet "the incredibly low threshold [in] that they contain no radical defect and they are not certain to fail." No particular submissions were made with respect to his unjust enrichment claim, but I note that his pleadings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BASIS: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Lower Nicola Indian Band, has been unjustly enriched by the value of the legal fees incurred for its benefit by the Plaintiff. The test for unjust enrichment is as set out in </w:t>
      </w:r>
      <w:r>
        <w:rPr>
          <w:rFonts w:ascii="arial" w:eastAsia="arial" w:hAnsi="arial" w:cs="arial"/>
          <w:color w:val="000000"/>
          <w:sz w:val="20"/>
          <w:u w:val="single"/>
          <w:lang w:val="en-US" w:eastAsia="en-US" w:bidi="ar-SA"/>
        </w:rPr>
        <w:t>Peter</w:t>
      </w:r>
      <w:r>
        <w:rPr>
          <w:rFonts w:ascii="arial" w:eastAsia="arial" w:hAnsi="arial" w:cs="arial"/>
          <w:color w:val="000000"/>
          <w:sz w:val="20"/>
          <w:lang w:val="en-US" w:eastAsia="en-US" w:bidi="ar-SA"/>
        </w:rPr>
        <w:t xml:space="preserve"> v. </w:t>
      </w:r>
      <w:r>
        <w:rPr>
          <w:rFonts w:ascii="arial" w:eastAsia="arial" w:hAnsi="arial" w:cs="arial"/>
          <w:color w:val="000000"/>
          <w:sz w:val="20"/>
          <w:u w:val="single"/>
          <w:lang w:val="en-US" w:eastAsia="en-US" w:bidi="ar-SA"/>
        </w:rPr>
        <w:t>Beblow</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[1993] 1 S.C.R. 980</w:t>
        </w:r>
      </w:hyperlink>
      <w:r>
        <w:rPr>
          <w:rFonts w:ascii="arial" w:eastAsia="arial" w:hAnsi="arial" w:cs="arial"/>
          <w:color w:val="000000"/>
          <w:sz w:val="20"/>
          <w:lang w:val="en-US" w:eastAsia="en-US" w:bidi="ar-SA"/>
        </w:rPr>
        <w:t xml:space="preserve"> at 987.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Law</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LNIB relies upon Rules 9-5(1)(a) and (d), which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test to be applied on an application pursuant to Rule 9-5 is well settled. Both parties referred to one of the leading cases: </w:t>
      </w:r>
      <w:r>
        <w:rPr>
          <w:rFonts w:ascii="arial" w:eastAsia="arial" w:hAnsi="arial" w:cs="arial"/>
          <w:i/>
          <w:color w:val="000000"/>
          <w:sz w:val="20"/>
          <w:lang w:val="en-US" w:eastAsia="en-US" w:bidi="ar-SA"/>
        </w:rPr>
        <w:t>Hunt v. Carey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Imperial Tobacco Canada</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the Supreme Court of Canada reiterated the test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parties agree on the test applicable on a motion to strike for not disclosing a reasonable cause of action under r. 19(24)(a) of the B.C.</w:t>
      </w:r>
      <w:r>
        <w:rPr>
          <w:rFonts w:ascii="arial" w:eastAsia="arial" w:hAnsi="arial" w:cs="arial"/>
          <w:i/>
          <w:color w:val="000000"/>
          <w:sz w:val="20"/>
          <w:lang w:val="en-US" w:eastAsia="en-US" w:bidi="ar-SA"/>
        </w:rPr>
        <w:t xml:space="preserve"> Supreme Court Rules</w:t>
      </w:r>
      <w:r>
        <w:rPr>
          <w:rFonts w:ascii="arial" w:eastAsia="arial" w:hAnsi="arial" w:cs="arial"/>
          <w:color w:val="000000"/>
          <w:sz w:val="20"/>
          <w:lang w:val="en-US" w:eastAsia="en-US" w:bidi="ar-SA"/>
        </w:rPr>
        <w:t xml:space="preserve">. This Court has reiterated the test on many occasions. A claim will only be struck if it is plain and obvious, assuming the facts pleaded to be true, that the pleading discloses no reasonable cause of action: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at para. 15;</w:t>
      </w:r>
      <w:r>
        <w:rPr>
          <w:rFonts w:ascii="arial" w:eastAsia="arial" w:hAnsi="arial" w:cs="arial"/>
          <w:i/>
          <w:color w:val="000000"/>
          <w:sz w:val="20"/>
          <w:lang w:val="en-US" w:eastAsia="en-US" w:bidi="ar-SA"/>
        </w:rPr>
        <w:t xml:space="preserve"> 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 Another way of putting the test is that the claim has no reasonable prospect of success. Where a reasonable prospect of success exists, the matter should be allowed to proceed to trial: see, generally,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Odhavji Estate</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Hunt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Attorney General of Canada v. Inuit Tapirisat of Canada</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Further, the Supreme Court of Canada reviewed the purpose and application of this test at paras. 19-22: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power to strike out claims that have no reasonable prospect of success is a valuable housekeeping measure essential to effective and fair litigation. It unclutters the proceedings, weeding out the hopeless claims and ensuring that those that have some chance of success go on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This promotes two goods -- efficiency in the conduct of the litigation and correct results. Striking out claims that have no reasonable prospect of success promotes litigation efficiency, reducing time and cost. The litigants can focus on serious claims, without devoting days and sometimes weeks of evidence and argument to claims that are in any event hopeless. The same applies to judges and juries, whose attention is focused where it should be -- on claims that have a reasonable chance of success. The efficiency gained by weeding out unmeritorious claims in turn contributes to better justice. The more the evidence and arguments are trained on the real issues, the more likely it is that the trial process will successfully come to grips with the parties' respective positions on those issues and the merits of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Valuable as it is, the motion to strike is a tool that must be used with care. The law is not static and unchanging. Actions that yesterday were deemed hopeless may tomorrow succeed. Before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introduced a general duty of care to one's neighbour premised on foreseeability, few would have predicted that, absent a contractual relationship, a bottling company could be held liable for physical injury and emotional trauma resulting from a snail in a bottle of ginger beer. Before </w:t>
      </w:r>
      <w:r>
        <w:rPr>
          <w:rFonts w:ascii="arial" w:eastAsia="arial" w:hAnsi="arial" w:cs="arial"/>
          <w:i/>
          <w:color w:val="000000"/>
          <w:sz w:val="20"/>
          <w:lang w:val="en-US" w:eastAsia="en-US" w:bidi="ar-SA"/>
        </w:rPr>
        <w:t>Hedley Byrne &amp; Co. v. Heller &amp; Partners Ltd.</w:t>
      </w:r>
      <w:r>
        <w:rPr>
          <w:rFonts w:ascii="arial" w:eastAsia="arial" w:hAnsi="arial" w:cs="arial"/>
          <w:color w:val="000000"/>
          <w:sz w:val="20"/>
          <w:lang w:val="en-US" w:eastAsia="en-US" w:bidi="ar-SA"/>
        </w:rPr>
        <w:t xml:space="preserve">, [1963] 2 All E.R. 575 (H.L.), a tort action for negligent misstatement would have been regarded as incapable of success. The history of our law reveals that often new developments in the law first surface on motions to strike or similar preliminary motions, like the one at issue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Therefore, on a motion to strike, it is not determinative that the law has not yet recognized the particular claim. The court must rather ask whether, assuming the facts pleaded are true, there is a reasonable prospect that the claim will succeed. The approach must be generous and err on the side of permitting a novel but arguable claim to proceed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A motion to strike for failure to disclose a reasonable cause of action proceeds on the basis that the facts pleaded are true, unless they are manifestly incapable of being proven: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p. 455. No evidence is admissible on such a motion: r. 19(27)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(now r. 9-5(2)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It is incumbent on the claimant to clearly plead the facts upon which it relies in making its claim. A claimant is not entitled to rely on the possibility that new facts may turn up as the case progresses. The claimant may not be in a position to prove the facts pleaded at the time of the motion. It may only hope to be able to prove them. But plead them it must. The facts pleaded are the firm basis upon which the possibility of success of the claim must be evaluated. If they are not pleaded, the exercise cannot be properly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discussed earlier, Rule 9-5 is an attack on the pleadings as they stand on the basis that the action cannot, as a matter of law, succeed. It raises a matter of law only: </w:t>
      </w:r>
      <w:r>
        <w:rPr>
          <w:rFonts w:ascii="arial" w:eastAsia="arial" w:hAnsi="arial" w:cs="arial"/>
          <w:i/>
          <w:color w:val="000000"/>
          <w:sz w:val="20"/>
          <w:lang w:val="en-US" w:eastAsia="en-US" w:bidi="ar-SA"/>
        </w:rPr>
        <w:t>International Taoist Church of Canada</w:t>
      </w:r>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Counsel provided no case law in this area. As stated by our Court of Appeal in </w:t>
      </w:r>
      <w:r>
        <w:rPr>
          <w:rFonts w:ascii="arial" w:eastAsia="arial" w:hAnsi="arial" w:cs="arial"/>
          <w:i/>
          <w:color w:val="000000"/>
          <w:sz w:val="20"/>
          <w:lang w:val="en-US" w:eastAsia="en-US" w:bidi="ar-SA"/>
        </w:rPr>
        <w:t>Stevested Machinery &amp; Engineering Ltd. v. Metso Paper Ltd.</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2014 BCCA 91</w:t>
        </w:r>
      </w:hyperlink>
      <w:r>
        <w:rPr>
          <w:rFonts w:ascii="arial" w:eastAsia="arial" w:hAnsi="arial" w:cs="arial"/>
          <w:color w:val="000000"/>
          <w:sz w:val="20"/>
          <w:lang w:val="en-US" w:eastAsia="en-US" w:bidi="ar-SA"/>
        </w:rPr>
        <w:t>, the test for unjust enrichment is well known. It has three elements: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enrichment of the defendant;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corresponding deprivation of the plaintiff; 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absence of juristic reason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must plead material facts necessary to support all three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With respect to the requirements of the first element, enrichment of the defendant, Tysoe J.A. summarized the law in </w:t>
      </w:r>
      <w:r>
        <w:rPr>
          <w:rFonts w:ascii="arial" w:eastAsia="arial" w:hAnsi="arial" w:cs="arial"/>
          <w:i/>
          <w:color w:val="000000"/>
          <w:sz w:val="20"/>
          <w:lang w:val="en-US" w:eastAsia="en-US" w:bidi="ar-SA"/>
        </w:rPr>
        <w:t>Stevested</w:t>
      </w:r>
      <w:r>
        <w:rPr>
          <w:rFonts w:ascii="arial" w:eastAsia="arial" w:hAnsi="arial" w:cs="arial"/>
          <w:color w:val="000000"/>
          <w:sz w:val="20"/>
          <w:lang w:val="en-US" w:eastAsia="en-US" w:bidi="ar-SA"/>
        </w:rPr>
        <w:t xml:space="preserve"> at paras. 29-30: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w:t>
      </w:r>
      <w:r>
        <w:rPr>
          <w:rFonts w:ascii="arial" w:eastAsia="arial" w:hAnsi="arial" w:cs="arial"/>
          <w:i/>
          <w:color w:val="000000"/>
          <w:sz w:val="20"/>
          <w:lang w:val="en-US" w:eastAsia="en-US" w:bidi="ar-SA"/>
        </w:rPr>
        <w:t>Kerr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Baranow, </w:t>
      </w:r>
      <w:hyperlink r:id="rId637" w:history="1">
        <w:r>
          <w:rPr>
            <w:rFonts w:ascii="arial" w:eastAsia="arial" w:hAnsi="arial" w:cs="arial"/>
            <w:i/>
            <w:color w:val="0077CC"/>
            <w:sz w:val="20"/>
            <w:u w:val="single"/>
            <w:shd w:val="clear" w:color="auto" w:fill="FFFFFF"/>
            <w:lang w:val="en-US" w:eastAsia="en-US" w:bidi="ar-SA"/>
          </w:rPr>
          <w:t>2011 SCC 10</w:t>
        </w:r>
      </w:hyperlink>
      <w:r>
        <w:rPr>
          <w:rFonts w:ascii="arial" w:eastAsia="arial" w:hAnsi="arial" w:cs="arial"/>
          <w:color w:val="000000"/>
          <w:sz w:val="20"/>
          <w:lang w:val="en-US" w:eastAsia="en-US" w:bidi="ar-SA"/>
        </w:rPr>
        <w:t>,] contains an excellent discussion by the Supreme Court of Canada of the doctrine of unjust enrichment. Mr. Justice Cromwell, for the Court, said the following about the element of enrichment: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For the first requirement -- enrichment -- the plaintiff must show that he or she gave something to the defendant which the defendant received and retained. The benefit need not be retained permanently, but there must be a benefit which has enriched the defendant and which can be restored to the plaintiff </w:t>
      </w:r>
      <w:r>
        <w:rPr>
          <w:rFonts w:ascii="arial" w:eastAsia="arial" w:hAnsi="arial" w:cs="arial"/>
          <w:i/>
          <w:color w:val="000000"/>
          <w:sz w:val="20"/>
          <w:lang w:val="en-US" w:eastAsia="en-US" w:bidi="ar-SA"/>
        </w:rPr>
        <w:t>in specie</w:t>
      </w:r>
      <w:r>
        <w:rPr>
          <w:rFonts w:ascii="arial" w:eastAsia="arial" w:hAnsi="arial" w:cs="arial"/>
          <w:color w:val="000000"/>
          <w:sz w:val="20"/>
          <w:lang w:val="en-US" w:eastAsia="en-US" w:bidi="ar-SA"/>
        </w:rPr>
        <w:t xml:space="preserve"> or by money. Moreover, the benefit must be tangible. It may be positive or negative, the latter in the sense that the benefit conferred on the defendant spares him or her an expense he or she would have had to undertake [</w:t>
      </w:r>
      <w:r>
        <w:rPr>
          <w:rFonts w:ascii="arial" w:eastAsia="arial" w:hAnsi="arial" w:cs="arial"/>
          <w:i/>
          <w:color w:val="000000"/>
          <w:sz w:val="20"/>
          <w:lang w:val="en-US" w:eastAsia="en-US" w:bidi="ar-SA"/>
        </w:rPr>
        <w:t>Peel (Regional Municipality) v. Canada,</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[1992] 3 S.C.R. 762</w:t>
        </w:r>
      </w:hyperlink>
      <w:r>
        <w:rPr>
          <w:rFonts w:ascii="arial" w:eastAsia="arial" w:hAnsi="arial" w:cs="arial"/>
          <w:color w:val="000000"/>
          <w:sz w:val="20"/>
          <w:lang w:val="en-US" w:eastAsia="en-US" w:bidi="ar-SA"/>
        </w:rPr>
        <w:t>], at pp. 788 and 790;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Consumers' Gas Co</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at paras. 31 and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w:t>
      </w:r>
      <w:r>
        <w:rPr>
          <w:rFonts w:ascii="arial" w:eastAsia="arial" w:hAnsi="arial" w:cs="arial"/>
          <w:i/>
          <w:color w:val="000000"/>
          <w:sz w:val="20"/>
          <w:lang w:val="en-US" w:eastAsia="en-US" w:bidi="ar-SA"/>
        </w:rPr>
        <w:t>Peel</w:t>
      </w:r>
      <w:r>
        <w:rPr>
          <w:rFonts w:ascii="arial" w:eastAsia="arial" w:hAnsi="arial" w:cs="arial"/>
          <w:color w:val="000000"/>
          <w:sz w:val="20"/>
          <w:lang w:val="en-US" w:eastAsia="en-US" w:bidi="ar-SA"/>
        </w:rPr>
        <w:t>, Madam Justice McLachlin (as she then was) explained that the benefit must be incontrovertible, which she described as a "gain of 'a demonstrable financial benefit' or the saving of an 'inevitable expense'" (p. 794). She went on to say the following at p. 795: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"incontrovertible benefit" is an unquestionable benefit, a benefit which is demonstrably apparent and not subject to debate and conjecture. Where the benefit is not clear and manifest, it would be wrong to make the defendant pay, since he or she might well have preferred to decline the benefit if given the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Mr. Moses has not pled any facts which would support this first element. His pleadings do not contain any facts to support a claim that he gave a tangible benefit to the defendant that it received and retained. There is nothing to suggest the defendant received an incontrovertible benefit as defined in the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this basis, I am satisfied that the plaintiff's claim based upon unjust enrichment is a claim that is bound to fail. It is plain and obvious to me that it discloses no reasonable cause of action. Given this finding, it is unnecessary for me to go on to consider the balance of the defendant's arguments regarding abuse of process. The portions of the notice of civil claim which relate to the claim for unjust enrichment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notice of civil claim asserts two causes of action against the defendant. The claim for damages based upon misfeasance in public office is dismissed pursuant to Rule 9-6 as statute barred. The claim for restitution based upon unjust enrichment is struck pursuant to Rule 9-5(1)(a) as disclosing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this disposes of the entirety of the plaintiff's notice of civil claim, the defendant will have its costs to be assessed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DONEGAN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Najy v. Victory, [2012] B.C.J. No. 109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R. McDiarmid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H091417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Neda Najy and Ramin Najy, Petitioners, and Kamran Victory, John Doe and Jane Doe (Tenants),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4" w:name="Keywords_26"/>
      <w:bookmarkEnd w:id="174"/>
      <w:r>
        <w:rPr>
          <w:rFonts w:ascii="arial" w:eastAsia="arial" w:hAnsi="arial" w:cs="arial"/>
          <w:b/>
          <w:color w:val="000000"/>
          <w:sz w:val="20"/>
          <w:lang w:val="en-US" w:eastAsia="en-US" w:bidi="ar-SA"/>
        </w:rPr>
        <w:t>Civil litigation — Civil procedure — Actions — Causes of action — Joinder and consolidation — Pleadings — Counterclaim, cross-claim and set-off — Set-off — Application by petitioners for order nisi of foreclosure with one-month redemption period, personal judgment against respondent for redemption amount and order for sale allowed in part — Application by respondent for order that action be heard at same time as petition dismissed — Issues in petition were separate from those in action — Respondent was not entitled to equitable set-off — Petitioners were entitled to order nisi of foreclosure with six-month redemption period — They were entitled to personal judgment for $228,323 — Their application for order for sale was adjourned.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Mortgages — Mortgagee's remedies — Foreclosure order — Application for — Judicial sale — Application for order — Mortgagee's rights — Right to redemption — Limits — Order nisi of foreclosure — Redemption of mortgage — Time for — Application by petitioners for order nisi of foreclosure with one-month redemption period, personal judgment against respondent for redemption amount and order for sale allowed in part — Application by respondent for order that action be heard at same time as petition dismissed — Issues in petition were separate from those in action — Respondent was not entitled to equitable set-off — Petitioners were entitled to order nisi of foreclosure with six-month redemption period — They were entitled to personal judgment for $228,323 — Their application for order for sale was adjourned.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5" w:name="Case Summary_24"/>
            <w:bookmarkEnd w:id="1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petitioners for an order nisi of foreclosure with a one-month redemption period, personal judgment against a respondent for a redemption amount and an order for sale; application by the respondent for an order that his action be heard at the same time as the petition. The respondent purchased property from the petitioners, with the petitioners taking back a second mortgage. The respondent arranged for an inspection of the property prior to the purchase and resided there for several months. The petitioners sent a demand letter to the respondent for payment of the mortgage, followed by a notice of intention to enforce their mortgage security. The respondent was disciplined for professional misconduct on the basis that he acted as a dual agency to the petitioners and himself with respect to the sale of the property. The respondent initiated an action against the petitioners seeking relief related to claimed defects with respect to the property. The respondent submitted that his action and the petitioners' petition should be tried at the same time and that he was entitled to an equitable set-off of any damages found owing to him from the amount owed under the mortgage. The petitioners asserted that the respondent was not entitled to an equitable set-off and that it would be unjust to hold up the relief to which they were entitled while he pursued his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6" w:name="Holdings of Court_20"/>
            <w:bookmarkEnd w:id="176"/>
            <w:r>
              <w:rPr>
                <w:rFonts w:ascii="arial" w:eastAsia="arial" w:hAnsi="arial" w:cs="arial"/>
                <w:color w:val="000000"/>
                <w:sz w:val="20"/>
                <w:lang w:val="en-US" w:eastAsia="en-US" w:bidi="ar-SA"/>
              </w:rPr>
              <w:t>HELD: Application of the petitioners allowed in part; application of the respondent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issues in the petition were separate from those in the action. It was not convenient to have them tried at the same time. The respondent was not entitled to an equitable set-off. Relevant considerations were his delay in asserting the claim for an equitable set-off; he was a fiduciary toward the petitioners; and he appeared to have notice of some of the alleged defects. The petitioners were entitled to an order nisi of foreclosure, but with a six-month redemption period, as there was no reason to deviate from the usual rule stated in the Law and Equity Act. They were entitled to personal judgment against the respondent for $228,323. Their application for an order for sale was adjourned until the expiration of the redemption period.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7" w:name="Legislation Cited_19"/>
      <w:bookmarkEnd w:id="1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5"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647"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Rule 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648" w:history="1">
        <w:r>
          <w:rPr>
            <w:rFonts w:ascii="arial" w:eastAsia="arial" w:hAnsi="arial" w:cs="arial"/>
            <w:i/>
            <w:color w:val="0077CC"/>
            <w:sz w:val="20"/>
            <w:u w:val="single"/>
            <w:shd w:val="clear" w:color="auto" w:fill="FFFFFF"/>
            <w:lang w:val="en-US" w:eastAsia="en-US" w:bidi="ar-SA"/>
          </w:rPr>
          <w:t>RSBC 1996, CHAPTER 253, s. 16</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239" w:history="1">
        <w:r>
          <w:rPr>
            <w:rFonts w:ascii="arial" w:eastAsia="arial" w:hAnsi="arial" w:cs="arial"/>
            <w:i/>
            <w:color w:val="0077CC"/>
            <w:sz w:val="20"/>
            <w:u w:val="single"/>
            <w:shd w:val="clear" w:color="auto" w:fill="FFFFFF"/>
            <w:lang w:val="en-US" w:eastAsia="en-US" w:bidi="ar-SA"/>
          </w:rPr>
          <w:t>RSBC 1996, CHAPTER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Real Estate Services Act, </w:t>
      </w:r>
      <w:hyperlink r:id="rId649" w:history="1">
        <w:r>
          <w:rPr>
            <w:rFonts w:ascii="arial" w:eastAsia="arial" w:hAnsi="arial" w:cs="arial"/>
            <w:i/>
            <w:color w:val="0077CC"/>
            <w:sz w:val="20"/>
            <w:u w:val="single"/>
            <w:shd w:val="clear" w:color="auto" w:fill="FFFFFF"/>
            <w:lang w:val="en-US" w:eastAsia="en-US" w:bidi="ar-SA"/>
          </w:rPr>
          <w:t>SBC 2004, CHAPTER 42, s. 35</w:t>
        </w:r>
      </w:hyperlink>
      <w:r>
        <w:rPr>
          <w:rFonts w:ascii="arial" w:eastAsia="arial" w:hAnsi="arial" w:cs="arial"/>
          <w:color w:val="000000"/>
          <w:sz w:val="20"/>
          <w:lang w:val="en-US" w:eastAsia="en-US" w:bidi="ar-SA"/>
        </w:rPr>
        <w:t>(1)(a), s. 35(1)(d)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21-1(7)(d), Rule 22-5(8)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8" w:name="Counsel_26"/>
      <w:bookmarkEnd w:id="1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Petitioners: D. Lunny.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Kamran Victory: J.W. Bilawich.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9" w:name="Judgment_26"/>
      <w:bookmarkEnd w:id="179"/>
      <w:r>
        <w:pict>
          <v:line id="_x0000_s1157"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0" w:name="MASTER R. McDIARMID"/>
            <w:bookmarkEnd w:id="180"/>
            <w:r>
              <w:rPr>
                <w:rFonts w:ascii="arial" w:eastAsia="arial" w:hAnsi="arial" w:cs="arial"/>
                <w:b/>
                <w:color w:val="000000"/>
                <w:sz w:val="30"/>
                <w:lang w:val="en-US" w:eastAsia="en-US" w:bidi="ar-SA"/>
              </w:rPr>
              <w:t>MASTER R. McDIARMID</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applications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petitioners seek an order nisi of foreclosure with a one-month redemption period. Their statement of relief seeks a redemption amount, as of December 6, 2011, of $225,810.84 with a per diem thereafter of $33.60. They also seek:</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judgment against Kamran Victory in that amount;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pursuant to the prescribed standard mortgage terms;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sale;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apply for a further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will refer to Kamran Victory hereafter as the "respondent" even though there are two other respondents, John Doe and Jane Doe (Tenants), named in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respondent opposes the granting of the relief sought in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addition, by notice of application filed November 22, 2011, the respondent seeks orders that:</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present action be tried and referred to the Trial List, and for any necessary directions regarding the conduct of the said trial and any pre-trial proceedings, pursuant to Rule 21-1(7)(d)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Rule 22-5(8)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 order that the present action be heard at the same time or on the same day as Vancouver Registry Action No. S-_______, </w:t>
      </w:r>
      <w:r>
        <w:rPr>
          <w:rFonts w:ascii="arial" w:eastAsia="arial" w:hAnsi="arial" w:cs="arial"/>
          <w:i/>
          <w:color w:val="000000"/>
          <w:sz w:val="20"/>
          <w:lang w:val="en-US" w:eastAsia="en-US" w:bidi="ar-SA"/>
        </w:rPr>
        <w:t>Kamran Victory v. Neda Najy, also known as Neda Majzub and Ramin Najy.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3.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affidavit #1 of Tammy Nicol ("T. Nicol #1"), a legal assistant with Holmes &amp; King, agent for the respondent, attaches as exhibit A to her affidavit a copy of the filed notice of civil claim in "British Columbia Supreme Court Vancouver Registry Action No. S117850, </w:t>
      </w:r>
      <w:r>
        <w:rPr>
          <w:rFonts w:ascii="arial" w:eastAsia="arial" w:hAnsi="arial" w:cs="arial"/>
          <w:i/>
          <w:color w:val="000000"/>
          <w:sz w:val="20"/>
          <w:lang w:val="en-US" w:eastAsia="en-US" w:bidi="ar-SA"/>
        </w:rPr>
        <w:t>Kamran Victory v. Neda Najy ...".</w:t>
      </w:r>
      <w:r>
        <w:rPr>
          <w:rFonts w:ascii="arial" w:eastAsia="arial" w:hAnsi="arial" w:cs="arial"/>
          <w:color w:val="000000"/>
          <w:sz w:val="20"/>
          <w:lang w:val="en-US" w:eastAsia="en-US" w:bidi="ar-SA"/>
        </w:rPr>
        <w:t xml:space="preserve"> This action is the action referenced in the orders sought in paragraph 2 above by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petitioners oppose the orders sought by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petitioners' evidence is contained in an affidavit sworn by Neda Najy on October 13, 2009 (N. Najy #1) and an affidavit sworn November 23, 2011 and filed November 24, 2011 ("N. Najy #2"), and an affidavit filed by Ramin Najy sworn November 23, 2011 filed November 24, 2011 ("Ramin Najy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respondent has provided evidence in his affidavit sworn and filed November 18, 2009 ("K. Victory #1"), an affidavit sworn November 21, 2011 and filed November 22, 2011 ("K. Victory #2"), and affidavit sworn and filed December 1, 2011 ("K. Victory #3"). In addition, the respondent has provided the aforesaid T. Nicol #1 affidavit containing a filed copy of the notice of civil claim in Vancouver Registry Action No. S117850.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giving this decision, I am aware that the hearing of a petition is an application for summary judgment. Masters have no jurisdiction to hear summary trial applications. This issue was raised at the commencement of submissions, and counsel confirmed the appropriateness of having these applications heard by a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Much of what the petitioners depose to in their affidavits is contradicted by the respondent, and much of what the respondent deposes in his affidavits is contradicted by the petitioners. However, the facts necessary for me to decide these applications are determinable by me through reference to documents and uncontradicted evidence in the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petitioners acquired the lands and premises situate at 751 Burley Place, West Vancouver, British Columbia, having a legal description of PID 005-2730-863, Lot 14, District Lot 1070, Plan 8815 (the "Property") in or about May of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petitioners resided in the Property from then until August,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Property now consists of an upper three bedroom suite and a lower three bedroom suite. The sixth bedroom was apparently added after the petitioners purchased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July 17, 2007, the petitioners entered into a multiple listing contract with Multiple Realty Ltd., wherein that company, the listing broker, agreed to list the Property for sale on the terms set out in that multiple listing contract. The copy of that contract exhibited as exhibit A to N. Najy #2 affidavit is signed by the petitioners. It is not executed by Multiple Realty Ltd., although in the signature block above the line entitled "Licensee (Print)" is typed the name "Kamran Victory".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Exhibit K to the N. Najy #2 affidavit is a two-page document entitled "Property Disclosure Statement Residential". The date of disclosure (typed in what appears to be the same type face as the typing on the multiple listing contract) has the same date, July 17, 2007. The property disclosure document is signed on page 2 of 2 by the petitioners above the lines entitled "Seller(s)," and by the respondent above one of the lines entitled "Buyer(s)". The petitioners deposed that the respondent prepared this document; the respondent deposes "I did not prepare the PDS. The Petitioners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By contract of purchase and sale prepared by "Sutton Group Kalarni Realty, per Kamran Victory," an offer was made by a company called Fundex Properties Inc. to buy the Property from the petitioners for the sum of $1,020,000.00 with a completion date of September 17, 2007, a possession date of September 18, 2007, and some other terms, including a provision on page 5 of 5 (clause #4) making the contract subject to the seller taking back a second mortgage on the terms set out in the document. The copy of this document exhibited in N. Najy #2 affidavit is initialled and signed by the respondent on page 4 of 5, above the line entitled "Buyer" and also above the line entitled "Buyer" on page 5 of 5, in both cases immediately to the left of the words "Seal, Fundex Properties Inc." The document is a standard form-type of document and contains on page 3 of 5 condition #18, "Representations and Warranties", the following condition:</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REPRESENTATIONS AND WARRANTIES: There are no representations, warranties, guarantees, promises or agreements other than those set out in this Contract and the representations contained in the Property Disclosure Statement if incorporated into and forming part of this Contract, all of which will survive the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 property disclosure statement is attached and there is no language in the document incorporating a property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August 13, 2007, another contract of purchase and sale was prepared, this time by "Multiple Realty Ltd. per Kamran Victory." In this document, the buyer is Kamran Victory, and the sellers are the petitioners. The contract consists of five pages, plus a one-page addendum. It is of the same standard form as the August 2007 document. It is a contract of purchase and sale whereby the sellers agree to sell and the buyer agrees to purchase the Property from the seller for a price of $1,020,000.00 on the terms set out in that document. The document contains the same condition #18 as the document dated August 2007. It is signed on page 5 of 5 by the petitioners as sellers and by the respondent as buyer, and signed on an addendum page 1 of 1 by the same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Page 5 of 5 of the August 13, 2007 contract contains the following provision:</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Seller will take back a second mortgage, in a form acceptable to the Buyer and Seller [which form will be provided by the Seller and approved by the Buyer in the amount of $180,000 [One Hundred &amp; Eighty Thousand Dollars] at an interest rate of 5.5% per annum, calculated half-yearly, not in advance, with a 25-year amortization period, Two-year term and repayable in blended payments of $1,098.71 per month, including principal and interest [plus 1/12 of the annual taxes if required by the Seller, if not already being collected by the first mortgagee]. Such second mortgage will provide that if the Buyer disposes or agrees to dispose of the property, the full balance will immediately become due and payable at the Seller's option. The Seller will draw and register the mortgage at the Buyer's cost not to exceed $300. The Buyer hereby consents to the Seller obtaining a credit report on the Buyer. The Seller's second mortgage is to rank after the new first mortgage of no more than $765000 at 5.25% interest with a term due date of 5 years from purchase.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Licensee, Kamran Victory and/or his affiliate company is permitted prior to subject removals to sign a lease agreement with any prospective tenant on behalf of the seller on terms approved by the licensee. Any deposits and rent monies will be for the account of the Licensee or his affiliate company.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has agreed to reduce his real estate commission from $30,000 to $1,000.</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Seller has agreed to reduce the selling price to $992,000.00.</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and Seller have agreed to postpone the closing date to 6 September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one-page addendum dated 5 September 2007 contains the following:</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and Seller have agreed to postpone the closing date to 13 September 2007 and the Buyer shall pay the Seller per diem interest at $110.03 for the seven days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October 21, 2007, a further addendum containing the words "Further to the Contract of Purchase and Sale dated 13 August 2007" references the take back second mortgage and then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on the 18 October 2007 the Seller requested and the Buyer agreed that no monthly repayments shall be made for repayment of this mortgage but that instead at the end of the term of the mortgage or on earlier repayment whichever occurs first, the Buyer shall pay to the Seller the sum of $180,000 plus a one time interest amount calculated on a prorata basis at the rate of 5.5% per annum from the completion date until repaid. The post dated cheques have been returned to the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October 21, 2007 addendum has been signed by the petitioners and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property condition disclosure statement dated July 17, 2007 is not attached to the contract of purchase and sale document dated 13 August 2007. There is no language in that document incorporating it into that contract, nor is it referenced in any of the addenda.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13 August 2007 document provided for completion on August 30, 2007 and possession on August 31, 2007. The addendum postponed the closing date to September 13, 2007, but did not make reference to the possession date. In the N. Najy #2 affidavit at paragraph 26, she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Victory requested permission to move into the Burley Property earlier, on or about August 17, 2007. Despite the expense and inconvenience to us, we agreed to allow Mr. Victory to move in before the possession date. On that day, Ramin, our children and I moved out of the Burley Property ... and Mr. Victory, as well as some tenants, moved in. Mr. Victory never accounted to us for his occupational use or for any rental monies received in the period prior to his legal entitlement to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K. Victory #3 affidavit, Mr. Victory responds to the N. Najy #2 affidavit. In paragraph 2 of the K. Victory #3 affidavit he deposes:</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read Affidavit #2 of Neda Najy sworn November 23, 2011. I dispute much of the evidence contained in her said Affidavit. However, I am not providing a detailed response to every issue with which I disagree at this time because I do not believe my doing so would assist the Court in deciding the issues raised in my Notice of Application filed November 21, 2011. I expressly reserve my right to do so at an appropriate time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does not contradict paragraph 26 of the N. Najy #2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Exhibit C to the N. Najy #2 affidavit is an inspection report whereby Matthew A. Foxall, P. Eng, C.R.I., provides an onsite inspection of the Property on the letterhead of Engineered Building Inspections Ltd., 1155 Mathers Avenue, West Vancouver, B.C. The client is noted as "Kamran Victory, c/o Multiple Realty, 2298 Kingsway, Vancouver, B.C. V5N 5M9." The document placed in evidence is undated, although it references a date of inspection of 13 August 2007. It is a 17-page document. On page 8, under the heading "Interior of Home - Basement - Additional Information" is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basement was dry at the time of inspection and free of predominant odours that would suggest an existing moisture problem. Similarly, no staining was found on any of the near-floor structure and/or moisture-susceptible articles stored on the floor surface to indicate persistent past moisture penetration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next page, under the heading "Interior Finishes, Doors and Windows - Additional Information"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interior surfaces were in above-average condition for their age, as a result of recent renovations. Floor slopes were noted in the kitchen and living room areas of the home. These slopes were not analyzed in detail to confirm underlying causes. Past structural modifications to the basement support structure are suspected. The load carrying capacity of the structure was not analyzed during our visual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page 13, under the heading "Additional Waste Plumbing Information" is written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fixtures were tested (washer hook-up excepted) they were found to operate without consequential problem. A minor exception was a small leak at the main kitchen faucet handle which requires repair.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Bathroom walls and floor areas are always a potential problem, depending upon the achieved seal in the plumbing and finished surfaces. Moisture entering the wall or floor cavities can lead to moisture-related decay of the underlying wood structure. Identification of the existence or possible extent of these types of hidden problems is beyond the scope of our inspection. In this case, however, no surface indications to indicate underlying problems were observed at the time of our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final page, page 17, sets out the following:</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the Property Disclosure Statement in detail, with particular attention paid to possible moisture penetration or other problems that could be difficult to detect as part of our inspection.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Note the sloping of the floors on the main level of the house. Consider upgrading the support to level the floors.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Note the advanced age of the copper water supply piping and limited remaining life. Expect some leakage problems in the near future. Budget for its near-term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 letter dated November 16, 2009, Keith A. Cameron, at that time counsel for the petitioners, wrote to David W. Donohoe, at that time counsel for the respondent. In the letter, Mr. Cameron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Secondly, prior to committing to purchase the subject property Mr. Victory engaged Matt Fox in his capacity as a professional house inspector and had him do a thorough inspection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seller's statement of adjustments exhibited to N. Najy #1 affidavit confirms that the purchase and sale completed September 13, 2007. The stated sale price was $992,000.00. The seller's statement of adjustments confirms that the petitioners took a mortgage back in the amount of $180,000.00. The statement of adjustments also credits the sellers with seven days per diem for closing delay at the rate of $110.03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Mortgage CA 567284 is signed by Kamran Victory as mortgagor on 12 September 2007. The first two pages of the document are numbered pages 1 and 2 of 5. The next three pages are numbered 3, 4, and 5 of 7, although at the end of the writing on page 5 of 7 states "End of Document." I conclude that mortgage CA567284 is a five-page document which was filed in the New Westminster Land Title Office on September 13, 2007. It is conclusive evidence of a mortgage in favour of the petitioners granted by the respondent in the sum of $180,000.00 with interest at 5.5% per annum. The mortgage in section 5(i) states "Last payment date 09 9 13 [September 13, 2009]". Immediately below is the wording "Balance due date: on demand". The mortgage, when read in conjunction with the contract of purchase and sale addendum dated 21 October 2007, confirms to me that the parties intended that the mortgage would be payable in full, including interest calculated at the rate of 5.5% per annum, on September 13,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email sent December 13, 2007, the respondent wrote to the petitioner, Neda Najy,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father asked me to repay you the $180,000 two year mortgage on the Burley Place house. I have arranged to get a personal loan from my bank.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pricing for this loan will be 2% above the prime rate (6%). My cost for these funds will be 8% per year. The mortgage I had negotiated with you carried interest at 5.5% per year and I trust you will not object to paying the interest differential. Please confirm this and I can pay the mortgage less the interest differential probably by tomorrow. Kindly call Bill Murray at Metro Law Office and instruct him to prepare a discharge of charge so he can remove the security from title once the funds are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Murray was the officer (lawyer) who witnessed the respondent's signature on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Neda Najy deposes in N. Najy #2 affidavit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decided to continue to request payment at the earliest possible date and, in the last resort, to wait for the maturity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conclude from this that the petitioners did not want to discount the mortgage in return for early payment, and were content to await its repayment on September 13,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Attached to the K. Victory #1 affidavit are some invoices. The first, dated October 12, 2007, is from AVC Building &amp; Renovations. A description of the work is "Use roto-router to solve water leaking from laundry room and upstairs kitchen". The remainder of the description is unreadable on the copy of the exhibit provided to the court, however, it is apparent that this is an invoice for $700.00 rendered that day to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next page of the exhibit is an invoice from AVC Building &amp; Renovations for $320.00 dated November 21, 2007 rendered that day to the respondent. The description of the job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Water [leakage] continued from laundry and kitchen [upstairs]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Use drink mix red and blue colour to check where water is coming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[upstairs] kitchen water comes up laundry sink (red colour)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water [also] backed up when washing [machine] was working (blue colour)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Problem is with main [drain]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remainder of exhibit A consists of five more invoices rendered to the respondent from AVC Building &amp; Renovations as follows: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 dated 3/19/2008 for $11,870.00 with a job description commencing "Toilet Bowl in lower ground house falling one side";</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 dated 8/7/2008 for $2,410.00 with a job description commencing "Dig to exposed the [drains] exterior";</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 dated 10/11/2008 for $4,880.00 with a job description commencing "Stairs from balcony broke during normal use, (it had rot, was [plastered] and painted)";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 dated 10/11/2008 (the same date) for $14,760.00 with a job description commencing "Excavate drainage pipe next to garage. Open it - it was blocked with sand";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 dated 11/18/2008 for $7,220.00 with a job description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Excavate the hardened soil next to Highway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Build a stone wall to retain the soil above the creek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Plant ever-green Trees along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Exhibit B consists of five handwritten invoices. The first is dated October 13, 2007 for a total of $680.00, referencing drywall and laundry. There is another dated November 20, 2007 for $700.00 with the initial description "Replace drywall in laundry". There is another invoice dated November 30, 2007, the first line stating "paint [inside] all room[s] onto floor and laundry in basement" in an amount of $800.00. The next invoice is dated December 31, 2007, in the amount of $1,167.00, the first line of which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Repaint [basement] rooms next to laundry and entrance to laundry have smell of water leaking. Repair drywall damage near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Finally, there is an invoice dated March 21, 2008, for $550.00, the first words of which are "Repaired bathroom in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 evidence that any of these invoices were ever provided to the petitioners. Obviously, several of those invoices are dated prior to the December 13, 2007 email, which, as noted, makes no reference to any problems, nor does it suggest any discount or set-off for problems with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None of the invoices make reference to GST or HST charges. The respondent deposes that some of the invoices have not been paid. He does not give further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 evidence that the respondent or anyone on his behalf made any complaint in writing to the petitioners when they requested early payment of the mortgage. The email referred to in paragraph 34 above appears unequivocal - the respondent agreed on December 13, 2007, to pay the mortgage in full, subject only to an interest differential deduction.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N. Najy #2 affidavit, Neda Najy deposes at paragraph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June 30, 2009, I received a telephone call from Mr. Victory. He informed me that he had no monies and would not be able to repay the Second Mortgage. He said there were financial problems with his hotel in Malaysia and that he would not be able to pay back the mortgage monies until he could get it refinanced. I pointed out to him that repayment of the Second Mortgage was not subject to the refinancing of his hotel. He told me that we would have to wait until he was in a financial position to pay, or that we could have the keys back to the Burley Property. He did assure me of his substantial assets which included the hotel, his various properties including two residential properties on Margaree Place and 22nd Street in West Vancouver, and his online pharmacy, Babeskin.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paragraph 34 of her affidavit she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 September 9, 2009, four days before the Maturity Date, I am advised by Ramin and verily believe that Mr. Victory told him that he still did not have the funds to pay out the Second Mortgage, but that he would have the Burley Property put up for sale for $1,100,000.00 and have the mortgage paid out upon its sale - or he would just give Ramin the keys to the Burley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affidavit, Ramin Najy confirms the content of these paragraphs. They are not contradicted by K. Victory in his responding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paragraph 74 of N. Najy #2 affidavit, she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September 13, 2007, to November 18, 2009, a span of more than two years during which period we met with or communicated with Mr. Victory on several occasions, Mr. Victory made no mention of any problems with smells, dampness, flooding, leakages from appliances or sinks, fences, stairs, plumbing system, shoddy workmanship or defects of any kind or of alleged misrepresentations with respect to the Burley Property. He never once suggested that the amount owed to us should be reduced for any reason whatsoever. Instead, he simply provided a string of excuses as to why he did not have the funds to pay out the mortgage to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first affidavit the respondent deposes in detail to numerous problems he had experienced since taking possession of the property. He deposes that Mr. Najy agreed to pay for some of the repairs. He deposes to what he says are "covering up the signs of water damage and flooding in the house". He deposes to making complaints and to Mr. Najy twice coming to review the repairs and the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paragraphs 22 and 23 the respondent deposes as follows: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when they noticed that the problems were extensive, the father of Mrs. Neda Najy, asked me to repay the mortgage first. He said Mr. Ramin Najy was under stress and suffers from certain illness. I agreed to help my friend. I obtained a facility to repay the mortgage but Mrs. Neda Najy declined to pay the interest differential. Apart from seeking the Najys' payment of this interest differential, I always believed that they would honour the verbal agreement of Mr. Najy to give me compensation for the defects.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formal demand for payment of any part of the mortgage loan was made to me until I received the letter of the 14th day of September, 2009 from Mr. Cameron, who acts as solicitor for the Petitioners. There was no mention of compensation to me for the cost for repairs of the defects. Some of the money owed to the contractors remain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paragraph 36 he deposes as follows:</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dispute the existence of a mortgage but oppose the application of the Petitioners to obtain personal judgment against me in the amount sought on my covenant in the mortgage. As explained above, I would not have proceeded with the purchase of the Property but for the material and serious misrepresentations by the Petitioners about the state of the plumbing and the quality of other construction of the house. I am unable to repay the Petitioners mortgage today because of the repair expenses I have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paragraph 20 of his affidavit #3, the respondent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deny that the issue of the cost of repairs only came up in 2009. Actually in 2009, time had come to finally set off the repair costs against the second mortgage and they did not agree. This dispute has brought us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no evidence that any of the issues which the respondent now complains of were at any time raised in writing with the petitioners prior to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On September 14, 2009, Keith A. Cameron, a barrister and solicitor acting on behalf of the petitioners, sent a demand letter to Kamran Victory demanding payment of the mortgage. He demanded payment of $200,344.45 which included interest calculated up to September 13, 2009, $300.00 legal costs for making the demand, and a $200.00 charge for discharging the mortgage. On September 26, 2009, Mr. Cameron, on behalf of Neda Najy and Ramin Najy, sent a notice of intention to enforce security, Form 86, issued pursuant to Rule 124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giving notice of the petitioners' intention to enforce their mortgage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petitioners, through their lawyer, retained an appraiser, Brian Hossack, to do an appraisal. He had apparently inspected the Property on April 20, 2007, and then essentially updated that appraisal without inspecting the Property again, although it would appear from the face of it that he may have driven by. He gave an opinion of market value of the Property as of September 28, 2009 at $995,000.00. The application came on for hearing before me over two years later, and so the appraisal is of little use in determining present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appraisal attached a listing document which showed the listing broker as Multiple Realty Ltd., and the listing sales representative as the respondent. The listing date is noted as September 8, 2009. The description of the Property at the bottom of the listing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impressive story book family home is gorgeous, renovated and private! It is hard to find a similar mini-estate sized private sanctuary boasting a serene garden and a gentle [creek] filled with Salmon. The home, new granite kitchen, [huge] balcony, (3) fireplaces are perfect for entertaining many guests or just a special someone. French doors separate the bright kitchen &amp; Family Rm from living/dining areas. 3 bedrooms are tucked away on the main floor. The 3 BR suite on the lower flr. has its own separate entrance. The cul-de-sac is kid friendly yet walking distance to the shops &amp; cafes of Park Royal. Seller willing to rent the main floor at $3,000 &amp;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listing price is $1,199,000.00.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Following the demand letter, Mr. Victory wrote a letter dated December 16, 2009 to the petitioners. In that letter he demanded that they pay him the amount of $100,000.00 in each of Canada, Singapore, and Malaysia, for a total of $300,000.00 as compensation for damages suffered. The letter relates to "disparaging statements and slanderous remarks about my character." It makes no reference to any problems with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By letter dated May 4, 2010 from Rosalind Chong, a lawyer at Ros, Lee &amp; Co., to Mr. Lunny, counsel for the petitioners, Ms. Chong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represent Dr. Kamran Victory. We refer to our client's claim against your clients, Ramin Najy and Neda Najy and the pending litigation related to defamation and slander.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letter goes on to deal with a demand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your clients cease and desist from making further slanderous remarks, apologize to our client ... and pay monetary compensation for damaging the reputation of our client.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been instructed to file a legal claim against your clients in the courts of Malaysia.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no mention in the letter of the problems now being pleaded in Vancouver Registry Action No. S117850.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On October 19, 2011, Kamran Victory consented to an order pursuant to the </w:t>
      </w:r>
      <w:r>
        <w:rPr>
          <w:rFonts w:ascii="arial" w:eastAsia="arial" w:hAnsi="arial" w:cs="arial"/>
          <w:i/>
          <w:color w:val="000000"/>
          <w:sz w:val="20"/>
          <w:lang w:val="en-US" w:eastAsia="en-US" w:bidi="ar-SA"/>
        </w:rPr>
        <w:t>Real Estate Services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42</w:t>
      </w:r>
      <w:r>
        <w:rPr>
          <w:rFonts w:ascii="arial" w:eastAsia="arial" w:hAnsi="arial" w:cs="arial"/>
          <w:color w:val="000000"/>
          <w:sz w:val="20"/>
          <w:lang w:val="en-US" w:eastAsia="en-US" w:bidi="ar-SA"/>
        </w:rPr>
        <w:t>. That consent order was placed in evidence. The agreed statement of facts attached to the order confirms that the respondent consented to an order that his license be suspended for 45 days, and that he successfully complete the Trading Services Remedial Education course, and pay enforcement expenses of $1,000.00. There are some other terms set out. In the order it sets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THEREFORE, the Council has made the following findings and orders the following penalties based on the Agreed Statement of Facts and Proposed Acceptance of Findings: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Kamran Victory be suspended for forty-five days as he committed professional misconduct within the meaning of section 35(1)(a) and (d) of the </w:t>
      </w:r>
      <w:r>
        <w:rPr>
          <w:rFonts w:ascii="arial" w:eastAsia="arial" w:hAnsi="arial" w:cs="arial"/>
          <w:i/>
          <w:color w:val="000000"/>
          <w:sz w:val="20"/>
          <w:lang w:val="en-US" w:eastAsia="en-US" w:bidi="ar-SA"/>
        </w:rPr>
        <w:t>Real Estate Services Act</w:t>
      </w:r>
      <w:r>
        <w:rPr>
          <w:rFonts w:ascii="arial" w:eastAsia="arial" w:hAnsi="arial" w:cs="arial"/>
          <w:color w:val="000000"/>
          <w:sz w:val="20"/>
          <w:lang w:val="en-US" w:eastAsia="en-US" w:bidi="ar-SA"/>
        </w:rPr>
        <w:t xml:space="preserve"> in that he:</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sale of property at 751 Burley Place, West Vancouver, B.C.</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take steps to avoid a conflict of interest when he acted as a dual agency to the sellers and to himself as buyer, contrary to section 3-3(1)(i) of the Council Rules;</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act with reasonable care and skill in the transaction, contrary to section 3-4 of the Council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November 21, 2011, Kamran Victory filed the notice of civil claim against the petitioners. In it he seeks general and special damages, in the alternative rescission, punitive damages, an order and declaration that any damages found owing to him be set off against the second mortgage, an order that the action and this petition be tried at the same time by the same trial judge, interest, special costs, or alternatively costs and such further and other relief as to this Honourable Court may seem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His legal basis set out in the notice of civil claim is for fraudulent misrepresentation by concealment of the truth, alternatively negligent misrepresentation of same, intentional concealment of defects and deficiencies, failure to disclose latent defects which render the Property unsafe and unfit for human habitation, recklessness as to the truth or falsity of statements as to the fitness of the Burley Property for human habitation, breach of duty to disclose latent defects which rendered the Burley Property dangerous, equitable set off, punitive damages and such further and other bases Mr. Victory may advise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SUBMISSIONS AND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respondent submits that the petition should go to the trial list, to be heard at the same time as Vancouver Registry Action No. S117850. The respondent argues that he is entitled to an equitable set-off from the amount admittedly due and owing under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petitioners say that in equity, the respondent is not entitled to a set-off. Further, the petitioners' counsel submits that it would be manifestly unjust to hold up the relief to which the petitioners are entitled while the respondent prosecutes his claim in the aforesaid Vancouver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principles applicable to equitable set-off have been set out in the Supreme Court of Canada in </w:t>
      </w:r>
      <w:r>
        <w:rPr>
          <w:rFonts w:ascii="arial" w:eastAsia="arial" w:hAnsi="arial" w:cs="arial"/>
          <w:i/>
          <w:color w:val="000000"/>
          <w:sz w:val="20"/>
          <w:lang w:val="en-US" w:eastAsia="en-US" w:bidi="ar-SA"/>
        </w:rPr>
        <w:t>Holt v. Telford,</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[1987] 2 S.C.R. 193</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Cobra [Coba] Industries Ltd. v. Millie's Holdings (Canada) Ltd.,</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[1985] B.C.J. No. 1994</w:t>
        </w:r>
      </w:hyperlink>
      <w:r>
        <w:rPr>
          <w:rFonts w:ascii="arial" w:eastAsia="arial" w:hAnsi="arial" w:cs="arial"/>
          <w:color w:val="000000"/>
          <w:sz w:val="20"/>
          <w:lang w:val="en-US" w:eastAsia="en-US" w:bidi="ar-SA"/>
        </w:rPr>
        <w:t xml:space="preserve"> (B.C.C.A.). These cases have been accurately summarized by D.E.W. McIntyre J. in </w:t>
      </w:r>
      <w:r>
        <w:rPr>
          <w:rFonts w:ascii="arial" w:eastAsia="arial" w:hAnsi="arial" w:cs="arial"/>
          <w:i/>
          <w:color w:val="000000"/>
          <w:sz w:val="20"/>
          <w:lang w:val="en-US" w:eastAsia="en-US" w:bidi="ar-SA"/>
        </w:rPr>
        <w:t>663073 Alberta Ltd. v. Big Mountain Development Corp.</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2010 SKQB 274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Holt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adopts the following principles set forth in </w:t>
      </w:r>
      <w:r>
        <w:rPr>
          <w:rFonts w:ascii="arial" w:eastAsia="arial" w:hAnsi="arial" w:cs="arial"/>
          <w:i/>
          <w:color w:val="000000"/>
          <w:sz w:val="20"/>
          <w:lang w:val="en-US" w:eastAsia="en-US" w:bidi="ar-SA"/>
        </w:rPr>
        <w:t>Cobra Industries Ltd. v. Millie's Holdings (Canada) Ltd. v. Tsang</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[1985] 6 W.W.R. 14</w:t>
        </w:r>
      </w:hyperlink>
      <w:r>
        <w:rPr>
          <w:rFonts w:ascii="arial" w:eastAsia="arial" w:hAnsi="arial" w:cs="arial"/>
          <w:color w:val="000000"/>
          <w:sz w:val="20"/>
          <w:lang w:val="en-US" w:eastAsia="en-US" w:bidi="ar-SA"/>
        </w:rPr>
        <w:t xml:space="preserve"> (B.C.C.A.) at p. 22:</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party relying on a set-off must show some equitable ground from being protected against his adversaries demands; </w:t>
      </w:r>
      <w:r>
        <w:rPr>
          <w:rFonts w:ascii="arial" w:eastAsia="arial" w:hAnsi="arial" w:cs="arial"/>
          <w:i/>
          <w:color w:val="000000"/>
          <w:sz w:val="20"/>
          <w:lang w:val="en-US" w:eastAsia="en-US" w:bidi="ar-SA"/>
        </w:rPr>
        <w:t>Rawson v. Samuel</w:t>
      </w:r>
      <w:r>
        <w:rPr>
          <w:rFonts w:ascii="arial" w:eastAsia="arial" w:hAnsi="arial" w:cs="arial"/>
          <w:color w:val="000000"/>
          <w:sz w:val="20"/>
          <w:lang w:val="en-US" w:eastAsia="en-US" w:bidi="ar-SA"/>
        </w:rPr>
        <w:t xml:space="preserve"> (1841), Cr. &amp; Ph. 161, 41 E.R. 451 (L.C.).</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equitable ground must go to the very root of the plaintiff's claim before a set-off will be allowed: </w:t>
      </w:r>
      <w:r>
        <w:rPr>
          <w:rFonts w:ascii="arial" w:eastAsia="arial" w:hAnsi="arial" w:cs="arial"/>
          <w:i/>
          <w:color w:val="000000"/>
          <w:sz w:val="20"/>
          <w:lang w:val="en-US" w:eastAsia="en-US" w:bidi="ar-SA"/>
        </w:rPr>
        <w:t>Br. Anzani, supra.</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cross-claim must be so clearly connected with the demand of the plaintiff that it would be manifestly unjust to allow the plaintiff to enforce payment without taking into consideration the cross-claim: </w:t>
      </w:r>
      <w:r>
        <w:rPr>
          <w:rFonts w:ascii="arial" w:eastAsia="arial" w:hAnsi="arial" w:cs="arial"/>
          <w:i/>
          <w:color w:val="000000"/>
          <w:sz w:val="20"/>
          <w:lang w:val="en-US" w:eastAsia="en-US" w:bidi="ar-SA"/>
        </w:rPr>
        <w:t>Fed. Commerce &amp; Navigation Ltd., supra.</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and the cross-claim need not arise out of the same contract: </w:t>
      </w:r>
      <w:r>
        <w:rPr>
          <w:rFonts w:ascii="arial" w:eastAsia="arial" w:hAnsi="arial" w:cs="arial"/>
          <w:i/>
          <w:color w:val="000000"/>
          <w:sz w:val="20"/>
          <w:lang w:val="en-US" w:eastAsia="en-US" w:bidi="ar-SA"/>
        </w:rPr>
        <w:t>Bankes v. Jarvis</w:t>
      </w:r>
      <w:r>
        <w:rPr>
          <w:rFonts w:ascii="arial" w:eastAsia="arial" w:hAnsi="arial" w:cs="arial"/>
          <w:color w:val="000000"/>
          <w:sz w:val="20"/>
          <w:lang w:val="en-US" w:eastAsia="en-US" w:bidi="ar-SA"/>
        </w:rPr>
        <w:t xml:space="preserve">, [1903] 1 K.B. 549 (Div. Ct.); </w:t>
      </w:r>
      <w:r>
        <w:rPr>
          <w:rFonts w:ascii="arial" w:eastAsia="arial" w:hAnsi="arial" w:cs="arial"/>
          <w:i/>
          <w:color w:val="000000"/>
          <w:sz w:val="20"/>
          <w:lang w:val="en-US" w:eastAsia="en-US" w:bidi="ar-SA"/>
        </w:rPr>
        <w:t>Br. Anzani</w:t>
      </w:r>
      <w:r>
        <w:rPr>
          <w:rFonts w:ascii="arial" w:eastAsia="arial" w:hAnsi="arial" w:cs="arial"/>
          <w:color w:val="000000"/>
          <w:sz w:val="20"/>
          <w:lang w:val="en-US" w:eastAsia="en-US" w:bidi="ar-SA"/>
        </w:rPr>
        <w:t>.</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Unliquidated claims are on the same footing as liquidated claims: the </w:t>
      </w:r>
      <w:r>
        <w:rPr>
          <w:rFonts w:ascii="arial" w:eastAsia="arial" w:hAnsi="arial" w:cs="arial"/>
          <w:i/>
          <w:color w:val="000000"/>
          <w:sz w:val="20"/>
          <w:lang w:val="en-US" w:eastAsia="en-US" w:bidi="ar-SA"/>
        </w:rPr>
        <w:t>Nfld</w:t>
      </w:r>
      <w:r>
        <w:rPr>
          <w:rFonts w:ascii="arial" w:eastAsia="arial" w:hAnsi="arial" w:cs="arial"/>
          <w:color w:val="000000"/>
          <w:sz w:val="20"/>
          <w:lang w:val="en-US" w:eastAsia="en-US" w:bidi="ar-SA"/>
        </w:rPr>
        <w:t>. case, supra.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At p. 213 of </w:t>
      </w:r>
      <w:r>
        <w:rPr>
          <w:rFonts w:ascii="arial" w:eastAsia="arial" w:hAnsi="arial" w:cs="arial"/>
          <w:i/>
          <w:color w:val="000000"/>
          <w:sz w:val="20"/>
          <w:lang w:val="en-US" w:eastAsia="en-US" w:bidi="ar-SA"/>
        </w:rPr>
        <w:t>Holt</w:t>
      </w:r>
      <w:r>
        <w:rPr>
          <w:rFonts w:ascii="arial" w:eastAsia="arial" w:hAnsi="arial" w:cs="arial"/>
          <w:color w:val="000000"/>
          <w:sz w:val="20"/>
          <w:lang w:val="en-US" w:eastAsia="en-US" w:bidi="ar-SA"/>
        </w:rPr>
        <w:t xml:space="preserve">, supra the court found the following quotation from Lord Denning in </w:t>
      </w:r>
      <w:r>
        <w:rPr>
          <w:rFonts w:ascii="arial" w:eastAsia="arial" w:hAnsi="arial" w:cs="arial"/>
          <w:i/>
          <w:color w:val="000000"/>
          <w:sz w:val="20"/>
          <w:lang w:val="en-US" w:eastAsia="en-US" w:bidi="ar-SA"/>
        </w:rPr>
        <w:t>Federal Commerce and Navigation Ltd. v. Molena Alpha Inc.</w:t>
      </w:r>
      <w:r>
        <w:rPr>
          <w:rFonts w:ascii="arial" w:eastAsia="arial" w:hAnsi="arial" w:cs="arial"/>
          <w:color w:val="000000"/>
          <w:sz w:val="20"/>
          <w:lang w:val="en-US" w:eastAsia="en-US" w:bidi="ar-SA"/>
        </w:rPr>
        <w:t xml:space="preserve"> [1978] Q.B. 927, [1978] 3 W.L.R. 309; [1978] 3 All E.R. 1066 at 1078 to be instructive: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Over 100 years have passed since the Supreme Court of Judicature Act 1873. During that time the streams of common law and equity have flown together and combined so as to be indistinguishable the one from the other. We have no longer to ask ourselves: what would the courts of common law or the courts of equity have done before the Supreme Court of Judicature Act 1873? We have to ask ourselves: what should we do now so as to ensure fair dealing between the parties? (see </w:t>
      </w:r>
      <w:r>
        <w:rPr>
          <w:rFonts w:ascii="arial" w:eastAsia="arial" w:hAnsi="arial" w:cs="arial"/>
          <w:i/>
          <w:color w:val="000000"/>
          <w:sz w:val="20"/>
          <w:lang w:val="en-US" w:eastAsia="en-US" w:bidi="ar-SA"/>
        </w:rPr>
        <w:t>United Scientific Holdings Ltd. v. Burnley Borough Council</w:t>
      </w:r>
      <w:r>
        <w:rPr>
          <w:rFonts w:ascii="arial" w:eastAsia="arial" w:hAnsi="arial" w:cs="arial"/>
          <w:color w:val="000000"/>
          <w:sz w:val="20"/>
          <w:lang w:val="en-US" w:eastAsia="en-US" w:bidi="ar-SA"/>
        </w:rPr>
        <w:t xml:space="preserve"> [page 214] [1977] 2 All E.R. 62 at 68, [1977] 2 W.L.R. 806 at 811-12] per Lord Diplock). This question must be asked in each case as it arises for decision; and then, from case to case, we shall build up a series of precedents to guide those who come after us. But one thing is quite clear: it is not every cross-claim which can be deducted. It is only cross-claims that arise out of the same transaction or are closely connected with it. And it is only cross-claims which go directly to impeach the plaintiff's demands, that is, so closely connected with his demands that it would be manifestly unjust to allow him to enforce payment without taking into account the cross-claim.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question is whether the cross-claim is so closely connected to the plaintiff's demands that it would be manifestly unjust to allow the plaintiff to enforce payment without taking into account the cross-claim.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In </w:t>
      </w:r>
      <w:r>
        <w:rPr>
          <w:rFonts w:ascii="arial" w:eastAsia="arial" w:hAnsi="arial" w:cs="arial"/>
          <w:i/>
          <w:color w:val="000000"/>
          <w:sz w:val="20"/>
          <w:lang w:val="en-US" w:eastAsia="en-US" w:bidi="ar-SA"/>
        </w:rPr>
        <w:t>Holt</w:t>
      </w:r>
      <w:r>
        <w:rPr>
          <w:rFonts w:ascii="arial" w:eastAsia="arial" w:hAnsi="arial" w:cs="arial"/>
          <w:color w:val="000000"/>
          <w:sz w:val="20"/>
          <w:lang w:val="en-US" w:eastAsia="en-US" w:bidi="ar-SA"/>
        </w:rPr>
        <w:t>, supra the parties swapped lands, each taking back a first or second mortgage. When the claim was commenced upon default of payment it was found by the Supreme Court the swapped parcels of land and the mortgages formed part of the consideration for the reciprocal transfers. Given the close connection the requirements for an equitable set-off were found to have been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w:t>
      </w:r>
      <w:r>
        <w:rPr>
          <w:rFonts w:ascii="arial" w:eastAsia="arial" w:hAnsi="arial" w:cs="arial"/>
          <w:i/>
          <w:color w:val="000000"/>
          <w:sz w:val="20"/>
          <w:lang w:val="en-US" w:eastAsia="en-US" w:bidi="ar-SA"/>
        </w:rPr>
        <w:t>CIBC Mortgage Corp. v. Rowatt</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(2002), 61 O.R. (3d) 737</w:t>
        </w:r>
      </w:hyperlink>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[2002] O.J. No. 4109</w:t>
        </w:r>
      </w:hyperlink>
      <w:r>
        <w:rPr>
          <w:rFonts w:ascii="arial" w:eastAsia="arial" w:hAnsi="arial" w:cs="arial"/>
          <w:color w:val="000000"/>
          <w:sz w:val="20"/>
          <w:lang w:val="en-US" w:eastAsia="en-US" w:bidi="ar-SA"/>
        </w:rPr>
        <w:t>; (Ont. C.A.) the wife gave the bank a mortgage on her home as security for her husband's business loans. When she stopped payments on the mortgage she sought to defend the action for enforcement on the basis that it was obtained by misrepresentation. It was not a case of misrepresentation so much as the bank breaching its agreement that the mortgage was to replace a personal guarantee which the bank later sought to enforce. The Court of Appeal found the claims were so clearly connected that it would be manifestly unjust for the plaintiff to enforce payment without taking into consideration the defendant's claim for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i/>
          <w:color w:val="000000"/>
          <w:sz w:val="20"/>
          <w:lang w:val="en-US" w:eastAsia="en-US" w:bidi="ar-SA"/>
        </w:rPr>
        <w:t>Venpax Corp. v. Paniw</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[2002] O.J. No. 377</w:t>
        </w:r>
      </w:hyperlink>
      <w:r>
        <w:rPr>
          <w:rFonts w:ascii="arial" w:eastAsia="arial" w:hAnsi="arial" w:cs="arial"/>
          <w:color w:val="000000"/>
          <w:sz w:val="20"/>
          <w:lang w:val="en-US" w:eastAsia="en-US" w:bidi="ar-SA"/>
        </w:rPr>
        <w:t>, (Ont. Super. Ct.) Venpax bought an apartment building from Paniw who took back a mortgage as part payment. On default under the mortgage Venpax sought to claim a set-off as a result of its claim that Paniw misrepresented critical facts relating to the building including vacancy rates, payment history and gross revenues. The court found the claim of equitable set-off to the mortgage was to be considered as the mortgage was part of the consideration for a transaction allegedly induced by fraudulent misrepresentation. The court found fairness required the claims be dealt with together.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plaintiff argues equitable set-off is not available as a defence as it is a separate cause of action that does not go to the very root of the plaintiff's claim. It is said the defendant's claims are not inseparably connected to the plaintiff's claim. Counsel relies on decisions such as </w:t>
      </w:r>
      <w:r>
        <w:rPr>
          <w:rFonts w:ascii="arial" w:eastAsia="arial" w:hAnsi="arial" w:cs="arial"/>
          <w:i/>
          <w:color w:val="000000"/>
          <w:sz w:val="20"/>
          <w:lang w:val="en-US" w:eastAsia="en-US" w:bidi="ar-SA"/>
        </w:rPr>
        <w:t>Chiarotto v. S. Parks Investments Ltd.,</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[1995] O.J. No. 3003</w:t>
        </w:r>
      </w:hyperlink>
      <w:r>
        <w:rPr>
          <w:rFonts w:ascii="arial" w:eastAsia="arial" w:hAnsi="arial" w:cs="arial"/>
          <w:color w:val="000000"/>
          <w:sz w:val="20"/>
          <w:lang w:val="en-US" w:eastAsia="en-US" w:bidi="ar-SA"/>
        </w:rPr>
        <w:t xml:space="preserve"> Ont. Ct. J. (Gen. Div.); </w:t>
      </w:r>
      <w:r>
        <w:rPr>
          <w:rFonts w:ascii="arial" w:eastAsia="arial" w:hAnsi="arial" w:cs="arial"/>
          <w:i/>
          <w:color w:val="000000"/>
          <w:sz w:val="20"/>
          <w:lang w:val="en-US" w:eastAsia="en-US" w:bidi="ar-SA"/>
        </w:rPr>
        <w:t>7895 Tranmere Drive Management Inc. v. Helter Investments Ltd.</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[2005] O.J. No. 2847</w:t>
        </w:r>
      </w:hyperlink>
      <w:r>
        <w:rPr>
          <w:rFonts w:ascii="arial" w:eastAsia="arial" w:hAnsi="arial" w:cs="arial"/>
          <w:color w:val="000000"/>
          <w:sz w:val="20"/>
          <w:lang w:val="en-US" w:eastAsia="en-US" w:bidi="ar-SA"/>
        </w:rPr>
        <w:t xml:space="preserve"> (Ont. Super. Ct.); </w:t>
      </w:r>
      <w:r>
        <w:rPr>
          <w:rFonts w:ascii="arial" w:eastAsia="arial" w:hAnsi="arial" w:cs="arial"/>
          <w:i/>
          <w:color w:val="000000"/>
          <w:sz w:val="20"/>
          <w:lang w:val="en-US" w:eastAsia="en-US" w:bidi="ar-SA"/>
        </w:rPr>
        <w:t>Royal Bank of Canada v. Scherbey et al</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(1993), 117 Sask.R. 93</w:t>
        </w:r>
      </w:hyperlink>
      <w:r>
        <w:rPr>
          <w:rFonts w:ascii="arial" w:eastAsia="arial" w:hAnsi="arial" w:cs="arial"/>
          <w:color w:val="000000"/>
          <w:sz w:val="20"/>
          <w:lang w:val="en-US" w:eastAsia="en-US" w:bidi="ar-SA"/>
        </w:rPr>
        <w:t xml:space="preserve"> (Sask. Q.B.) and then affirmed at </w:t>
      </w:r>
      <w:hyperlink r:id="rId659" w:history="1">
        <w:r>
          <w:rPr>
            <w:rFonts w:ascii="arial" w:eastAsia="arial" w:hAnsi="arial" w:cs="arial"/>
            <w:i/>
            <w:color w:val="0077CC"/>
            <w:sz w:val="20"/>
            <w:u w:val="single"/>
            <w:shd w:val="clear" w:color="auto" w:fill="FFFFFF"/>
            <w:lang w:val="en-US" w:eastAsia="en-US" w:bidi="ar-SA"/>
          </w:rPr>
          <w:t>(1994), 128 Sask.R. 94</w:t>
        </w:r>
      </w:hyperlink>
      <w:r>
        <w:rPr>
          <w:rFonts w:ascii="arial" w:eastAsia="arial" w:hAnsi="arial" w:cs="arial"/>
          <w:color w:val="000000"/>
          <w:sz w:val="20"/>
          <w:lang w:val="en-US" w:eastAsia="en-US" w:bidi="ar-SA"/>
        </w:rPr>
        <w:t xml:space="preserve"> (Sask.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w:t>
      </w:r>
      <w:r>
        <w:rPr>
          <w:rFonts w:ascii="arial" w:eastAsia="arial" w:hAnsi="arial" w:cs="arial"/>
          <w:i/>
          <w:color w:val="000000"/>
          <w:sz w:val="20"/>
          <w:lang w:val="en-US" w:eastAsia="en-US" w:bidi="ar-SA"/>
        </w:rPr>
        <w:t>Chiarotto, supra</w:t>
      </w:r>
      <w:r>
        <w:rPr>
          <w:rFonts w:ascii="arial" w:eastAsia="arial" w:hAnsi="arial" w:cs="arial"/>
          <w:color w:val="000000"/>
          <w:sz w:val="20"/>
          <w:lang w:val="en-US" w:eastAsia="en-US" w:bidi="ar-SA"/>
        </w:rPr>
        <w:t xml:space="preserve"> the vendor was seeking to enforce a take back mortgage of $122,000.00 which had been part of a 1.3 Million Dollar purchase transaction. The purchaser wanted to claim an equitable setoff for alleged breaches of warranties in the purchase agreement. It appeared it was going to be about $65,000.00 for repairs to a parking garage which was adjacent to the building in question. The court did not find the claims to be so clearly connected such that a defence of set-off should be pleaded in the mortgage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In </w:t>
      </w:r>
      <w:r>
        <w:rPr>
          <w:rFonts w:ascii="arial" w:eastAsia="arial" w:hAnsi="arial" w:cs="arial"/>
          <w:i/>
          <w:color w:val="000000"/>
          <w:sz w:val="20"/>
          <w:lang w:val="en-US" w:eastAsia="en-US" w:bidi="ar-SA"/>
        </w:rPr>
        <w:t>7895 Tranmere Drive Management Inc., supra</w:t>
      </w:r>
      <w:r>
        <w:rPr>
          <w:rFonts w:ascii="arial" w:eastAsia="arial" w:hAnsi="arial" w:cs="arial"/>
          <w:color w:val="000000"/>
          <w:sz w:val="20"/>
          <w:lang w:val="en-US" w:eastAsia="en-US" w:bidi="ar-SA"/>
        </w:rPr>
        <w:t xml:space="preserve"> the mortgagee sold a commercial property for 5.12 Million Dollars with a vendor take back second mortgage of $950,000.00. On default the mortgagee was seeking summary judgment. The mortgagor wanted to plead equitable set-off advancing a counterclaim of 2.5 Million Dollars based on alleged misrepresentations as to the intention of various tenants of the commercial property. As I read the decision it is clear the trial judge found the proposed counterclaim to be speculative and as such the misrepresentations did not go to the very root of the contractual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w:t>
      </w:r>
      <w:r>
        <w:rPr>
          <w:rFonts w:ascii="arial" w:eastAsia="arial" w:hAnsi="arial" w:cs="arial"/>
          <w:i/>
          <w:color w:val="000000"/>
          <w:sz w:val="20"/>
          <w:lang w:val="en-US" w:eastAsia="en-US" w:bidi="ar-SA"/>
        </w:rPr>
        <w:t>Scherbey, supra</w:t>
      </w:r>
      <w:r>
        <w:rPr>
          <w:rFonts w:ascii="arial" w:eastAsia="arial" w:hAnsi="arial" w:cs="arial"/>
          <w:color w:val="000000"/>
          <w:sz w:val="20"/>
          <w:lang w:val="en-US" w:eastAsia="en-US" w:bidi="ar-SA"/>
        </w:rPr>
        <w:t xml:space="preserve">, the defendants attempted to plead breach of contract, negligent performance of contract and breach of fiduciary duty by the Royal Bank as set-offs in the mortgage foreclosure proceeding. While there appears to be a blanket statement that a borrower cannot offset damages from other causes of action as a defence to a mortgage loan I note that neither the trial judgment nor the Court of Appeal addresses Holt v. Telford, supra, which clearly provides that equitable set-off can in fact be claimed in an appropriate circumstance. There was no discussion of Rule 104A. I also note the trial judge in </w:t>
      </w:r>
      <w:r>
        <w:rPr>
          <w:rFonts w:ascii="arial" w:eastAsia="arial" w:hAnsi="arial" w:cs="arial"/>
          <w:i/>
          <w:color w:val="000000"/>
          <w:sz w:val="20"/>
          <w:lang w:val="en-US" w:eastAsia="en-US" w:bidi="ar-SA"/>
        </w:rPr>
        <w:t>Scherbey, supra</w:t>
      </w:r>
      <w:r>
        <w:rPr>
          <w:rFonts w:ascii="arial" w:eastAsia="arial" w:hAnsi="arial" w:cs="arial"/>
          <w:color w:val="000000"/>
          <w:sz w:val="20"/>
          <w:lang w:val="en-US" w:eastAsia="en-US" w:bidi="ar-SA"/>
        </w:rPr>
        <w:t xml:space="preserve"> observed that the evidence did not support most of the alleged defences pleaded in the statement of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From this review of the cases the result is clearly fact 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Our Court of Appeal in </w:t>
      </w:r>
      <w:r>
        <w:rPr>
          <w:rFonts w:ascii="arial" w:eastAsia="arial" w:hAnsi="arial" w:cs="arial"/>
          <w:i/>
          <w:color w:val="000000"/>
          <w:sz w:val="20"/>
          <w:lang w:val="en-US" w:eastAsia="en-US" w:bidi="ar-SA"/>
        </w:rPr>
        <w:t>Cam-Net Communications v. Vancouver Telephone Co.</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1999 BCCA 751</w:t>
        </w:r>
      </w:hyperlink>
      <w:r>
        <w:rPr>
          <w:rFonts w:ascii="arial" w:eastAsia="arial" w:hAnsi="arial" w:cs="arial"/>
          <w:color w:val="000000"/>
          <w:sz w:val="20"/>
          <w:lang w:val="en-US" w:eastAsia="en-US" w:bidi="ar-SA"/>
        </w:rPr>
        <w:t>, has given further guidance on when equitable set-off is available. In delivering the judgment of the Court, Rowles J.A.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Equitable set-off, as claimed by the appellant in this case, will only be permitted where the claims are so closely related that it would be unfair or unjust to treat the claims separately. As Houlden and Morawetz state at F [section] 109: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Equitable set-off arises where there is such a relationship between the claims of the parties that it would be unconscionable or inequitable not to permit set-off. ... For equitable set-off, there must be a close connection and interrelatedness of the transactions sought to be set off, and if this is lacking, equitable set-off will not be allowed.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Where this degree of interrelatedness is found to be absent, set-off will not be allowed: Ontario Development Corp. v. F.P. Bourgault Industries Cultivator Division Ltd. </w:t>
      </w:r>
      <w:hyperlink r:id="rId661" w:history="1">
        <w:r>
          <w:rPr>
            <w:rFonts w:ascii="arial" w:eastAsia="arial" w:hAnsi="arial" w:cs="arial"/>
            <w:i/>
            <w:color w:val="0077CC"/>
            <w:sz w:val="20"/>
            <w:u w:val="single"/>
            <w:shd w:val="clear" w:color="auto" w:fill="FFFFFF"/>
            <w:lang w:val="en-US" w:eastAsia="en-US" w:bidi="ar-SA"/>
          </w:rPr>
          <w:t>(1995), 35 C.B.R. (3d) 255</w:t>
        </w:r>
      </w:hyperlink>
      <w:r>
        <w:rPr>
          <w:rFonts w:ascii="arial" w:eastAsia="arial" w:hAnsi="arial" w:cs="arial"/>
          <w:color w:val="000000"/>
          <w:sz w:val="20"/>
          <w:lang w:val="en-US" w:eastAsia="en-US" w:bidi="ar-SA"/>
        </w:rPr>
        <w:t xml:space="preserve"> (Sask. Q.B.). I also note that the case was one in which there were a series of contracts, rather than one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decision of the Privy Council in Government of Newfoundland v. Newfoundland Railway Co. (1888), 13 A.C. 199 (P.C.) dealt with the right to set off debts arising under the same or interrelated contracts. The railway company in that case sued to recover upon a construction contract, but the court allowed the government to set off damages for breach of contract. The Supreme Court of Canada, in Telford v. Holt, </w:t>
      </w:r>
      <w:hyperlink r:id="rId650" w:history="1">
        <w:r>
          <w:rPr>
            <w:rFonts w:ascii="arial" w:eastAsia="arial" w:hAnsi="arial" w:cs="arial"/>
            <w:i/>
            <w:color w:val="0077CC"/>
            <w:sz w:val="20"/>
            <w:u w:val="single"/>
            <w:shd w:val="clear" w:color="auto" w:fill="FFFFFF"/>
            <w:lang w:val="en-US" w:eastAsia="en-US" w:bidi="ar-SA"/>
          </w:rPr>
          <w:t>[1987] 2 S.C.R. 193</w:t>
        </w:r>
      </w:hyperlink>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41 D.L.R. (4th) 385</w:t>
        </w:r>
      </w:hyperlink>
      <w:r>
        <w:rPr>
          <w:rFonts w:ascii="arial" w:eastAsia="arial" w:hAnsi="arial" w:cs="arial"/>
          <w:color w:val="000000"/>
          <w:sz w:val="20"/>
          <w:lang w:val="en-US" w:eastAsia="en-US" w:bidi="ar-SA"/>
        </w:rPr>
        <w:t xml:space="preserve"> at 395, referred to this case as "the seminal case" on this point. As stated in Government of Newfoundland, supra, at 212: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present case is entirely different from any of those cited by the plaintiffs' counsel. The two claims under consideration have their origin in the same portion of the same contract, where the obligations which gave rise to them are intertwined in the closest manner. The claim of the Government does not arise from any fresh transaction freely entered into by it after notice of assignment by the company. It was utterly powerless to prevent the company from inflicting injury on it by breaking the contract. It would be a lamentable thing if it were found to be the law that a party to a contract may assign a portion of it, perhaps a beneficial portion, so that the assignee shall take the benefit, wholly discharged of any counter-claim by the other party in respect of the rest of the contract, which may be burdensome. There is no universal rule that claims arising out of the same contract may be set against one another in all circumstances. But their Lordships have no hesitation in saying that in this contract the claims for subsidy and for non-construction ought to be set against one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foregoing passage offers some guidance as to when claims arising out of the same contract may be set off against one another. As the penultimate sentence makes clear, set-off will not follow as a matter of course simply because the claims arise from the same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reviewing the English jurisprudence, Rowles J.A.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In British Anzani (Felixstowe) Ltd. v. International Marine Management (U.K.) Ltd., [1980] 1 Q.B. 137, [1979] 2 All E.R. 1063 at 1067-68, Forbes J. reviewed the English jurisprudence and discussed the types of set-off: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are in general three occasions on which set-off is permissible: (1) set-off under the Statutes of Set-off, (2) what might be called abatement in certain cases at common law, and (3) equitable set-off ... The third occasion on which set-off is permissible arises where "a court of equity would have regarded the crossclaims as entitling the defendant to be protected in one way or another against the plaintiff's claim"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The fact that an equitable set-off is intimately connected with, and directly impeaches, the plaintiff's claim also demonstrates why a defendant potentially asserting such a claim should not be required, or expected, to bring the claim in the CCAA proceedings along with the petitioner's creditors. As the definition of equitable set-off suggests, the defendant will typically not have an independent and free-standing claim to bring against the plaintiff in the absence of the plaintiff's demands; rather, a true claim of equitable set-off will be responsive to, and therefore contingent on, the plaintiff's bringing its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respondent submits that as a consequence of the issues raised and the potential for an equitable set-off, this petition should be referred to the trial list to be heard at the same time as Vancouver Registry Action No. S117850.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Global Securities Corp. v. 580235 B.C. Ltd.</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2002 BCSC 9</w:t>
        </w:r>
      </w:hyperlink>
      <w:r>
        <w:rPr>
          <w:rFonts w:ascii="arial" w:eastAsia="arial" w:hAnsi="arial" w:cs="arial"/>
          <w:color w:val="000000"/>
          <w:sz w:val="20"/>
          <w:lang w:val="en-US" w:eastAsia="en-US" w:bidi="ar-SA"/>
        </w:rPr>
        <w:t>, Burnyeat J. reviewed the case authorities in discussion with respect to this issue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question of whether a matter should be referred to the trial list pursuant to Rule 52(11)(d) has been variously described: (a) "a bona fide triable issue ... which raises a factual or legal dispute which, if resolved in favour of the Respondents, would provide an answer to the Petitioner's claim. ..." (Confederation Trust Co. v. G.H.L. Holdings Ltd., </w:t>
      </w:r>
      <w:hyperlink r:id="rId663" w:history="1">
        <w:r>
          <w:rPr>
            <w:rFonts w:ascii="arial" w:eastAsia="arial" w:hAnsi="arial" w:cs="arial"/>
            <w:i/>
            <w:color w:val="0077CC"/>
            <w:sz w:val="20"/>
            <w:u w:val="single"/>
            <w:shd w:val="clear" w:color="auto" w:fill="FFFFFF"/>
            <w:lang w:val="en-US" w:eastAsia="en-US" w:bidi="ar-SA"/>
          </w:rPr>
          <w:t>[1993] B.C.J. No. 732</w:t>
        </w:r>
      </w:hyperlink>
      <w:r>
        <w:rPr>
          <w:rFonts w:ascii="arial" w:eastAsia="arial" w:hAnsi="arial" w:cs="arial"/>
          <w:color w:val="000000"/>
          <w:sz w:val="20"/>
          <w:lang w:val="en-US" w:eastAsia="en-US" w:bidi="ar-SA"/>
        </w:rPr>
        <w:t xml:space="preserve"> (B.C.S.C.); (b) "Is it manifestly clear that the appellants are without a defence that deserves to be tried?" (Memphis Rogues Ltd. v. Skalbania </w:t>
      </w:r>
      <w:hyperlink r:id="rId664" w:history="1">
        <w:r>
          <w:rPr>
            <w:rFonts w:ascii="arial" w:eastAsia="arial" w:hAnsi="arial" w:cs="arial"/>
            <w:i/>
            <w:color w:val="0077CC"/>
            <w:sz w:val="20"/>
            <w:u w:val="single"/>
            <w:shd w:val="clear" w:color="auto" w:fill="FFFFFF"/>
            <w:lang w:val="en-US" w:eastAsia="en-US" w:bidi="ar-SA"/>
          </w:rPr>
          <w:t>(1982), 38 B.C.L.R. 193</w:t>
        </w:r>
      </w:hyperlink>
      <w:r>
        <w:rPr>
          <w:rFonts w:ascii="arial" w:eastAsia="arial" w:hAnsi="arial" w:cs="arial"/>
          <w:color w:val="000000"/>
          <w:sz w:val="20"/>
          <w:lang w:val="en-US" w:eastAsia="en-US" w:bidi="ar-SA"/>
        </w:rPr>
        <w:t xml:space="preserve"> (B.C.C.A.); and (c) "... if a trial is ordered, the party requesting the trial is bound to lose." (Douglas Lake Cattle Co. v. Smith </w:t>
      </w:r>
      <w:hyperlink r:id="rId665" w:history="1">
        <w:r>
          <w:rPr>
            <w:rFonts w:ascii="arial" w:eastAsia="arial" w:hAnsi="arial" w:cs="arial"/>
            <w:i/>
            <w:color w:val="0077CC"/>
            <w:sz w:val="20"/>
            <w:u w:val="single"/>
            <w:shd w:val="clear" w:color="auto" w:fill="FFFFFF"/>
            <w:lang w:val="en-US" w:eastAsia="en-US" w:bidi="ar-SA"/>
          </w:rPr>
          <w:t>(1991), 54 B.C.L.R. (2d) 52</w:t>
        </w:r>
      </w:hyperlink>
      <w:r>
        <w:rPr>
          <w:rFonts w:ascii="arial" w:eastAsia="arial" w:hAnsi="arial" w:cs="arial"/>
          <w:color w:val="000000"/>
          <w:sz w:val="20"/>
          <w:lang w:val="en-US" w:eastAsia="en-US" w:bidi="ar-SA"/>
        </w:rPr>
        <w:t xml:space="preserve">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difference between a defence and a counter-claim was described by McLachlin J. (as she then was) in Royal Bank of Canada v. Rizkalla </w:t>
      </w:r>
      <w:hyperlink r:id="rId666" w:history="1">
        <w:r>
          <w:rPr>
            <w:rFonts w:ascii="arial" w:eastAsia="arial" w:hAnsi="arial" w:cs="arial"/>
            <w:i/>
            <w:color w:val="0077CC"/>
            <w:sz w:val="20"/>
            <w:u w:val="single"/>
            <w:shd w:val="clear" w:color="auto" w:fill="FFFFFF"/>
            <w:lang w:val="en-US" w:eastAsia="en-US" w:bidi="ar-SA"/>
          </w:rPr>
          <w:t>(1985), 59 B.C.L.R. 324</w:t>
        </w:r>
      </w:hyperlink>
      <w:r>
        <w:rPr>
          <w:rFonts w:ascii="arial" w:eastAsia="arial" w:hAnsi="arial" w:cs="arial"/>
          <w:color w:val="000000"/>
          <w:sz w:val="20"/>
          <w:lang w:val="en-US" w:eastAsia="en-US" w:bidi="ar-SA"/>
        </w:rPr>
        <w:t xml:space="preserve"> (B.C.S.C.):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defence is a contention that the plaintiff's claim is not established. It adopts one or more of the following positions:</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objection on grounds of jurisdiction;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denial of the plaintiff's allegations (traverse);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submission that if the plaintiff's allegations are true they disclose no cause of action (demurrer);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submission that if the plaintiff's allegations are true there are facts which provide a legal justification for the defendant's conduct (confession and avoidance).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counterclaim, on the other hand, is an independent action raised by a defendant, which, because of the identity of the parties, can conveniently be tried with the plaintiff's claim. While a counterclaim frequently (although not necessarily) arises from the same events as the plaintiff's claim, and while it may result in reduction of the plaintiff's claim, it is in principle an independent action. [p. 327]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that case, Burnyeat J. went on to write: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if it could be said that Global owed some duty of care to 580235, any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Global would be by way of counter claim and not by way of defence. Such an action is an independent action which may or may not be available to 580235 but such an action does not constitute a defence to the foreclosure proceeding. Accordingly, it is not appropriate for this matter to be referred to the Trial List merely because of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raised by 580235.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However, I am satisfied that the questions raised by 580235 regarding the knowledge of Global and its agents about the Mortgage and the lack of authority of Kuldip Gill are bona fide triable issues which should be referred to the Trial List. There are a number of matters which are in dispute: (a) the extent to which Global and its agents knew or ought to have known that Kuldip Gill did not have actual authority to cause 580235 to borrow the funds; (b) whether Global knew that the circumstances under which the Powers of Attorney had been executed were suspicious; (c) whether Global knew it was not contemplated that the Powers of Attorney could be used by Kuldip Gill to complete the mortgage transaction including the Covenants which were signed on behalf of his parents; (d) whether Global should have been put on inquiry regarding the alleged confusion relating to the ultimate purpose for the funds which were being borrowed; and (e) whether Global ignored the opinion received from the lawyer who witnessed the Powers of Attorney of Deedar and Gurdev Gill when it did not provide the assurances sought by Global and did not answer the question about liability insurance raised on behalf of Global.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If 580235 can show that Global and its agents had knowledge that Kuldip Gill was not acting with the authority of 580235, then it may be that Global is not in a position to rely on the "indoor management rule" which it says protects it from the irregularities which have now been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[1992] B.C.J. No. 160</w:t>
        </w:r>
      </w:hyperlink>
      <w:r>
        <w:rPr>
          <w:rFonts w:ascii="arial" w:eastAsia="arial" w:hAnsi="arial" w:cs="arial"/>
          <w:color w:val="000000"/>
          <w:sz w:val="20"/>
          <w:lang w:val="en-US" w:eastAsia="en-US" w:bidi="ar-SA"/>
        </w:rPr>
        <w:t>, Master Kirkpatrick, as she then was, considered the test to be applied in the making of a discretionary order for trial of actions at the same time under then Rule 5(8), now Rule 22-5(8). In that case, she determined that the relief claimed in both actions sought to be consolidated was fundamentally the same. She reviewed the common issues of fact in both actions. She summarized her reasons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are the issues raised by the pleadings sufficiently similar to warrant the order sought and will the order make sense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do common claims, disputes and relationships exist between the parties? ... are they "so interwoven as to make separate trials at different times before different judges undesirable and fraught with problems and economic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then went on to look at other issues such as: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order sought create a saving in pre-trial procedures, (in particular, pre-trial conferences)?;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reduction in the number of trial days taken up by the trials being heard at the same time?;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potential for a party to be seriously inconvenienced by being required to attend a trial in which that party may have only a marginal interest?;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saving in experts' time and witness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am, of course, mindful that the hurdle which the defendant/applicant must surmount is not a high one. I am also mindful that pre-contractual representations may be actionable, as both a breach of contract and negligent misrepresentation, as was made clear by the Supreme Court of Canada in several cases. I am aware, as was stated by E.J. Adair J. in </w:t>
      </w:r>
      <w:r>
        <w:rPr>
          <w:rFonts w:ascii="arial" w:eastAsia="arial" w:hAnsi="arial" w:cs="arial"/>
          <w:i/>
          <w:color w:val="000000"/>
          <w:sz w:val="20"/>
          <w:lang w:val="en-US" w:eastAsia="en-US" w:bidi="ar-SA"/>
        </w:rPr>
        <w:t>Western Steel Ltd. v. Mitchell Island Holdings Inc.</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2010 BCSC 440</w:t>
        </w:r>
      </w:hyperlink>
      <w:r>
        <w:rPr>
          <w:rFonts w:ascii="arial" w:eastAsia="arial" w:hAnsi="arial" w:cs="arial"/>
          <w:color w:val="000000"/>
          <w:sz w:val="20"/>
          <w:lang w:val="en-US" w:eastAsia="en-US" w:bidi="ar-SA"/>
        </w:rPr>
        <w:t>, at paras. 27-30: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On an application under Rule 52(11) to have a matter referred to the trial list, the test is the same as that under Rule 18: is there a bona fide triable issue? See </w:t>
      </w:r>
      <w:r>
        <w:rPr>
          <w:rFonts w:ascii="arial" w:eastAsia="arial" w:hAnsi="arial" w:cs="arial"/>
          <w:i/>
          <w:color w:val="000000"/>
          <w:sz w:val="20"/>
          <w:lang w:val="en-US" w:eastAsia="en-US" w:bidi="ar-SA"/>
        </w:rPr>
        <w:t>Bank of British Columbia v. Pickering,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(1983), 62 B.C.L.R. 136</w:t>
      </w:r>
      <w:r>
        <w:rPr>
          <w:rFonts w:ascii="arial" w:eastAsia="arial" w:hAnsi="arial" w:cs="arial"/>
          <w:color w:val="000000"/>
          <w:sz w:val="20"/>
          <w:lang w:val="en-US" w:eastAsia="en-US" w:bidi="ar-SA"/>
        </w:rPr>
        <w:t xml:space="preserve"> (C.A.), at p. 138. In determining whether there is a bona fide triable issue, the chambers judge must not enter upon a detailed consideration of the merits. See </w:t>
      </w:r>
      <w:r>
        <w:rPr>
          <w:rFonts w:ascii="arial" w:eastAsia="arial" w:hAnsi="arial" w:cs="arial"/>
          <w:i/>
          <w:color w:val="000000"/>
          <w:sz w:val="20"/>
          <w:lang w:val="en-US" w:eastAsia="en-US" w:bidi="ar-SA"/>
        </w:rPr>
        <w:t>Northland Bank (In Liquidation) v. Kocken</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(1993), 25 B.C.A.C. 292</w:t>
        </w:r>
      </w:hyperlink>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100 D.L.R. (4th) 753</w:t>
        </w:r>
      </w:hyperlink>
      <w:r>
        <w:rPr>
          <w:rFonts w:ascii="arial" w:eastAsia="arial" w:hAnsi="arial" w:cs="arial"/>
          <w:color w:val="000000"/>
          <w:sz w:val="20"/>
          <w:lang w:val="en-US" w:eastAsia="en-US" w:bidi="ar-SA"/>
        </w:rPr>
        <w:t xml:space="preserve">, at para. 33. In </w:t>
      </w:r>
      <w:r>
        <w:rPr>
          <w:rFonts w:ascii="arial" w:eastAsia="arial" w:hAnsi="arial" w:cs="arial"/>
          <w:i/>
          <w:color w:val="000000"/>
          <w:sz w:val="20"/>
          <w:lang w:val="en-US" w:eastAsia="en-US" w:bidi="ar-SA"/>
        </w:rPr>
        <w:t>Royal Bank of Canada v. Rizkalla</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(1984), 59 B.C.L.R. 324</w:t>
        </w:r>
      </w:hyperlink>
      <w:r>
        <w:rPr>
          <w:rFonts w:ascii="arial" w:eastAsia="arial" w:hAnsi="arial" w:cs="arial"/>
          <w:color w:val="000000"/>
          <w:sz w:val="20"/>
          <w:lang w:val="en-US" w:eastAsia="en-US" w:bidi="ar-SA"/>
        </w:rPr>
        <w:t xml:space="preserve"> (S.C.), Madam Justice McLachlin (as she then was) said (at p. 325):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no dispute as to the legal principles which should guide this court in determining whether the petitioner's claim should be referred for trial. Unless it is manifestly clear that the mortgagors are without a defence that deserves to be tried, their application to place the matter on the trial list should be granted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HSBC Bank Canada v. Channel Ridge Properties Limited</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2009 BCSC 118</w:t>
        </w:r>
      </w:hyperlink>
      <w:r>
        <w:rPr>
          <w:rFonts w:ascii="arial" w:eastAsia="arial" w:hAnsi="arial" w:cs="arial"/>
          <w:color w:val="000000"/>
          <w:sz w:val="20"/>
          <w:lang w:val="en-US" w:eastAsia="en-US" w:bidi="ar-SA"/>
        </w:rPr>
        <w:t>, at para. 15, Madam Justice Fenlon affirmed that the threshold for establishing a triable issue is not high. The matter should be referred to the trial list unless the chambers judge can categorically conclude that the respondent's claims are entirely without merit.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In </w:t>
      </w:r>
      <w:r>
        <w:rPr>
          <w:rFonts w:ascii="arial" w:eastAsia="arial" w:hAnsi="arial" w:cs="arial"/>
          <w:i/>
          <w:color w:val="000000"/>
          <w:sz w:val="20"/>
          <w:lang w:val="en-US" w:eastAsia="en-US" w:bidi="ar-SA"/>
        </w:rPr>
        <w:t>Rizkalla</w:t>
      </w:r>
      <w:r>
        <w:rPr>
          <w:rFonts w:ascii="arial" w:eastAsia="arial" w:hAnsi="arial" w:cs="arial"/>
          <w:color w:val="000000"/>
          <w:sz w:val="20"/>
          <w:lang w:val="en-US" w:eastAsia="en-US" w:bidi="ar-SA"/>
        </w:rPr>
        <w:t>, Madam Justice McLachlin considered what constituted a "defence" to a claim, and said at p. 327: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defence is a contention that the plaintiff's claim is not established. It adopts one or more of the following positions:</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objection on grounds of jurisdiction;</w:t>
      </w:r>
    </w:p>
    <w:p>
      <w:pPr>
        <w:numPr>
          <w:numId w:val="3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denial of the plaintiff's allegations (traverse);</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submission that if the plaintiff's allegations are true they disclose no cause of action (demurrer); and</w:t>
      </w:r>
    </w:p>
    <w:p>
      <w:pPr>
        <w:numPr>
          <w:numId w:val="5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submission that if the plaintiff's allegations are true there are facts which provide a legal justification for the defendant's conduct (confession and avoidance).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counterclaim, on the other hand, is an independent action raised by a defendant, which, because of the identity of the parties, can conveniently be tried with the plaintiff's claim. While a counterclaim frequently (although not necessarily) arises from the same events as the plaintiff's claim, and while it may result in reduction of the plaintiff's claim, it is in principle an independent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Counsel agree that equitable set-off would constitute a defence. The elements of the defence are set out in the leading cases of </w:t>
      </w:r>
      <w:r>
        <w:rPr>
          <w:rFonts w:ascii="arial" w:eastAsia="arial" w:hAnsi="arial" w:cs="arial"/>
          <w:i/>
          <w:color w:val="000000"/>
          <w:sz w:val="20"/>
          <w:lang w:val="en-US" w:eastAsia="en-US" w:bidi="ar-SA"/>
        </w:rPr>
        <w:t>Holt v. Telford</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[1987] 2 S.C.R. 193</w:t>
        </w:r>
      </w:hyperlink>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41 D.L.R. (4th) 385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Coba Industries Ltd. v. Millie's Holdings (Canada) Ltd.</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(1985), 65 B.C.L.R. 31</w:t>
        </w:r>
      </w:hyperlink>
      <w:r>
        <w:rPr>
          <w:rFonts w:ascii="arial" w:eastAsia="arial" w:hAnsi="arial" w:cs="arial"/>
          <w:color w:val="000000"/>
          <w:sz w:val="20"/>
          <w:lang w:val="en-US" w:eastAsia="en-US" w:bidi="ar-SA"/>
        </w:rPr>
        <w:t xml:space="preserve"> (C.A.), as follows:</w:t>
      </w:r>
    </w:p>
    <w:p>
      <w:pPr>
        <w:numPr>
          <w:numId w:val="5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relying on a set-off must show some equitable ground for being protected against his adversary's demands;</w:t>
      </w:r>
    </w:p>
    <w:p>
      <w:pPr>
        <w:numPr>
          <w:numId w:val="5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equitable ground must go to the very root of the plaintiff's claim before a set-off will be allowed;</w:t>
      </w:r>
    </w:p>
    <w:p>
      <w:pPr>
        <w:numPr>
          <w:numId w:val="5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cross-claim must be so clearly connected with the demand of the plaintiff that it would be manifestly unjust to allow the plaintiff to enforce payment without taking into consideration the cross-claim;</w:t>
      </w:r>
    </w:p>
    <w:p>
      <w:pPr>
        <w:numPr>
          <w:numId w:val="5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and the cross-claim need not arise out of the same contract; and</w:t>
      </w:r>
    </w:p>
    <w:p>
      <w:pPr>
        <w:numPr>
          <w:numId w:val="5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unliquidated claims are on the same footing as liquidated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Holt v. Telford</w:t>
      </w:r>
      <w:r>
        <w:rPr>
          <w:rFonts w:ascii="arial" w:eastAsia="arial" w:hAnsi="arial" w:cs="arial"/>
          <w:color w:val="000000"/>
          <w:sz w:val="20"/>
          <w:lang w:val="en-US" w:eastAsia="en-US" w:bidi="ar-SA"/>
        </w:rPr>
        <w:t xml:space="preserve">, at pp. 212-213 and </w:t>
      </w:r>
      <w:r>
        <w:rPr>
          <w:rFonts w:ascii="arial" w:eastAsia="arial" w:hAnsi="arial" w:cs="arial"/>
          <w:i/>
          <w:color w:val="000000"/>
          <w:sz w:val="20"/>
          <w:lang w:val="en-US" w:eastAsia="en-US" w:bidi="ar-SA"/>
        </w:rPr>
        <w:t>Coba Industries</w:t>
      </w:r>
      <w:r>
        <w:rPr>
          <w:rFonts w:ascii="arial" w:eastAsia="arial" w:hAnsi="arial" w:cs="arial"/>
          <w:color w:val="000000"/>
          <w:sz w:val="20"/>
          <w:lang w:val="en-US" w:eastAsia="en-US" w:bidi="ar-SA"/>
        </w:rPr>
        <w:t xml:space="preserve"> at p.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From the materials before me, it is apparent that the issues to be resolved in determining the claims of the respondent as the plaintiff in Vancouver Registry Action S117850 are separate and are not the issues in this petition. Subject to any equitable set-off, the monies claimed by the petitioner are owing. Furthermore, the respondent did not seem to consider the matters which form the basis of Action No. S117850 closely to be connected to the mortgage or payment, as he made no reference to it in his email sent December 13, 2007, referred to above in paragraph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respondent has an independent and free standing claim. That is obvious by the fact that he has started a separate action. His response does not claim a set-off. He merely opposes granting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Sweet &amp; Maxwell: </w:t>
      </w:r>
      <w:r>
        <w:rPr>
          <w:rFonts w:ascii="arial" w:eastAsia="arial" w:hAnsi="arial" w:cs="arial"/>
          <w:i/>
          <w:color w:val="000000"/>
          <w:sz w:val="20"/>
          <w:lang w:val="en-US" w:eastAsia="en-US" w:bidi="ar-SA"/>
        </w:rPr>
        <w:t>Snell's Equity</w:t>
      </w:r>
      <w:r>
        <w:rPr>
          <w:rFonts w:ascii="arial" w:eastAsia="arial" w:hAnsi="arial" w:cs="arial"/>
          <w:color w:val="000000"/>
          <w:sz w:val="20"/>
          <w:lang w:val="en-US" w:eastAsia="en-US" w:bidi="ar-SA"/>
        </w:rPr>
        <w:t>, 29th Ed., c. 3, entitled "The Maxims of Equity" at p. 27 sets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are certain general principles upon which the Court of Chancery exercised its jurisdiction. Many of these have been embodied in the so-called maxims of equity. These are not to be taken as positive laws of equity which will be applied literally and relentlessly in their full width, but rather as trends or principles which can be discerned in many of the detailed rules which equity has established. Further, no logical division of these maxims is possible. The maxims do not cover the whole of the ground and, moreover, they overlap, one maxim containing by implication what belongs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test then goes on to enumerate the twelve maxims. Some of the applicable ones are as follows:</w:t>
      </w:r>
      <w:r>
        <w:rPr>
          <w:rFonts w:ascii="arial" w:eastAsia="arial" w:hAnsi="arial" w:cs="arial"/>
          <w:sz w:val="20"/>
          <w:lang w:val="en-US" w:eastAsia="en-US" w:bidi="ar-SA"/>
        </w:rPr>
        <w:cr/>
      </w:r>
    </w:p>
    <w:p>
      <w:pPr>
        <w:numPr>
          <w:numId w:val="5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Equity follows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who seeks equity must do equity.</w:t>
      </w:r>
    </w:p>
    <w:p>
      <w:pPr>
        <w:numPr>
          <w:numId w:val="5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who comes into equity must come with clean hands.</w:t>
      </w:r>
    </w:p>
    <w:p>
      <w:pPr>
        <w:numPr>
          <w:numId w:val="5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Delay defeats equities [or, equity aids the vigilant and not the indolent: p.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law, as set out in </w:t>
      </w:r>
      <w:r>
        <w:rPr>
          <w:rFonts w:ascii="arial" w:eastAsia="arial" w:hAnsi="arial" w:cs="arial"/>
          <w:i/>
          <w:color w:val="000000"/>
          <w:sz w:val="20"/>
          <w:lang w:val="en-US" w:eastAsia="en-US" w:bidi="ar-SA"/>
        </w:rPr>
        <w:t>Global Securities</w:t>
      </w:r>
      <w:r>
        <w:rPr>
          <w:rFonts w:ascii="arial" w:eastAsia="arial" w:hAnsi="arial" w:cs="arial"/>
          <w:color w:val="000000"/>
          <w:sz w:val="20"/>
          <w:lang w:val="en-US" w:eastAsia="en-US" w:bidi="ar-SA"/>
        </w:rPr>
        <w:t xml:space="preserve"> at para. 69 of these reasons, the respondents' counterclaim is not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his leading text on Law of Trusts in Canada, 2nd Edition, Professor Waters writes under the heading "Limitation and Laches" at p. 1014: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legal system could allow a person who has legal claim to do nothing over a long period of time to assert it, and then to bring his action because it pleases him at that moment to do so. A would-be defendant is reasonably entitled to ask that action shall be brought when the evidence, particularly in his own favour, is still available and at least relatively fresh. Nor is it unreasonable for him to assume, if the would-be plaintiff does nothing for a considerable period of time, that the latter has condoned the wrongdoer's act or omission, and intends that the wrongdoer may arrange his affairs accordingly. Courts of equity traditionally adopted these views, and applied them in the doctrine of laches. The claimant who delayed bringing his claim for an unreasonable period of time was taken to have acquiesced in the circumstances brought about by the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the footnote to that passage, the author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if the plaintiff commences his action within the permitted period, the defendant will not be permitted to prejudice the plaintiff's case by having it dismissed for want of prosecution as soon as the statutory period has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While the respondent has commenced an action within the six-year time limit for so doing, as set out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and is not barred from pursuing his legal remedies, his delay in asserting his claim for an equitable set-off is something I can take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are other matters which seem to me to go to the equitable relief being sought:</w:t>
      </w:r>
      <w:r>
        <w:rPr>
          <w:rFonts w:ascii="arial" w:eastAsia="arial" w:hAnsi="arial" w:cs="arial"/>
          <w:sz w:val="20"/>
          <w:lang w:val="en-US" w:eastAsia="en-US" w:bidi="ar-SA"/>
        </w:rPr>
        <w:cr/>
      </w:r>
    </w:p>
    <w:p>
      <w:pPr>
        <w:numPr>
          <w:numId w:val="5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was a fiduciary toward the plaintiffs;</w:t>
      </w:r>
    </w:p>
    <w:p>
      <w:pPr>
        <w:numPr>
          <w:numId w:val="5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apparent that the real estate counsel considered this in reaching its decision;</w:t>
      </w:r>
    </w:p>
    <w:p>
      <w:pPr>
        <w:numPr>
          <w:numId w:val="5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that the respondent is entitled to make claims based on pre-contractual representations and claims in the nature of fraud for concealment of latent defects; however, apart from such claims, the principle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remains applicable in purchases of land;</w:t>
      </w:r>
    </w:p>
    <w:p>
      <w:pPr>
        <w:numPr>
          <w:numId w:val="5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inspection performed at the behest of the respondent prior to the granting of the mortgage appears to give the respondent notice of some of the alleged defects complained of in Vancouver Registry Action No. S117850; and</w:t>
      </w:r>
    </w:p>
    <w:p>
      <w:pPr>
        <w:numPr>
          <w:numId w:val="5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resided in the property for a few weeks prior to completion and for several months prior to writing the December 13, 2007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have reviewed the cases submitted by counsel for the respondent. Each case is somewhat fact dependant.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seems to me that a court of equity would not, in the circumstances of this case, regard the cross-claims as entitling the respondent to an equitable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not convenient to have the issues in Vancouver Registry Action No. S117850 tried at the same time as the petition. The respondent has not established the right in equity to a set-off. Any prejudice to the respondent can be cured by the order I am going to make, which will stay execution on the judgment until the expiry of the redemption period. Presumably the respondent can move to promptly prosecute the action he has commenced by serving it and embarking on the necessary discovery processes.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petitioners in their statement of relief seek a one-month redemption period running from the date of the order nisi.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Section 16(2)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must order that the time for redemption be 6 months, unless the court considers, in the circumstances, that a shorter or longer period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Typically, a shorter period is justified when there is evidence before the court of a significant risk of shortfall to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no evidence before me that the first mortgage is in default. The appraisal provided is outdated. The respondent says that it does not take into account several improvements he has made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circumstances, I make the following orders:</w:t>
      </w:r>
      <w:r>
        <w:rPr>
          <w:rFonts w:ascii="arial" w:eastAsia="arial" w:hAnsi="arial" w:cs="arial"/>
          <w:sz w:val="20"/>
          <w:lang w:val="en-US" w:eastAsia="en-US" w:bidi="ar-SA"/>
        </w:rPr>
        <w:cr/>
      </w:r>
    </w:p>
    <w:p>
      <w:pPr>
        <w:numPr>
          <w:numId w:val="5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application is dismissed;</w:t>
      </w:r>
    </w:p>
    <w:p>
      <w:pPr>
        <w:numPr>
          <w:numId w:val="5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a default of the mortgage and consequently the petitioners are entitled to the declaratory relief to that effect to include an order nisi of foreclosure with a six-month redemption period. The redemption amount as of December 6, 2011 was $225,810.84, together with a per diem thereafter of $33.60. To today's date (45 days there would be additional interest of $1,512.00 for a redemption amount as of today's date of $228,322.84, together with interest thereafter in accordance with the terms of the mortgage;</w:t>
      </w:r>
    </w:p>
    <w:p>
      <w:pPr>
        <w:numPr>
          <w:numId w:val="5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personal judgment against Kamran Victory in that sum; $228,322.84;</w:t>
      </w:r>
    </w:p>
    <w:p>
      <w:pPr>
        <w:numPr>
          <w:numId w:val="5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is entitled to its costs on scale B;</w:t>
      </w:r>
    </w:p>
    <w:p>
      <w:pPr>
        <w:numPr>
          <w:numId w:val="5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by the petitioner for an order for conduct of sale is adjourned with liberty for the petitioner to re-apply after the expiry of the redemption period;</w:t>
      </w:r>
    </w:p>
    <w:p>
      <w:pPr>
        <w:numPr>
          <w:numId w:val="5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has the right to apply for a further accounting; and</w:t>
      </w:r>
    </w:p>
    <w:p>
      <w:pPr>
        <w:numPr>
          <w:numId w:val="5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a stay on execution of the judgment against Kamran Victory until the expiry of the redemption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R. McDIARMID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Niemela v. Malamas, [2015] B.C.J. No. 1250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Fenlon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10 and 11,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S146067, S149103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1250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1024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Glenn J. Niemela also known as Glenn John Niemela, Plaintiff, and Strato Malamas, Strato Malamas also known as Doris Ligman also known as Doris L also known as Vafal also known as Kukaz also known as Kukas Kasay, Robin Hood, John Doe #1 also known as Robin Hood, Larry Roberts, Larry Roberts also known as Robin Hood, John Doe #2 also known as Larry Roberts also known as Robin Hood, Vufal, John Doe #3 also known as Vufal, Kukaz Kasay, John Doe #4 also known as Kukaz Kasay, Kukaz, John Doe #5 also known as Kukaz, Dr. Stephen Johnson, John Doe #6 also known as Dr. Stephen Johnson, Hacer Quepagu, John Doe #7 also known as Hacer Quepagu, Valentino, John Doe #8 also known as Valentino, John Doe #9, Walter Blackstock, Walter Blackstock also known as Larry Roberts also known as Robin Hood, John Doe #10 also known as Walter Blackstock also known as Larry Roberts also known as Robin Hood, John Doe #11, John Doe #12, John Doe #13, John Doe #14, John Doe #15, John Doe #16, John Doe #17, John Doe #18, Doris Ligman, Jane Doe #1 also known as Doris Ligman, Doris L, and Jane Doe #2 also known as Doris L, Defendants And between Glenn J. Niemela, Plaintiff, and Google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1" w:name="Keywords_27"/>
      <w:bookmarkEnd w:id="181"/>
      <w:r>
        <w:rPr>
          <w:rFonts w:ascii="arial" w:eastAsia="arial" w:hAnsi="arial" w:cs="arial"/>
          <w:b/>
          <w:color w:val="000000"/>
          <w:sz w:val="20"/>
          <w:lang w:val="en-US" w:eastAsia="en-US" w:bidi="ar-SA"/>
        </w:rPr>
        <w:t>Civil litigation — Civil procedure — Injunctions — Circumstances when not granted — Considerations affecting grant — Irreparable injury — Application by plaintiff for interlocutory injunction compelling Google to block from its global search results 146 universal resource locators for websites containing defamatory comments about plaintiff dismissed — Two internet sites contained defamatory statements about plaintiff's conduct as a lawyer — Google had removed most URLs from its Canadian search platform but plaintiff also wanted Google to block searches from its worldwide websites — As plaintiff's work was mainly performed in Canada, injunction was not required to prevent vast majority of potential harm complained of.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Information technology — Internet — Defamation — Search engine — Cross-application by Google for summary judgment dismissing claims against it for defamation, breach of privacy and malicious falsehood allowed — Defamatory statements about plaintiff as lawyer were posted on two internet sites — Claim for slander bound to fail because there no evidence of oral communications by Google and its representatives — No prospect of succeeding in claim for beach of privacy as plaintiff's claim was plainly in defamation — Defamation claim could not succeed as Google had not published content of text accessible through URLs — Google was a passive instrument and not a publisher of snippets.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Publication — What constitutes publication — Slander — Cross-application by Google for summary judgment dismissing claims against it for defamation, breach of privacy and malicious falsehood allowed — Defamatory statements about plaintiff as lawyer were posted on two internet sites — Claim for slander bound to fail because there no evidence of oral communications by Google and its representatives — No prospect of succeeding in claim for beach of privacy as plaintiff's claim was plainly in defamation — Defamation claim could not succeed as Google had not published content of text accessible through URLs — Google was a passive instrument and not a publisher of snippets.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2" w:name="Case Summary_25"/>
            <w:bookmarkEnd w:id="1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an interlocutory injunction compelling Google to block from its global search results 146 universal resource locators for websites containing defamatory comments about the plaintiff. Cross-application by Google for summary judgment dismissing the claims against it for defamation, breach of privacy and malicious falsehood or to strike portions of the claim. The plaintiff was a lawyer. Two internet sites contained defamatory statements about the plaintiff and his conduct as a lawyer. Although no further defamatory statements were posted after police involvement in 2012, the postings remained and turned up whenever the plaintiff's name was searched on the Internet. The plaintiff commenced a defamation action against a former client he believed was responsible for the postings and an action against Google. Google had now had removed most of the 146 URLs from its Canadian search platform. The injunction application was therefore limited to compelling Google to block searches from its worldwide websites in addition to its voluntary Canadian blocking of searches.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3" w:name="Holdings of Court_21"/>
            <w:bookmarkEnd w:id="183"/>
            <w:r>
              <w:rPr>
                <w:rFonts w:ascii="arial" w:eastAsia="arial" w:hAnsi="arial" w:cs="arial"/>
                <w:color w:val="000000"/>
                <w:sz w:val="20"/>
                <w:lang w:val="en-US" w:eastAsia="en-US" w:bidi="ar-SA"/>
              </w:rPr>
              <w:t>HELD: Plaintiff's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Cross-application for summary judgment allowed. The plaintiff failed to establish that it was just and equitable to grant the interlocutory injunction sought against Google. There was insufficient evidence of irreparable harm to the plaintiff if the injunction was not granted. Since the vast majority of the plaintiff's work was done for Canadian clients, Google's voluntary removal of URLs identified by the plaintiff had provided an effective means of preventing searchers in Canada from finding the links to the offending websites. An injunction was not therefore required to prevent the vast majority of the potential harm complained of by the plaintiff. There was also no sudden urgency to justify granting an interlocutory injunction ahead of the injunction to be sought at trial. The plaintiff's claim for slander was bound to fail because he neither pleaded nor provided any evidence of oral communications by Google and its representatives. There was no prospect of succeeding in a claim for beach of privacy as the plaintiff's claim was plainly in defamation. The plaintiff could have no reasonable expectation of privacy in relation to how he performed his professional work. The defamation claim arising from the URL's listed in Google's search results could not succeed since Google had not published the content of the text accessible through the URLs. Google was a passive instrument and not a publisher of snippets. There was thus no issue for trial in relation to defamation. The claim of injurious falsehood had no prospect of succeeding at trial based on the finding that the production of hyperlinks and snippets in search results did not constitute publication by Google.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4" w:name="Legislation Cited_20"/>
      <w:bookmarkEnd w:id="1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Privacy Act, RSBC 1996, CHAPTER 373, s. 1,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B.C. Reg. 168/2009, Rule 9-6(4), Rule 9-6(5), Rule 9-6(5)(a), Rule 9-6(5)(b)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5" w:name="Counsel_27"/>
      <w:bookmarkEnd w:id="1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G. Niemela.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Google Inc.: G.B. Gomery, Q.C., P.R. Senkpiel.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6" w:name="Judgment_27"/>
      <w:bookmarkEnd w:id="186"/>
      <w:r>
        <w:pict>
          <v:line id="_x0000_s1162"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7" w:name="L. FENLON J."/>
            <w:bookmarkEnd w:id="187"/>
            <w:r>
              <w:rPr>
                <w:rFonts w:ascii="arial" w:eastAsia="arial" w:hAnsi="arial" w:cs="arial"/>
                <w:b/>
                <w:color w:val="000000"/>
                <w:sz w:val="30"/>
                <w:lang w:val="en-US" w:eastAsia="en-US" w:bidi="ar-SA"/>
              </w:rPr>
              <w:t>L. FENLON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raises the question of whether an Internet search provider is a publisher of defamatory material identified or contained in its search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Glenn Niemela, seeks an interlocutory injunction compelling Google Inc. ("Google") to block from its global search results 146 universal resource locators ("URLs") for websites containing defamatory comments about Mr. Niemela. Google cross-applies for summary judgment dismissing Mr. Niemela's claims against it for defamation, breach of privacy, and malicious falsehood. In the alternative, Google applies to strike portions of Mr. Niemela's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Niemela is a Vancouver lawyer. He has been the victim of a campaign of vilification, harassing telephone calls, and extortion attempts since September 2012. In October 2012 and in March 2013, postings concerning Mr. Niemela were placed on two Internet sites: www.ripoffreport.com ("Ripoffreport") and www.reviewstalk.com ("Reviewstalk"). The postings contain statements about Mr. Niemela and his conduct as a lawyer that are clearly defamatory. Mr. Niemela attributes at least some of this conduct to a former client, the defendant Strato Malamas, who he now believes to be an associate of the Hells Angels.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police became involved in the matter and identified and spoke to a suspect in May 2012. Thereafter the extortion attempts ended and no further defamatory postings were added to the Reviewstalk and Ripoffreport websites. It is an unfortunate aspect of the Internet, however, that the postings remain and turn up whenever Mr. Niemela's name is searched on the Internet.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Niemela took no steps concerning the Internet postings until the fall of 2014, choosing instead to see whether the postings would affect his law practice. He is now convinced that his practice and his billings have dropped dramatically because of the postings and their general accessibility through search engines such as Google.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Niemela is concerned not only with the negative postings on the Reviewstalk and Ripoffreport sites, but also with the text that accompanies the URLs listed in the Google search results. This text is commonly referred to as a "snippet". While it is not necessary to replicate the text from offending sites, an example of a snippet may be of assistance to the reader: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Ripoff Report &amp;boxv; Glenn J. Niemela Complaint Review ...</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.ripoffreport.com/...glenn-j-niemela/glenn-j-niemela-hes-a-scam...</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 18, 2012 - Glenn J. Niemela Complaint Review. Glenn J. Niemela He's a scam artist and steals from his clients while doing nothing to help them with their...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Niemela has commenced two actions in an effort to protect his reputation and recover the losses he says he has suffered because of the defamatory postings:</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S146067 commenced August 2014 against his former client, Strato Malamas, and a host of John Doe defendants (the "Malamas Action"). In that action Google is not named as a defendant. The claims are for defamation, injurious falsehood, inducing breach of contract, intentional interference with economic relations, harassment, conspiracy, and breach of privacy;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S149103 commenced November 2014 against Google (the "Google Action"). The primary claim in this action is against Google for publishing snippets containing defamatory material on its search pages, and for publishing the hyperlinks to websites containing the defamatory postings. The Google Action also makes claims for injurious falsehood and breach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Niemela has obtained two unopposed orders in the Malamas Action requiring those defendants to remove the content of 146 URLs which link to the three offending posts. These orders were not made against Google but Google has voluntarily agreed to remove the 146 URLs from search results on google.ca. Mr. Niemela did not apply for orders against the operators of Ripoffreport and Reviewstalk. Mr. Niemela explained this omission: he has no way of determining precisely where those website operators are located and has no realistic prospect of enforcing an order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noted earlier, there are two applications before the Court: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Niemela's application for a mandatory injunction against Google in the Malamas Action to compel Google to block search results for 146 websites worldwide;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Google's application for summary judgment in the Google Action dismissing the plaintiff's claims or alternatively striking portions of the plaintiff's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of this hearing, Mr. Niemela was satisfied that Google had removed most of the 146 URLs from its Canadian search platform. He identified a few oversights but was satisfied that Google would voluntarily remove those as well from all searches conducted on google.ca. Mr. Niemela's injunction application is therefore limited to compelling Google to block searches from its worldwide websites in addition to its voluntary blocking of searches done on google.ca. In order to understand the distinction, some explanation of Google's operations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Google's search engines make internet search results available through dedicated websites for each country around the world. For example, Google provides internet search services to users in Canada through www.google.ca, to users in the United States through www.google.com, and to users in France through www.google.fr. Despite the existence of country-specific search websites, internet users are not restricted to using the website dedicated to their particular country. A search originating in Canada automatically defaults to google.ca, but users can override that default by choosing to conduct a search on a website designated for another country. In Canada, approximately 95% of Google search users use google.ca. The residual 5% may be explained in part by foreign travellers in Canada wanting to access their home country's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substance of the dispute on the injunction application is whether the removal of search results on google.ca is so inadequate that a mandatory global removal order can and should be made. The substance of the dispute on Google's application to dismiss the defamation claims against it is whether a search engine is a publisher of the materials it turns up in response to a searcher's query.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will begin with Mr. Niemela's application for an interlocutory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Niemela Application for Injunction against Google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An unusual aspect of Mr. Niemela's application for an interlocutory injunction against Google is that it is made in the Malamas Action in which Google is not a party, rather than in the Google Action. Mr. Niemela appears to have adopted this approach in reliance on </w:t>
      </w:r>
      <w:r>
        <w:rPr>
          <w:rFonts w:ascii="arial" w:eastAsia="arial" w:hAnsi="arial" w:cs="arial"/>
          <w:i/>
          <w:color w:val="000000"/>
          <w:sz w:val="20"/>
          <w:lang w:val="en-US" w:eastAsia="en-US" w:bidi="ar-SA"/>
        </w:rPr>
        <w:t>Equustek Solutions Inc. v. Jack</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2014 BCSC 1063</w:t>
        </w:r>
      </w:hyperlink>
      <w:r>
        <w:rPr>
          <w:rFonts w:ascii="arial" w:eastAsia="arial" w:hAnsi="arial" w:cs="arial"/>
          <w:color w:val="000000"/>
          <w:sz w:val="20"/>
          <w:lang w:val="en-US" w:eastAsia="en-US" w:bidi="ar-SA"/>
        </w:rPr>
        <w:t>. That case recognizes that in extraordinary circumstances a non-party may be compelled to take steps to prevent continuing breaches of court orders by parties to an action (at para. 133).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Google asserts that Mr. Niemla should have brought his application in the action in which Google is a party, and says he cannot in any event be in a stronger position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an interlocutory injunction in the Malamas Action than would be the case if he had sought an interlocutory injunction in the Google Action. I agree with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any event, I conclude that whether brought against Google as a party in the Google Action or in the Malamas Action against Google as a non-party, the applicant has failed to establish that it is just and equitable to grant the interlocutory injunction sought against Google.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three-fold test for the granting of an interlocutory injunction is well known. The applicant must establish that there is a fair question to be tried, that he will suffer irreparable harm if the injunction is not granted, and that the balance of convenience favours the granting of the injunction: </w:t>
      </w:r>
      <w:r>
        <w:rPr>
          <w:rFonts w:ascii="arial" w:eastAsia="arial" w:hAnsi="arial" w:cs="arial"/>
          <w:i/>
          <w:color w:val="000000"/>
          <w:sz w:val="20"/>
          <w:lang w:val="en-US" w:eastAsia="en-US" w:bidi="ar-SA"/>
        </w:rPr>
        <w:t>RJR-MacDonald Inc. v. Canada (Attorney General)</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[1994] 1 S.C.R. 311</w:t>
        </w:r>
      </w:hyperlink>
      <w:r>
        <w:rPr>
          <w:rFonts w:ascii="arial" w:eastAsia="arial" w:hAnsi="arial" w:cs="arial"/>
          <w:color w:val="000000"/>
          <w:sz w:val="20"/>
          <w:lang w:val="en-US" w:eastAsia="en-US" w:bidi="ar-SA"/>
        </w:rPr>
        <w:t xml:space="preserve"> at 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However, this general test cannot be applied in the context of a defamation claim for the reasons given by Bastarache J. speaking for the majority in </w:t>
      </w:r>
      <w:r>
        <w:rPr>
          <w:rFonts w:ascii="arial" w:eastAsia="arial" w:hAnsi="arial" w:cs="arial"/>
          <w:i/>
          <w:color w:val="000000"/>
          <w:sz w:val="20"/>
          <w:lang w:val="en-US" w:eastAsia="en-US" w:bidi="ar-SA"/>
        </w:rPr>
        <w:t>Canada (Human Rights Commission) v. Canadian Liberty Net</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[1998] 1 S.C.R. 626</w:t>
        </w:r>
      </w:hyperlink>
      <w:r>
        <w:rPr>
          <w:rFonts w:ascii="arial" w:eastAsia="arial" w:hAnsi="arial" w:cs="arial"/>
          <w:color w:val="000000"/>
          <w:sz w:val="20"/>
          <w:lang w:val="en-US" w:eastAsia="en-US" w:bidi="ar-SA"/>
        </w:rPr>
        <w:t xml:space="preserve"> at paras. 47-48: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In my view, the </w:t>
      </w:r>
      <w:r>
        <w:rPr>
          <w:rFonts w:ascii="arial" w:eastAsia="arial" w:hAnsi="arial" w:cs="arial"/>
          <w:i/>
          <w:color w:val="000000"/>
          <w:sz w:val="20"/>
          <w:lang w:val="en-US" w:eastAsia="en-US" w:bidi="ar-SA"/>
        </w:rPr>
        <w:t>Cyanamid</w:t>
      </w:r>
      <w:r>
        <w:rPr>
          <w:rFonts w:ascii="arial" w:eastAsia="arial" w:hAnsi="arial" w:cs="arial"/>
          <w:color w:val="000000"/>
          <w:sz w:val="20"/>
          <w:lang w:val="en-US" w:eastAsia="en-US" w:bidi="ar-SA"/>
        </w:rPr>
        <w:t xml:space="preserve"> test [</w:t>
      </w:r>
      <w:r>
        <w:rPr>
          <w:rFonts w:ascii="arial" w:eastAsia="arial" w:hAnsi="arial" w:cs="arial"/>
          <w:i/>
          <w:color w:val="000000"/>
          <w:sz w:val="20"/>
          <w:lang w:val="en-US" w:eastAsia="en-US" w:bidi="ar-SA"/>
        </w:rPr>
        <w:t>American Cyanamid Co. v. Ethicon Ltd</w:t>
      </w:r>
      <w:r>
        <w:rPr>
          <w:rFonts w:ascii="arial" w:eastAsia="arial" w:hAnsi="arial" w:cs="arial"/>
          <w:color w:val="000000"/>
          <w:sz w:val="20"/>
          <w:lang w:val="en-US" w:eastAsia="en-US" w:bidi="ar-SA"/>
        </w:rPr>
        <w:t xml:space="preserve">., [1975] A.C. 396 (H.L.)], even with these slight modifications, is inappropriate to the circumstances presented here. The main reason for this is that </w:t>
      </w:r>
      <w:r>
        <w:rPr>
          <w:rFonts w:ascii="arial" w:eastAsia="arial" w:hAnsi="arial" w:cs="arial"/>
          <w:i/>
          <w:color w:val="000000"/>
          <w:sz w:val="20"/>
          <w:lang w:val="en-US" w:eastAsia="en-US" w:bidi="ar-SA"/>
        </w:rPr>
        <w:t>Cyanamid</w:t>
      </w:r>
      <w:r>
        <w:rPr>
          <w:rFonts w:ascii="arial" w:eastAsia="arial" w:hAnsi="arial" w:cs="arial"/>
          <w:color w:val="000000"/>
          <w:sz w:val="20"/>
          <w:lang w:val="en-US" w:eastAsia="en-US" w:bidi="ar-SA"/>
        </w:rPr>
        <w:t>, as well as the two other cases mentioned above [</w:t>
      </w:r>
      <w:r>
        <w:rPr>
          <w:rFonts w:ascii="arial" w:eastAsia="arial" w:hAnsi="arial" w:cs="arial"/>
          <w:i/>
          <w:color w:val="000000"/>
          <w:sz w:val="20"/>
          <w:lang w:val="en-US" w:eastAsia="en-US" w:bidi="ar-SA"/>
        </w:rPr>
        <w:t>Manitoba (A.G.) v. Metropolitan Stores Ltd.</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[1987] 1 S.C.R. 110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RJR -- MacDonald Inc. v. Canada (Attorney General)</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[1994] 1 S.C.R. 311</w:t>
        </w:r>
      </w:hyperlink>
      <w:r>
        <w:rPr>
          <w:rFonts w:ascii="arial" w:eastAsia="arial" w:hAnsi="arial" w:cs="arial"/>
          <w:color w:val="000000"/>
          <w:sz w:val="20"/>
          <w:lang w:val="en-US" w:eastAsia="en-US" w:bidi="ar-SA"/>
        </w:rPr>
        <w:t xml:space="preserve">], involved the commercial context in which the criteria of "balance of convenience" and "irreparable harm" had some measurable meaning and which varied from case to case. Moreover, where expression is unmixed with some other commercial purpose or activity, it is virtually impossible to use the second and third criteria without grievously undermining the right to freedom of expression contained in s. 2(b)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reason for this is that the speaker usually has no tangible or measurable interest </w:t>
      </w:r>
      <w:r>
        <w:rPr>
          <w:rFonts w:ascii="arial" w:eastAsia="arial" w:hAnsi="arial" w:cs="arial"/>
          <w:color w:val="000000"/>
          <w:sz w:val="20"/>
          <w:u w:val="single"/>
          <w:lang w:val="en-US" w:eastAsia="en-US" w:bidi="ar-SA"/>
        </w:rPr>
        <w:t>other than the expression itself</w:t>
      </w:r>
      <w:r>
        <w:rPr>
          <w:rFonts w:ascii="arial" w:eastAsia="arial" w:hAnsi="arial" w:cs="arial"/>
          <w:color w:val="000000"/>
          <w:sz w:val="20"/>
          <w:lang w:val="en-US" w:eastAsia="en-US" w:bidi="ar-SA"/>
        </w:rPr>
        <w:t>, whereas the party seeking the injunction will almost always have such an interest. This test developed in the commercial context stacks the cards against the non-commercial speaker where there is no tangible, immediate utility arising from the expression other than the freedom of expression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 inappropriateness of the </w:t>
      </w:r>
      <w:r>
        <w:rPr>
          <w:rFonts w:ascii="arial" w:eastAsia="arial" w:hAnsi="arial" w:cs="arial"/>
          <w:i/>
          <w:color w:val="000000"/>
          <w:sz w:val="20"/>
          <w:lang w:val="en-US" w:eastAsia="en-US" w:bidi="ar-SA"/>
        </w:rPr>
        <w:t>Cyanamid</w:t>
      </w:r>
      <w:r>
        <w:rPr>
          <w:rFonts w:ascii="arial" w:eastAsia="arial" w:hAnsi="arial" w:cs="arial"/>
          <w:color w:val="000000"/>
          <w:sz w:val="20"/>
          <w:lang w:val="en-US" w:eastAsia="en-US" w:bidi="ar-SA"/>
        </w:rPr>
        <w:t xml:space="preserve"> test is confirmed by the jurisprudence relating to injunctions against allegedly defamatory statements, in both England and Canada. In both countries, the </w:t>
      </w:r>
      <w:r>
        <w:rPr>
          <w:rFonts w:ascii="arial" w:eastAsia="arial" w:hAnsi="arial" w:cs="arial"/>
          <w:i/>
          <w:color w:val="000000"/>
          <w:sz w:val="20"/>
          <w:lang w:val="en-US" w:eastAsia="en-US" w:bidi="ar-SA"/>
        </w:rPr>
        <w:t>Cyanamid</w:t>
      </w:r>
      <w:r>
        <w:rPr>
          <w:rFonts w:ascii="arial" w:eastAsia="arial" w:hAnsi="arial" w:cs="arial"/>
          <w:color w:val="000000"/>
          <w:sz w:val="20"/>
          <w:lang w:val="en-US" w:eastAsia="en-US" w:bidi="ar-SA"/>
        </w:rPr>
        <w:t xml:space="preserve"> test has been rejected for injunctions against dissemination of defamatory statements.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Instead, in the defamation context the plaintiff faces a much stricter test, as explained by Bastarache J. in his review of the jurisprudence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Rapp v. McClelland &amp; Stewart Ltd.</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(1981), 34 O.R. (2d) 452</w:t>
        </w:r>
      </w:hyperlink>
      <w:r>
        <w:rPr>
          <w:rFonts w:ascii="arial" w:eastAsia="arial" w:hAnsi="arial" w:cs="arial"/>
          <w:color w:val="000000"/>
          <w:sz w:val="20"/>
          <w:lang w:val="en-US" w:eastAsia="en-US" w:bidi="ar-SA"/>
        </w:rPr>
        <w:t>, Griffiths J. attempted to define the precise threshold for the granting of an injunction in the following terms (at pp. 455-56):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guiding principle then is, that the injunction should only issue where the words complained of are so manifestly defamatory that any jury verdict to the contrary would be considered perverse by the Court of Appeal. To put it another way where it is impossible to say that a reasonable jury must inevitably find the words defamatory the injunction should not issue.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w:t>
      </w:r>
      <w:r>
        <w:rPr>
          <w:rFonts w:ascii="arial" w:eastAsia="arial" w:hAnsi="arial" w:cs="arial"/>
          <w:i/>
          <w:color w:val="000000"/>
          <w:sz w:val="20"/>
          <w:lang w:val="en-US" w:eastAsia="en-US" w:bidi="ar-SA"/>
        </w:rPr>
        <w:t>American Cyanamid</w:t>
      </w:r>
      <w:r>
        <w:rPr>
          <w:rFonts w:ascii="arial" w:eastAsia="arial" w:hAnsi="arial" w:cs="arial"/>
          <w:color w:val="000000"/>
          <w:sz w:val="20"/>
          <w:lang w:val="en-US" w:eastAsia="en-US" w:bidi="ar-SA"/>
        </w:rPr>
        <w:t xml:space="preserve"> . . . has not affected the well established principle in cases of libel that an interim injunction should not be granted unless the jury would inevitably come to the conclusion that the words were defamatory.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passage has recently been cited with approval in the Quebec Court of Appeal in </w:t>
      </w:r>
      <w:r>
        <w:rPr>
          <w:rFonts w:ascii="arial" w:eastAsia="arial" w:hAnsi="arial" w:cs="arial"/>
          <w:i/>
          <w:color w:val="000000"/>
          <w:sz w:val="20"/>
          <w:lang w:val="en-US" w:eastAsia="en-US" w:bidi="ar-SA"/>
        </w:rPr>
        <w:t>Champagne v. Collège d'enseignement général et professionnel (CEGEP) de Jonquière</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[1997] R.J.Q. 2395</w:t>
        </w:r>
      </w:hyperlink>
      <w:r>
        <w:rPr>
          <w:rFonts w:ascii="arial" w:eastAsia="arial" w:hAnsi="arial" w:cs="arial"/>
          <w:color w:val="000000"/>
          <w:sz w:val="20"/>
          <w:lang w:val="en-US" w:eastAsia="en-US" w:bidi="ar-SA"/>
        </w:rPr>
        <w:t>. Rothman J.A., on this point speaking on behalf of Delisle and Robert JJ.A., went on to comment on the constitutional dimension of these common law approaches to the use of the injunctive power (at pp. 2402-3):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 the coming into force of the Canadian Charter and the Quebec Charter, these safeguards protecting freedom of expression and freedom of the press have become even more compelling.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common law authorities in Canada and the United Kingdom have suggested the guiding principle that interlocutory injunctions should only be granted to restrain in advance written or spoken words </w:t>
      </w:r>
      <w:r>
        <w:rPr>
          <w:rFonts w:ascii="arial" w:eastAsia="arial" w:hAnsi="arial" w:cs="arial"/>
          <w:color w:val="000000"/>
          <w:sz w:val="20"/>
          <w:u w:val="single"/>
          <w:lang w:val="en-US" w:eastAsia="en-US" w:bidi="ar-SA"/>
        </w:rPr>
        <w:t>in the rarest and clearest of cases</w:t>
      </w:r>
      <w:r>
        <w:rPr>
          <w:rFonts w:ascii="arial" w:eastAsia="arial" w:hAnsi="arial" w:cs="arial"/>
          <w:color w:val="000000"/>
          <w:sz w:val="20"/>
          <w:lang w:val="en-US" w:eastAsia="en-US" w:bidi="ar-SA"/>
        </w:rPr>
        <w:t xml:space="preserve"> -- where the words are so manifestly defamatory and impossible to justify that an action in defamation would almost certainly succeed. Given the value we place on freedom of expression, particularly in matters of public interest, that guiding principle has much to recommend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can be seen from the above passages, where defamation is alleged by the party seeking an interlocutory injunction, the threshold required to meet the first part of the three-part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xml:space="preserve"> test is elevated from a "serious question to be tried" to the "clearest of cases" where the words complained of are "manifestly defamatory". This elevated threshold in defamation cases was also discussed by Grauer J. in </w:t>
      </w:r>
      <w:r>
        <w:rPr>
          <w:rFonts w:ascii="arial" w:eastAsia="arial" w:hAnsi="arial" w:cs="arial"/>
          <w:i/>
          <w:color w:val="000000"/>
          <w:sz w:val="20"/>
          <w:lang w:val="en-US" w:eastAsia="en-US" w:bidi="ar-SA"/>
        </w:rPr>
        <w:t>Gant v. Berube</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2013 BCSC 1721</w:t>
        </w:r>
      </w:hyperlink>
      <w:r>
        <w:rPr>
          <w:rFonts w:ascii="arial" w:eastAsia="arial" w:hAnsi="arial" w:cs="arial"/>
          <w:color w:val="000000"/>
          <w:sz w:val="20"/>
          <w:lang w:val="en-US" w:eastAsia="en-US" w:bidi="ar-SA"/>
        </w:rPr>
        <w:t xml:space="preserve"> at paras. 12 and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To show the statements are manifestly defamatory the plaintiff must satisfy the test for defamation as articulated in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impugned words were defamatory, in the sense that they would tend to lower the plaintiff's reputation in the eyes of a reasonable person; (2) that the words in fact referred to the plaintiff; and (3) that the words were published, meaning that they were communicated to at least one person other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I will explain further below, a central question on Google's application is whether Google published the words complained of by Mr. Niemela. However, it is not necessary to determine that question here in order to dispose of the application for an injunction against Google.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That is so because even if the plaintiff were to meet the heightened threshold at the first step of the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xml:space="preserve"> test, his application fails on the second and third steps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First, there is insufficient evidence of irreparable harm to Mr. Niemela if the injunction is not granted. As I have noted, Google has voluntarily removed the 146 URLs from searches conducted on google.ca. Mr. Niemela is a Vancouver lawyer. In the notice of civil claim in the Google Action Mr. Niemela states he has from time to time represented clients in Finland and that his family resides in Finland and Sweden. However, he has never practised outside of British Columbia. The vast majority of his work is done for Canadian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Niemela argues that only a worldwide removal of the offending search results will suffice. He submits: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and indeed any person's honour, reputation and personal privacy ought [not] to be marginalized or compartmentalized to solely one jurisdiction, being Canada, by solely blocking the offending URLs from google.ca. Niemela ought not to be marginalized or compartmentalized by referring to him only in his professional capacity and then only as a "local lawyer".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Persons in Canada can access other google sites such as google.com (U.S.), google.fr (France) and google.fi (Finland), google.au (Australia) and so on.</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Niemela specifically has [relationships] with people in Sweden and Finland.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Google provided evidence of the number of searches conducted with reference to Mr. Niemela on google.ca and google.com between August 1, 2013, and September 30, 2014. During this 14-month period, more than 90% of searches of Mr. Niemela's name in English originated from Canadian IP addresses, with the balance originating from US IP addresses. There were 262 searches of "glenn niemela", "glenn j niemela", and "glenn j. niemela" from Canadian IP addresses during this period, and 22 from US IP addresses. It is not known how many of these were conducted by Mr. Niemela or at his request, but given his affidavit evidence monitoring the search results, it is certain that many originated with him. On average, then, there were a total of 21 searches per month in Canada and the US, some of which originated with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Google did not provide information regarding searches conducted on google.fi (Findland) or google.se (Sweden). However, Mr. Niemela did not suggest searches on these websites were likely to have surpassed searches on the Canadian or US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Further, while Mr. Niemela attributes the decline in his law practice to the defamatory statements and their general accessibility through search engines such as Google's, there are other possible explanations. A disciplinary history with the Law Society is prominently revealed in Google searches of "Glenn Niemela".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Second, the 146 URLs voluntarily blocked by Google on google.ca have not been replaced by new, high ranking URLs as was the case in </w:t>
      </w:r>
      <w:r>
        <w:rPr>
          <w:rFonts w:ascii="arial" w:eastAsia="arial" w:hAnsi="arial" w:cs="arial"/>
          <w:i/>
          <w:color w:val="000000"/>
          <w:sz w:val="20"/>
          <w:lang w:val="en-US" w:eastAsia="en-US" w:bidi="ar-SA"/>
        </w:rPr>
        <w:t>Equustek</w:t>
      </w:r>
      <w:r>
        <w:rPr>
          <w:rFonts w:ascii="arial" w:eastAsia="arial" w:hAnsi="arial" w:cs="arial"/>
          <w:color w:val="000000"/>
          <w:sz w:val="20"/>
          <w:lang w:val="en-US" w:eastAsia="en-US" w:bidi="ar-SA"/>
        </w:rPr>
        <w:t>. In that case, websites blocked by Google were immediately replaced by an endless iteration of automatically generated websites leading to the same material. In the present case, Mr. Niemela has identified additional URLs but they appear to be pre-existing links buried deep in search results. For example, in his tenth affidavit sworn January 20, 2015, Mr. Niemela states:</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6, 2015 I did a Google search of "Glenn Niemela".</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searched to the last page displayed on the search results. The last page was page 38. Page 38 has the following notation: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order to show you the most relevant results, we have omitted some entries very similar to the 380 already displayed.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you like, you can repeat the search with the omitted results included.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Attached hereto as Exhibit "A" to this my affidavit (pages 3 and 4 of this affidavit) is a copy of page 38.</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clicked on the above notation on January 6, 2015 the search on "Glenn Niemela" expanded to 69 pages.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14, 2015 twenty-two (22) defamatory snippets and an associated twenty-one (21) URLs are released on this second layer of Google searches.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Each page on Google's search results contains 10 URLs, with the most relevant and useful at the top of the list. I take judicial notice of the fact that few searchers will be motivated to move through 380 search results on 38 pages to reach what Mr. Niemela describes as "the second layer". In any event, Google has agreed to block those URLs as well, voluntarily removing them from google.ca.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that Google's voluntary removal of URLs identified by Mr. Niemela has provided an effective means of preventing searchers in Canada from finding the links to the offending websites. An injunction is not therefore required to prevent the vast majority of the potential harm complained of by Mr. Niemela.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Third, Mr. Niemela has waited two years to apply for an interlocutory injunction. I am not satisfied that there is any sudden urgency to justify granting an interlocutory injunction ahead of the injunction to be sought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Finally, the Court is reluctant to make an order that cannot be complied with. Mr. Niemela acknowledges that Google is not able to comply with an order compelling it to block defamatory search results in the United States. Two federal statutes, the </w:t>
      </w:r>
      <w:r>
        <w:rPr>
          <w:rFonts w:ascii="arial" w:eastAsia="arial" w:hAnsi="arial" w:cs="arial"/>
          <w:i/>
          <w:color w:val="000000"/>
          <w:sz w:val="20"/>
          <w:lang w:val="en-US" w:eastAsia="en-US" w:bidi="ar-SA"/>
        </w:rPr>
        <w:t>Communications Decency Act of 1996</w:t>
      </w:r>
      <w:r>
        <w:rPr>
          <w:rFonts w:ascii="arial" w:eastAsia="arial" w:hAnsi="arial" w:cs="arial"/>
          <w:color w:val="000000"/>
          <w:sz w:val="20"/>
          <w:lang w:val="en-US" w:eastAsia="en-US" w:bidi="ar-SA"/>
        </w:rPr>
        <w:t xml:space="preserve">, 47 USC (1996), and the </w:t>
      </w:r>
      <w:r>
        <w:rPr>
          <w:rFonts w:ascii="arial" w:eastAsia="arial" w:hAnsi="arial" w:cs="arial"/>
          <w:i/>
          <w:color w:val="000000"/>
          <w:sz w:val="20"/>
          <w:lang w:val="en-US" w:eastAsia="en-US" w:bidi="ar-SA"/>
        </w:rPr>
        <w:t>Securing the Protection of our Enduring and Established Constitutional Heritage (SPEECH) Act,</w:t>
      </w:r>
      <w:r>
        <w:rPr>
          <w:rFonts w:ascii="arial" w:eastAsia="arial" w:hAnsi="arial" w:cs="arial"/>
          <w:color w:val="000000"/>
          <w:sz w:val="20"/>
          <w:lang w:val="en-US" w:eastAsia="en-US" w:bidi="ar-SA"/>
        </w:rPr>
        <w:t xml:space="preserve"> 28 USC (2010), protect internet providers such as Google and block enforcement orders that would infringe on the First Amendment right to free speech.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While United States courts will generally recognize and enforce foreign judgments, they will not do so if enforcement of the foreign court's order would violate the corporation's constitutional rights to free speech: </w:t>
      </w:r>
      <w:r>
        <w:rPr>
          <w:rFonts w:ascii="arial" w:eastAsia="arial" w:hAnsi="arial" w:cs="arial"/>
          <w:i/>
          <w:color w:val="000000"/>
          <w:sz w:val="20"/>
          <w:lang w:val="en-US" w:eastAsia="en-US" w:bidi="ar-SA"/>
        </w:rPr>
        <w:t>Yahoo! Inc. v. La Ligue Contre Le Racisme et L'Antisemitisme,</w:t>
      </w:r>
      <w:r>
        <w:rPr>
          <w:rFonts w:ascii="arial" w:eastAsia="arial" w:hAnsi="arial" w:cs="arial"/>
          <w:color w:val="000000"/>
          <w:sz w:val="20"/>
          <w:lang w:val="en-US" w:eastAsia="en-US" w:bidi="ar-SA"/>
        </w:rPr>
        <w:t xml:space="preserve"> 169 F Supp 2d 1181 (ND Cal 2001) at 1192-1193, rev'd on other grounds 379 F 3d 1120 (9th Cir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Taking all of these factors into account, I conclude that this is not a case "in which it appears to the court to be just or convenient that the order should be made":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R.S.B.C. 1996, c. 253 s. 39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Google's Application to Dismiss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the Google Action in which it is a defendant, Google applies for summary judgment under Rule 9-6(4)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by answering party</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9-6(5) provides the following three distinct bases for granting summary judgement under Rule 9-6(4):</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genuine issue for trial with respect to a claim or defence;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genuine issue is the amount to which the claiming party is entitled; or,</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genuine issue is a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this case Rule 9-6(5)(b) is not applicable. The distinction between Rule 9-6(5)(a) and (c) was recently summarized by Madam Justice Russell in </w:t>
      </w:r>
      <w:r>
        <w:rPr>
          <w:rFonts w:ascii="arial" w:eastAsia="arial" w:hAnsi="arial" w:cs="arial"/>
          <w:i/>
          <w:color w:val="000000"/>
          <w:sz w:val="20"/>
          <w:lang w:val="en-US" w:eastAsia="en-US" w:bidi="ar-SA"/>
        </w:rPr>
        <w:t>Edgar v. The British Columbia Institute of Technology</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2015 BCSC 710</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On application for summary dismissal under Rule 9-6, evidence is not only admissible, but may be required. The analysis under Rule 9-6(5)(a) is concerned with whether, based on all the material, the claim is so factually without merit that it is manifestly clear that there is no genuine issue to be tried. If the court reaches that conclusion, it must dismiss the claim; there is no discretion. Alternatively, under Rule 9-6(5)(c), the court may consider whether, by answering a straightforward legal question, it could dispose of the claim. If the court is so satisfied, it has the discretion to dismiss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applications for summary judgment, the Court will not weigh evidence, assess credibility, or draw inferences against the party defending the application. The Court will only decide issues of law where there is no dispute about the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Google applies for summary judgment dismissing Mr. Niemela's claims under four causes of action:</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Slander;</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Libel;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Injurious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will consider each cause of action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Slander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Slander by definition is an oral communication that is defamatory. The plaintiff's claim for slander is bound to fail because he neither pleads nor provides any evidence of oral communications by Google and its representatives. Indeed Mr. Niemela acknowledges this to be so. After receiving Google's notice of application he brought a third notice of application to amend his notice of civil claim to delete the claim in slander.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claim has no prospect of succeeding and I therefore dismiss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Breach of the Privacy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Mr. Niemela claims that the snippets contained in Google's search results violate his right to privacy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Section 1 of that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Violation of privacy actionable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It is a tort, actionable without proof of damage, for a person, wilfully and without a claim of right, to violate the privacy of another.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degree of privacy to which a person is entitled in a situation or in relation to a matter is that which is reasonable in the circumstances, giving due regard to the lawful interests of others.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act or conduct of a person is a violation of another's privacy, regard must be given to the nature, incidence and occasion of the act or conduct and to any domestic or other relationship between the parties.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subsections (1) to (3), privacy may be violated by eavesdropping or surveillance, whether or not accomplished by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statutory tort requires a reasonable expectation of privacy on the part of the plaintiff. There is no factual pleading in the notice of civil claim that could give rise to a reasonable expectation of privacy in this case and none is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Section 1(2)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provides that "[t]he nature and degree of privacy to which a person is entitled ... is that which is reasonable in the circumstances..." Mr. Niemela can have no reasonable expectation of privacy in relation to how he performs his professional work. Work is in general a public aspect of a person's life. While there are exceptions, such as solicitor-client privilege, a lawyer's work with clients is conducted in a public forum. In reality, Mr. Niemela's complaint is not that the articles describe an area of his life that he expects to be kept private and sheltered from public view, but rather that they are unflattering and false descriptions of his work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cases Mr. Niemela relies on to support an expectation of privacy are easily distinguishable from the present one. In </w:t>
      </w:r>
      <w:r>
        <w:rPr>
          <w:rFonts w:ascii="arial" w:eastAsia="arial" w:hAnsi="arial" w:cs="arial"/>
          <w:i/>
          <w:color w:val="000000"/>
          <w:sz w:val="20"/>
          <w:lang w:val="en-US" w:eastAsia="en-US" w:bidi="ar-SA"/>
        </w:rPr>
        <w:t>Griffin v. Sullivan</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2008 BCSC 827</w:t>
        </w:r>
      </w:hyperlink>
      <w:r>
        <w:rPr>
          <w:rFonts w:ascii="arial" w:eastAsia="arial" w:hAnsi="arial" w:cs="arial"/>
          <w:color w:val="000000"/>
          <w:sz w:val="20"/>
          <w:lang w:val="en-US" w:eastAsia="en-US" w:bidi="ar-SA"/>
        </w:rPr>
        <w:t>, both the plaintiff and defendant were members of a group of about 100 people who posted messages to an internet news group called "alt.suicide.holiday". Most members of the group had experienced or were experiencing thoughts of committing suicide and sought support online from other members. While some people identified themselves in their postings, most used a pseudonym, including the plaintiff. Halfyard J. observed at para. 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people who posted messages to ASH were either depressed or suicidal or both. Many of the messages disclosed highly confidential personal feelings. Many of the postings used language of extreme profanity to respond to messages sent by other members of the group, and to make accusations and counter-accusations against other members of the group. The plaintiff testified that it was extremely important to him that his identity be concealed.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and the plaintiff had heated exchanges on the website. The defendant prevailed upon the plaintiff's former girlfriend to provide him with the plaintiff's real name, address and other personal information. The defendant posted this information and a picture of the plaintiff on the website. The Court held that the plaintiff had an expectation of privacy in relation to postings on that website, and that the defendant had violated that privacy wilfully and without claim of right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Douez v. Facebook, Inc.</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2014 BCSC 953</w:t>
        </w:r>
      </w:hyperlink>
      <w:r>
        <w:rPr>
          <w:rFonts w:ascii="arial" w:eastAsia="arial" w:hAnsi="arial" w:cs="arial"/>
          <w:color w:val="000000"/>
          <w:sz w:val="20"/>
          <w:lang w:val="en-US" w:eastAsia="en-US" w:bidi="ar-SA"/>
        </w:rPr>
        <w:t xml:space="preserve">, involved Facebook's use of Facebook users' images in its advertising without their consent. Section 3(2)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misappropriation of the name or likeness of a person for commercial purposes, was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present case, there are no facts alleged to support a breach of privacy other than Mr. Niemela's complaint that Google has published defamatory words through the snippets attached to URLs in search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Niemela's assertion that he has a privacy interest in not having his reputation harmed conflates the concepts of privacy and reputation. Although the Supreme Court of Canada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121 [</w:t>
      </w:r>
      <w:r>
        <w:rPr>
          <w:rFonts w:ascii="arial" w:eastAsia="arial" w:hAnsi="arial" w:cs="arial"/>
          <w:i/>
          <w:color w:val="000000"/>
          <w:sz w:val="20"/>
          <w:lang w:val="en-US" w:eastAsia="en-US" w:bidi="ar-SA"/>
        </w:rPr>
        <w:t>Hill v. Scientology</w:t>
      </w:r>
      <w:r>
        <w:rPr>
          <w:rFonts w:ascii="arial" w:eastAsia="arial" w:hAnsi="arial" w:cs="arial"/>
          <w:color w:val="000000"/>
          <w:sz w:val="20"/>
          <w:lang w:val="en-US" w:eastAsia="en-US" w:bidi="ar-SA"/>
        </w:rPr>
        <w:t xml:space="preserve">], identified reputational interest and privacy as the two values underlying the plaintiff's protection in defamation, it does not follow that defamatory comments therefore give rise to a breach of the statutory right to privacy. Mr. Niemela's factual allegations and his claim for injury to reputation fall squarely within the law of defamation. As noted in Raymond E. Brown, </w:t>
      </w:r>
      <w:r>
        <w:rPr>
          <w:rFonts w:ascii="arial" w:eastAsia="arial" w:hAnsi="arial" w:cs="arial"/>
          <w:i/>
          <w:color w:val="000000"/>
          <w:sz w:val="20"/>
          <w:lang w:val="en-US" w:eastAsia="en-US" w:bidi="ar-SA"/>
        </w:rPr>
        <w:t>Brown on Defamation,</w:t>
      </w:r>
      <w:r>
        <w:rPr>
          <w:rFonts w:ascii="arial" w:eastAsia="arial" w:hAnsi="arial" w:cs="arial"/>
          <w:color w:val="000000"/>
          <w:sz w:val="20"/>
          <w:lang w:val="en-US" w:eastAsia="en-US" w:bidi="ar-SA"/>
        </w:rPr>
        <w:t xml:space="preserve"> 2nd ed., loose-leaf (consulted on 9 June 2015), (Toronto</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Carswell, 1999), vol. 1, ch 1 at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central characteristic of this cause of action is to provide a remedy for publications damaging to a person's reputation. The law of defamation, therefore, provides an appropriate legal vehicle by which persons may vindicate their personal and business reputation.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short, there is a tailor-made cause of action addressing the harm complained of by the plaintiff. That cause of action should be used rather than adopting a scattergun approach, pleading multiple causes of action which do not fit the bill. That practice is to be discouraged. Mr. Niemela's claim is plainly in defamation. There is no prospect of succeeding in a claim for beach of privacy. I would accordingly dismiss that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Libel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I have already noted, to establish defamation a plaintiff must prove on a balance of probabilities that:</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impugned words were defamatory, in the sense that they would tend to lower the plaintiff's reputation in the eyes of a reasonable person;</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in fact referred to the plaintiff; and</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were published, meaning that they were communicated to at least one person other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Turning to the first stage of the test, some of the snippets complained of do not appear to be defamatory. For example, the following snippet would not lower Mr. Niemela's reputation in the eyes of a reasonable person: "Glenn John Niemela claims to be an attorney specializing in civil and commercial litigations. However, what he really specializes in is ...". On the other hand, some of the snippets clearly contain defamatory words that refer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Thus, the central question on this application is whether Google published the search results and snippets the plaintiff identifies as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Niemela claims that Google was at all material times a publisher of:</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Statements contained in text found at URLs identified in search results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Snippets of text reproduced in search results.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Is Google a publisher of the text found at URLs identified in search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claim that Google is a publisher of statements contained on websites whose URLs are identified in a search cannot succeed in light of </w:t>
      </w:r>
      <w:r>
        <w:rPr>
          <w:rFonts w:ascii="arial" w:eastAsia="arial" w:hAnsi="arial" w:cs="arial"/>
          <w:i/>
          <w:color w:val="000000"/>
          <w:sz w:val="20"/>
          <w:lang w:val="en-US" w:eastAsia="en-US" w:bidi="ar-SA"/>
        </w:rPr>
        <w:t>Crookes v. Newton</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2011 SCC 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that case, the defendant Newton operated a website in which he referred to the plaintiff Crookes and provided a hyperlink to an allegedly defamatory article, and another hyperlink to a page containing other articles said to be defamatory of Crookes. Crookes sued Newton for defamation, alleging that by creating the hyperlinks or, alternatively, by refusing to remove the hyperlinks when told of their defamatory character, Newton was rendered a publisher of the articles. The action failed in all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Three judgments were given in the Supreme Court of Canada, all concurring in the result, but differing as to the test to be applied in determining when, if ever, a hyperlink should be seen as publication of the material to which it refers.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Speaking for six judges, Abella J. held that a hyperlink, by itself, should never be seen as publication of the content in question (at para. 44). She traced the development of the common law from a traditional broad rule that captured any act by which defamatory meaning was conveyed to a third party to a more nuanced approach. She approved of this development and, at para. 21, pointed to two recent English cases that expanded upon this trend: </w:t>
      </w:r>
      <w:r>
        <w:rPr>
          <w:rFonts w:ascii="arial" w:eastAsia="arial" w:hAnsi="arial" w:cs="arial"/>
          <w:i/>
          <w:color w:val="000000"/>
          <w:sz w:val="20"/>
          <w:lang w:val="en-US" w:eastAsia="en-US" w:bidi="ar-SA"/>
        </w:rPr>
        <w:t>Bunt v. Tilley</w:t>
      </w:r>
      <w:r>
        <w:rPr>
          <w:rFonts w:ascii="arial" w:eastAsia="arial" w:hAnsi="arial" w:cs="arial"/>
          <w:color w:val="000000"/>
          <w:sz w:val="20"/>
          <w:lang w:val="en-US" w:eastAsia="en-US" w:bidi="ar-SA"/>
        </w:rPr>
        <w:t xml:space="preserve">, [2006] EWHC 407, [2006] 3 All E.R. 336 (Q.B.); </w:t>
      </w:r>
      <w:r>
        <w:rPr>
          <w:rFonts w:ascii="arial" w:eastAsia="arial" w:hAnsi="arial" w:cs="arial"/>
          <w:i/>
          <w:color w:val="000000"/>
          <w:sz w:val="20"/>
          <w:lang w:val="en-US" w:eastAsia="en-US" w:bidi="ar-SA"/>
        </w:rPr>
        <w:t>Metropolitan International Schools Ltd. v. Designtechnica Corpn</w:t>
      </w:r>
      <w:r>
        <w:rPr>
          <w:rFonts w:ascii="arial" w:eastAsia="arial" w:hAnsi="arial" w:cs="arial"/>
          <w:color w:val="000000"/>
          <w:sz w:val="20"/>
          <w:lang w:val="en-US" w:eastAsia="en-US" w:bidi="ar-SA"/>
        </w:rPr>
        <w:t>., [2009] EWHC 1765, [2011] 1 W.L.R. 1743 (Q.B.). She stated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A reference to other content is fundamentally different from other acts involved in publication. Referencing on its own does not involve exerting </w:t>
      </w:r>
      <w:r>
        <w:rPr>
          <w:rFonts w:ascii="arial" w:eastAsia="arial" w:hAnsi="arial" w:cs="arial"/>
          <w:i/>
          <w:color w:val="000000"/>
          <w:sz w:val="20"/>
          <w:lang w:val="en-US" w:eastAsia="en-US" w:bidi="ar-SA"/>
        </w:rPr>
        <w:t>control</w:t>
      </w:r>
      <w:r>
        <w:rPr>
          <w:rFonts w:ascii="arial" w:eastAsia="arial" w:hAnsi="arial" w:cs="arial"/>
          <w:color w:val="000000"/>
          <w:sz w:val="20"/>
          <w:lang w:val="en-US" w:eastAsia="en-US" w:bidi="ar-SA"/>
        </w:rPr>
        <w:t xml:space="preserve"> over the content. Communicating something is very different from merely communicating that something exists or where it exists. The former involves dissemination of the content, and suggests control over both the content and whether the content will reach an audience at all, while the latter does not. Even where the goal of the person referring to a defamatory publication is to expand that publication's audience, his or her participation is merely ancillary to that of the initial publisher: with or without the reference, the allegedly defamatory information has already been made available to the public by the initial publisher or publishers' acts. These features of references distinguish them from acts in the publication process like creating or posting the defamatory publication, and from repetition.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Here, the URLs in the search results (identified by the plaintiff as leading to defamatory text) are hyperlinks to websites. Following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Google has not published the content of the text accessible through the URLs. As a result, it is manifestly clear that the plaintiff's defamation claim arising from the URL's listed in Google's search results cannot succeed, and I dismiss that claim.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Can the question of whether Google is a publisher of the snippets be determined by summary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plaintiff submits that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did not consider whether an internet search engine such as Google is a publisher of snippets. Google acknowledges that the narrow ratio of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is that the provision of hyperlinks does not constitute publication of the material to which reference is made. Google contends, however, that the underlying principles adopted by the Supreme Court of Canada in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in conjunction with the English decisions specifically addressing snippets, establish that, in law, Google is not a publisher of search results or snippets.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specific question of whether snippets in a search result constitute publication is a novel one in British Columbia. Mr. Niemela asserts that on this basis alone, the issue should not be determined on a chambers application for summary judgment. He relies on </w:t>
      </w:r>
      <w:r>
        <w:rPr>
          <w:rFonts w:ascii="arial" w:eastAsia="arial" w:hAnsi="arial" w:cs="arial"/>
          <w:i/>
          <w:color w:val="000000"/>
          <w:sz w:val="20"/>
          <w:lang w:val="en-US" w:eastAsia="en-US" w:bidi="ar-SA"/>
        </w:rPr>
        <w:t>L.D. (Guardian ad litem of) v. Provincial Health Services Authority</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2011 BCSC 628</w:t>
        </w:r>
      </w:hyperlink>
      <w:r>
        <w:rPr>
          <w:rFonts w:ascii="arial" w:eastAsia="arial" w:hAnsi="arial" w:cs="arial"/>
          <w:color w:val="000000"/>
          <w:sz w:val="20"/>
          <w:lang w:val="en-US" w:eastAsia="en-US" w:bidi="ar-SA"/>
        </w:rPr>
        <w:t>, in which Mr. Justice Sewell cautioned against interpreting Rule 9-6(5)(c) too broadly and concluded at para. 20 that a court should decide an issue of law only if there is no real dispute about material facts and the issue of law is well settled: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 think I should also be cautious about deciding issues of law on this application. I am of the view that I should decide an issue of law only if I am satisfied that there is no real dispute about the material facts and that the issue of law is well settled by authoritative jurisprudence. It seems to me that Rule 9-7 is better suited for deciding novel points of law because on a summary trial the court will have a more complete record framing the question of law. I also note that Rules 9-3 and 9-4 are available for determining points of law on an agreed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While the decision in </w:t>
      </w:r>
      <w:r>
        <w:rPr>
          <w:rFonts w:ascii="arial" w:eastAsia="arial" w:hAnsi="arial" w:cs="arial"/>
          <w:i/>
          <w:color w:val="000000"/>
          <w:sz w:val="20"/>
          <w:lang w:val="en-US" w:eastAsia="en-US" w:bidi="ar-SA"/>
        </w:rPr>
        <w:t>L.D.</w:t>
      </w:r>
      <w:r>
        <w:rPr>
          <w:rFonts w:ascii="arial" w:eastAsia="arial" w:hAnsi="arial" w:cs="arial"/>
          <w:color w:val="000000"/>
          <w:sz w:val="20"/>
          <w:lang w:val="en-US" w:eastAsia="en-US" w:bidi="ar-SA"/>
        </w:rPr>
        <w:t xml:space="preserve"> was subsequently overturned, the British Columbia Court of Appeal endorsed the comments quoted above: </w:t>
      </w:r>
      <w:hyperlink r:id="rId691" w:history="1">
        <w:r>
          <w:rPr>
            <w:rFonts w:ascii="arial" w:eastAsia="arial" w:hAnsi="arial" w:cs="arial"/>
            <w:i/>
            <w:color w:val="0077CC"/>
            <w:sz w:val="20"/>
            <w:u w:val="single"/>
            <w:shd w:val="clear" w:color="auto" w:fill="FFFFFF"/>
            <w:lang w:val="en-US" w:eastAsia="en-US" w:bidi="ar-SA"/>
          </w:rPr>
          <w:t>2012 BCCA 491</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However, Sewell J.'s comments must be read in context. In that case, the plaintiff commenced a proposed class proceeding against the Provincial Health Services Authority ("PHSA"). At the time of the birth of the plaintiff's child, the PHSA had a policy to take a blood sample from newborns with parental consent in order to test for possible genetic disorders. Samples were retained for 19 years to facilitate re-testing in the event of subsequent illness, for quality assurance and to develop better or new test processes. The plaintiff mother gave consent to have the samples taken, but claimed she would not have given consent had she been aware of the storage of the samples beyond the initial testing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plaintiff's statement of claim alleged the blood samples were obtained through negligent or fraudulent concealment of material facts. It further alleged the collection and storage of the samples was an unlawful seizure contrary to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a tort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The Health Authority applied for dismissal of the plaintiffs' claims pursuant to Rule 9-6(4). The chambers judge found it unlikely the mother would have refused consent to the taking of the samples had full disclosure of their storage and use been provided. The judge dismissed all of the claims and granted leave to amend to address the issue of whether the Health Authority acted improperly in making the samples available to outside parties for medical research purposes, thereby giving rise to a tort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or a breach of fiduciary duty. The plaintiffs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appeal was allowed on the basis that the issues raised by the action were unsuitable for resolution under Rules 9-6(4) and (5)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Court of Appeal stated at paras. 18-19: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That said, I agree with counsel for the appellants that this law suit is novel in the sense that there are very few civil cases in Canada that have sought relief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for alleged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violations. It is very much an open question as to what the test for consent should be when the plaintiff or claimant seeks damages alleging that his privacy rights have been breached under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same can be said about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and perhaps, the misrepresentation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In my view the test for consent in these circumstances cannot be debated without a proper factual foundation on which to explore, develop and apply the tests. I agree with what the chambers judge said in his paragraph 20 to which I earlier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contrast, the present case raises the well-established cause of action of defamation. The novel aspect of the claim is the method of publication (by way of snippets).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Further, in the present case the factual foundation is before the Court and is not in dispute; the Court is not required to weigh evidence, assess credibility, or draw inferences against Mr. Niemela.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Niemela argues that a fuller evidentiary record is required in order to assess whether Google is a publisher of snippets. At paragraph 55 of his written argument Mr. Niemela put it this way:</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Quaere whether in </w:t>
      </w:r>
      <w:r>
        <w:rPr>
          <w:rFonts w:ascii="arial" w:eastAsia="arial" w:hAnsi="arial" w:cs="arial"/>
          <w:color w:val="000000"/>
          <w:sz w:val="20"/>
          <w:u w:val="single"/>
          <w:lang w:val="en-US" w:eastAsia="en-US" w:bidi="ar-SA"/>
        </w:rPr>
        <w:t>Niemela</w:t>
      </w:r>
      <w:r>
        <w:rPr>
          <w:rFonts w:ascii="arial" w:eastAsia="arial" w:hAnsi="arial" w:cs="arial"/>
          <w:color w:val="000000"/>
          <w:sz w:val="20"/>
          <w:lang w:val="en-US" w:eastAsia="en-US" w:bidi="ar-SA"/>
        </w:rPr>
        <w:t xml:space="preserve"> v. </w:t>
      </w:r>
      <w:r>
        <w:rPr>
          <w:rFonts w:ascii="arial" w:eastAsia="arial" w:hAnsi="arial" w:cs="arial"/>
          <w:color w:val="000000"/>
          <w:sz w:val="20"/>
          <w:u w:val="single"/>
          <w:lang w:val="en-US" w:eastAsia="en-US" w:bidi="ar-SA"/>
        </w:rPr>
        <w:t>Google Inc</w:t>
      </w:r>
      <w:r>
        <w:rPr>
          <w:rFonts w:ascii="arial" w:eastAsia="arial" w:hAnsi="arial" w:cs="arial"/>
          <w:color w:val="000000"/>
          <w:sz w:val="20"/>
          <w:lang w:val="en-US" w:eastAsia="en-US" w:bidi="ar-SA"/>
        </w:rPr>
        <w:t>. Google is a first or main publisher or a subordinate publisher of the second layer of search results. The answers to the following questions are unknown and may be answered upon examination for discovery of a representative of Google:</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why on Google.ca are there 140 URLs and [210] snippets in the second layer of search results when there are only 7 URLs and 7 snippets in the first layer of search results on Google.ca?</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why does Google have a second layer of search results;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were the 140 URLs and [210] snippets in the second layer of search results created?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created the 140 URLs and [210] snippets in the second layer of search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none of these unknown facts is material to the issue of whether Google is a publisher of the snippets that appear in the search results. All of the questions relate to how Google ranks the search results. When Mr. Niemela uses the term the "second layer" he is referring to Google's practice of displaying the first 38 pages of results. At the bottom of the 38th page, the user is offered the option of clicking through to another 31 pages of search results. Why Google does not simply offer all 69 pages immediately rather than asking searchers whether they wish to receive more search results can have no material relevance to whether Google is a publisher of any snippets. None of the "unknown facts" identified by Mr. Niemela go to that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conclude that the material facts are not in dispute:</w:t>
      </w:r>
      <w:r>
        <w:rPr>
          <w:rFonts w:ascii="arial" w:eastAsia="arial" w:hAnsi="arial" w:cs="arial"/>
          <w:sz w:val="20"/>
          <w:lang w:val="en-US" w:eastAsia="en-US" w:bidi="ar-SA"/>
        </w:rPr>
        <w:cr/>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Search results and 'snippets' on Google's websites are generated automatically through the operation of computer algorithms in response to search terms inputted by users.</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Google's proprietary algorithm is programmed by Google to rank search results according to their probable perceived relevance to users.</w:t>
      </w:r>
    </w:p>
    <w:p>
      <w:pPr>
        <w:numPr>
          <w:numId w:val="5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Google maintains different search platforms for different countries and search results may vary from platform to platform.</w:t>
      </w:r>
    </w:p>
    <w:p>
      <w:pPr>
        <w:numPr>
          <w:numId w:val="5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search results generated by the algorithm are generated from the automated review of more than 60 trillion websites. They are continuously updated and may vary from hour to hour or even from minute to minute.</w:t>
      </w:r>
    </w:p>
    <w:p>
      <w:pPr>
        <w:numPr>
          <w:numId w:val="5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Google's search platforms provide a means for internet users to locate websites hosted by third parties that may be of interest to the user.</w:t>
      </w:r>
    </w:p>
    <w:p>
      <w:pPr>
        <w:numPr>
          <w:numId w:val="5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Google does not promote or endorse particular search results. It neither warrants the reliability of websites generated in search results nor cautions the user that the authors of statements found on websites may not be trustworthy.</w:t>
      </w:r>
    </w:p>
    <w:p>
      <w:pPr>
        <w:numPr>
          <w:numId w:val="5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Google does not amend search results for commercial gain.</w:t>
      </w:r>
    </w:p>
    <w:p>
      <w:pPr>
        <w:numPr>
          <w:numId w:val="5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single page of search results generally displays 10 results, with hyperlinks to third party websites accompanied by snippets of text from those sites. More results are displayed on further pages.</w:t>
      </w:r>
    </w:p>
    <w:p>
      <w:pPr>
        <w:numPr>
          <w:numId w:val="5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Pages may include third party advertising which is identified as such.</w:t>
      </w:r>
    </w:p>
    <w:p>
      <w:pPr>
        <w:numPr>
          <w:numId w:val="5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Search results reflect the content of third party websites at the time the sites were last crawled by the computers processing Google's search algorithm. Changes in the site by the third party host may not be reflected in search results until the page is crawled again by Google's computers processing the algorithm. Google does not control the content of third party websites, nor changes to those websites.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Canada (Attorney General) v. Lameman</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[2008] 1 S.C.R. 372</w:t>
        </w:r>
      </w:hyperlink>
      <w:r>
        <w:rPr>
          <w:rFonts w:ascii="arial" w:eastAsia="arial" w:hAnsi="arial" w:cs="arial"/>
          <w:color w:val="000000"/>
          <w:sz w:val="20"/>
          <w:lang w:val="en-US" w:eastAsia="en-US" w:bidi="ar-SA"/>
        </w:rPr>
        <w:t xml:space="preserve"> at para. 10, it is essential to justice that claims disclosing real issues proceed to trial, however: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summary judgment rule serves an important purpose in the civil litigation system. It prevents claims or defences that have no chance of success from proceeding to trial. Trying unmeritorious claims imposes a heavy price in terms of time and cost on the parties to the litigation and on the justice system. It is essential to the proper operation of the justice system and beneficial to the parties that claims that have no chance of success be weeded out at an early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Court also noted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bar on a motion for summary judgment is high. The defendant who seeks summary dismissal bears the evidentiary burden of showing that there is "no genuine issue of material fact requiring trial" ... If the defendant does prove this, the plaintiff must either refute or counter the defendant's evidence, or risk summary dismissal ... The chambers judge may make inferences of fact based on the undisputed facts before the court, as long as the inferences are strongly supported by the facts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am satisfied that there is no genuine issue of material fact requiring trial on the defamation issue. The material evidence about the way the search results are generated and what they look like is before the Court and is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Mr. Niemela argues that some courts in other jurisdictions such as Hong Kong, New Zealand, and Australia (in the Supreme Court of Victoria) have declined to determine a similar question on a summary application: </w:t>
      </w:r>
      <w:r>
        <w:rPr>
          <w:rFonts w:ascii="arial" w:eastAsia="arial" w:hAnsi="arial" w:cs="arial"/>
          <w:i/>
          <w:color w:val="000000"/>
          <w:sz w:val="20"/>
          <w:lang w:val="en-US" w:eastAsia="en-US" w:bidi="ar-SA"/>
        </w:rPr>
        <w:t>Dr. Yuen v. Google Inc.</w:t>
      </w:r>
      <w:r>
        <w:rPr>
          <w:rFonts w:ascii="arial" w:eastAsia="arial" w:hAnsi="arial" w:cs="arial"/>
          <w:color w:val="000000"/>
          <w:sz w:val="20"/>
          <w:lang w:val="en-US" w:eastAsia="en-US" w:bidi="ar-SA"/>
        </w:rPr>
        <w:t>, [2014] 4 HKLRD 493 at para. 106 [</w:t>
      </w:r>
      <w:r>
        <w:rPr>
          <w:rFonts w:ascii="arial" w:eastAsia="arial" w:hAnsi="arial" w:cs="arial"/>
          <w:i/>
          <w:color w:val="000000"/>
          <w:sz w:val="20"/>
          <w:lang w:val="en-US" w:eastAsia="en-US" w:bidi="ar-SA"/>
        </w:rPr>
        <w:t>Yuen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 v. Google New Zealand Ltd.</w:t>
      </w:r>
      <w:r>
        <w:rPr>
          <w:rFonts w:ascii="arial" w:eastAsia="arial" w:hAnsi="arial" w:cs="arial"/>
          <w:color w:val="000000"/>
          <w:sz w:val="20"/>
          <w:lang w:val="en-US" w:eastAsia="en-US" w:bidi="ar-SA"/>
        </w:rPr>
        <w:t xml:space="preserve">, [2012] NZHC 2352 at para. 71; </w:t>
      </w:r>
      <w:r>
        <w:rPr>
          <w:rFonts w:ascii="arial" w:eastAsia="arial" w:hAnsi="arial" w:cs="arial"/>
          <w:i/>
          <w:color w:val="000000"/>
          <w:sz w:val="20"/>
          <w:lang w:val="en-US" w:eastAsia="en-US" w:bidi="ar-SA"/>
        </w:rPr>
        <w:t>Trkulja v. Google Inc. (No. 5)</w:t>
      </w:r>
      <w:r>
        <w:rPr>
          <w:rFonts w:ascii="arial" w:eastAsia="arial" w:hAnsi="arial" w:cs="arial"/>
          <w:color w:val="000000"/>
          <w:sz w:val="20"/>
          <w:lang w:val="en-US" w:eastAsia="en-US" w:bidi="ar-SA"/>
        </w:rPr>
        <w:t xml:space="preserve">, [2012] VSC 533. Google points out that other jurisdictions, notably the U.K. in </w:t>
      </w:r>
      <w:r>
        <w:rPr>
          <w:rFonts w:ascii="arial" w:eastAsia="arial" w:hAnsi="arial" w:cs="arial"/>
          <w:i/>
          <w:color w:val="000000"/>
          <w:sz w:val="20"/>
          <w:lang w:val="en-US" w:eastAsia="en-US" w:bidi="ar-SA"/>
        </w:rPr>
        <w:t>Bunt v. Tilley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Metropolitan</w:t>
      </w:r>
      <w:r>
        <w:rPr>
          <w:rFonts w:ascii="arial" w:eastAsia="arial" w:hAnsi="arial" w:cs="arial"/>
          <w:color w:val="000000"/>
          <w:sz w:val="20"/>
          <w:lang w:val="en-US" w:eastAsia="en-US" w:bidi="ar-SA"/>
        </w:rPr>
        <w:t xml:space="preserve">, and the Australian Supreme Court of New South Wales in </w:t>
      </w:r>
      <w:r>
        <w:rPr>
          <w:rFonts w:ascii="arial" w:eastAsia="arial" w:hAnsi="arial" w:cs="arial"/>
          <w:i/>
          <w:color w:val="000000"/>
          <w:sz w:val="20"/>
          <w:lang w:val="en-US" w:eastAsia="en-US" w:bidi="ar-SA"/>
        </w:rPr>
        <w:t>Bleyer v. Google Inc.</w:t>
      </w:r>
      <w:r>
        <w:rPr>
          <w:rFonts w:ascii="arial" w:eastAsia="arial" w:hAnsi="arial" w:cs="arial"/>
          <w:color w:val="000000"/>
          <w:sz w:val="20"/>
          <w:lang w:val="en-US" w:eastAsia="en-US" w:bidi="ar-SA"/>
        </w:rPr>
        <w:t>, [2014] NSWSC 897, have addressed this question on a summary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decision of whether to address an issue by way of summary judgment depends on the particular question of law and the nature of the evidentiary record before the court. While other jurisdictions have commented on the novelty of the question and the need to consider public policy implications, in Canada these issues have been considered by the Supreme Court of Canada in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and in British Columbia by this Court in </w:t>
      </w:r>
      <w:r>
        <w:rPr>
          <w:rFonts w:ascii="arial" w:eastAsia="arial" w:hAnsi="arial" w:cs="arial"/>
          <w:i/>
          <w:color w:val="000000"/>
          <w:sz w:val="20"/>
          <w:lang w:val="en-US" w:eastAsia="en-US" w:bidi="ar-SA"/>
        </w:rPr>
        <w:t>Weaver v. Corcoran</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2015 BCSC 165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considering the preliminary issue of whether I should make a determination by way of summary judgment I conclude that I have the factual framework to do so; what remains is a legal question that can be determined under Rule 9-6(5)(c): Is Google a publisher of snippets?.</w:t>
      </w:r>
      <w:r>
        <w:rPr>
          <w:rFonts w:ascii="arial" w:eastAsia="arial" w:hAnsi="arial" w:cs="arial"/>
          <w:sz w:val="20"/>
          <w:lang w:val="en-US" w:eastAsia="en-US" w:bidi="ar-SA"/>
        </w:rPr>
        <w:cr/>
      </w:r>
    </w:p>
    <w:p>
      <w:pPr>
        <w:numPr>
          <w:numId w:val="5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Is Google a publisher of the snippets?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plaintiff submits that Google is a publisher because it intends to create webpages containing lists of hyperlinks and snippets; Google created its computer program to generate search results and should be responsible in law for acts done by its "tool": </w:t>
      </w:r>
      <w:r>
        <w:rPr>
          <w:rFonts w:ascii="arial" w:eastAsia="arial" w:hAnsi="arial" w:cs="arial"/>
          <w:i/>
          <w:color w:val="000000"/>
          <w:sz w:val="20"/>
          <w:lang w:val="en-US" w:eastAsia="en-US" w:bidi="ar-SA"/>
        </w:rPr>
        <w:t>Trkujla</w:t>
      </w:r>
      <w:r>
        <w:rPr>
          <w:rFonts w:ascii="arial" w:eastAsia="arial" w:hAnsi="arial" w:cs="arial"/>
          <w:color w:val="000000"/>
          <w:sz w:val="20"/>
          <w:lang w:val="en-US" w:eastAsia="en-US" w:bidi="ar-SA"/>
        </w:rPr>
        <w:t xml:space="preserve"> at paras. 16, 18; </w:t>
      </w:r>
      <w:r>
        <w:rPr>
          <w:rFonts w:ascii="arial" w:eastAsia="arial" w:hAnsi="arial" w:cs="arial"/>
          <w:i/>
          <w:color w:val="000000"/>
          <w:sz w:val="20"/>
          <w:lang w:val="en-US" w:eastAsia="en-US" w:bidi="ar-SA"/>
        </w:rPr>
        <w:t>Yuen</w:t>
      </w:r>
      <w:r>
        <w:rPr>
          <w:rFonts w:ascii="arial" w:eastAsia="arial" w:hAnsi="arial" w:cs="arial"/>
          <w:color w:val="000000"/>
          <w:sz w:val="20"/>
          <w:lang w:val="en-US" w:eastAsia="en-US" w:bidi="ar-SA"/>
        </w:rPr>
        <w:t xml:space="preserve"> at para.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Trkujla</w:t>
      </w:r>
      <w:r>
        <w:rPr>
          <w:rFonts w:ascii="arial" w:eastAsia="arial" w:hAnsi="arial" w:cs="arial"/>
          <w:color w:val="000000"/>
          <w:sz w:val="20"/>
          <w:lang w:val="en-US" w:eastAsia="en-US" w:bidi="ar-SA"/>
        </w:rPr>
        <w:t xml:space="preserve"> Beach J. decided that it was open to the jury to conclude that Google was a publisher of search results (at para. 18). He reasoned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As was pointed out by counsel for the plaintiff in his address to the jury, the first page of the images matter (containing the photographs I have referred to and each named "Michael Trkulja" and each with a caption "melbournecrime") was a page not published by any person other than Google Inc. It was a page of Google Inc.'s creation -- put together as a result of the Google Inc. search engine working as it was intended to work by those who wrote the relevant computer programs. It was a cut and paste creation (if somewhat more sophisticated than one involving cutting word or phrases from a newspaper and gluing them onto a piece of paper). If Google Inc.'s submission was to be accepted then, while this page might on one view be the natural and probable consequence of the material published on the source page from which it is derived, there would be no actual original publisher of this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 contrary view was expressed by Eady J. of the English Court of Queen's Bench in </w:t>
      </w:r>
      <w:r>
        <w:rPr>
          <w:rFonts w:ascii="arial" w:eastAsia="arial" w:hAnsi="arial" w:cs="arial"/>
          <w:i/>
          <w:color w:val="000000"/>
          <w:sz w:val="20"/>
          <w:lang w:val="en-US" w:eastAsia="en-US" w:bidi="ar-SA"/>
        </w:rPr>
        <w:t>Metropolitan</w:t>
      </w:r>
      <w:r>
        <w:rPr>
          <w:rFonts w:ascii="arial" w:eastAsia="arial" w:hAnsi="arial" w:cs="arial"/>
          <w:color w:val="000000"/>
          <w:sz w:val="20"/>
          <w:lang w:val="en-US" w:eastAsia="en-US" w:bidi="ar-SA"/>
        </w:rPr>
        <w:t>. In that case the claimant was in the business of providing adult distance learning courses. It was the subject of disparaging and defamatory comments on electronic bulletin boards maintained by the defendant, Designtechnica. Metropolitan sued Designtechnica and Google Inc. (described in the judgment as the "Third Defendant") for defamation. The claim against Google was that it was publishing the defamatory comments through search results and snippets provided in connection with search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matter came before Eady J. on Google's application to set aside a without notice order for service outside the country. Google maintained that it was not a publisher, the action had no reasonable prospect of success, and that service </w:t>
      </w:r>
      <w:r>
        <w:rPr>
          <w:rFonts w:ascii="arial" w:eastAsia="arial" w:hAnsi="arial" w:cs="arial"/>
          <w:i/>
          <w:color w:val="000000"/>
          <w:sz w:val="20"/>
          <w:lang w:val="en-US" w:eastAsia="en-US" w:bidi="ar-SA"/>
        </w:rPr>
        <w:t>ex juris</w:t>
      </w:r>
      <w:r>
        <w:rPr>
          <w:rFonts w:ascii="arial" w:eastAsia="arial" w:hAnsi="arial" w:cs="arial"/>
          <w:color w:val="000000"/>
          <w:sz w:val="20"/>
          <w:lang w:val="en-US" w:eastAsia="en-US" w:bidi="ar-SA"/>
        </w:rPr>
        <w:t xml:space="preserve"> ought therefore to be set aside. Google's application succeeded.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Eady J. confronted the issue squarely under the heading "Can the operator of a search engine be liable for publication?" (at paras. 35-64). He held that the act of publication, giving rise to liability in defamation, requires a mental element, stating at para. 49:</w:t>
      </w:r>
      <w:r>
        <w:rPr>
          <w:rFonts w:ascii="arial" w:eastAsia="arial" w:hAnsi="arial" w:cs="arial"/>
          <w:sz w:val="20"/>
          <w:lang w:val="en-US" w:eastAsia="en-US" w:bidi="ar-SA"/>
        </w:rPr>
        <w:cr/>
      </w:r>
    </w:p>
    <w:p>
      <w:pPr>
        <w:numPr>
          <w:numId w:val="5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recognised, at common law, that for a person to be fixed with responsibility for publishing defamatory words, there needs to be present a mental element. I summarised the position in </w:t>
      </w:r>
      <w:r>
        <w:rPr>
          <w:rFonts w:ascii="arial" w:eastAsia="arial" w:hAnsi="arial" w:cs="arial"/>
          <w:i/>
          <w:color w:val="000000"/>
          <w:sz w:val="20"/>
          <w:lang w:val="en-US" w:eastAsia="en-US" w:bidi="ar-SA"/>
        </w:rPr>
        <w:t>Bunt v Tilley</w:t>
      </w:r>
      <w:r>
        <w:rPr>
          <w:rFonts w:ascii="arial" w:eastAsia="arial" w:hAnsi="arial" w:cs="arial"/>
          <w:color w:val="000000"/>
          <w:sz w:val="20"/>
          <w:lang w:val="en-US" w:eastAsia="en-US" w:bidi="ar-SA"/>
        </w:rPr>
        <w:t xml:space="preserve"> [2007] 1 WLR 1243. paras 21-23:</w:t>
      </w:r>
    </w:p>
    <w:p>
      <w:pPr>
        <w:numPr>
          <w:numId w:val="6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responsibility for publication in the context of the law of defamation, it seems to me to be important to focus on what the person did, or failed to do, in the chain of communication.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 course, to be liable for a defamatory publication it is not always necessary to be aware of the defamatory content, still less of its legal significance. Editors and publishers are often fixed with responsibility notwithstanding such lack of knowledge. On the other hand, for a person to be held responsible there must be knowing involvement in the process of publication of </w:t>
      </w:r>
      <w:r>
        <w:rPr>
          <w:rFonts w:ascii="arial" w:eastAsia="arial" w:hAnsi="arial" w:cs="arial"/>
          <w:i/>
          <w:color w:val="000000"/>
          <w:sz w:val="20"/>
          <w:lang w:val="en-US" w:eastAsia="en-US" w:bidi="ar-SA"/>
        </w:rPr>
        <w:t>the relevant words</w:t>
      </w:r>
      <w:r>
        <w:rPr>
          <w:rFonts w:ascii="arial" w:eastAsia="arial" w:hAnsi="arial" w:cs="arial"/>
          <w:color w:val="000000"/>
          <w:sz w:val="20"/>
          <w:lang w:val="en-US" w:eastAsia="en-US" w:bidi="ar-SA"/>
        </w:rPr>
        <w:t>. It is not enough that a person merely plays a passive instrumental role in the process..."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Eady J. held that the generation of search results and snippets by an automated process could not constitute "knowing involvement in the process of publication of the relevant words". Eady J. explained at paras. 50-53:</w:t>
      </w:r>
      <w:r>
        <w:rPr>
          <w:rFonts w:ascii="arial" w:eastAsia="arial" w:hAnsi="arial" w:cs="arial"/>
          <w:sz w:val="20"/>
          <w:lang w:val="en-US" w:eastAsia="en-US" w:bidi="ar-SA"/>
        </w:rPr>
        <w:cr/>
      </w:r>
    </w:p>
    <w:p>
      <w:pPr>
        <w:numPr>
          <w:numId w:val="6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search is carried out by a web user via the Google search engine it is clear, from what I have said already about its function, that there is no human input from the Third Defendant. None of its officers or employees takes any part in the search. It is performed automatically in accordance with computer programmes.</w:t>
      </w:r>
    </w:p>
    <w:p>
      <w:pPr>
        <w:numPr>
          <w:numId w:val="6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snippet is thrown up on the user's screen in response to his search, it points him in the direction of an entry somewhere on the Web that corresponds, to a greater or lesser extent, to the search terms he has typed in. It is for him to access or not, as he chooses. It is fundamentally important to have in mind that the Third Defendant has no role to play in formulating the search terms. Accordingly, it could not prevent the snippet appearing in response to the user's request unless it has taken some positive step in advance. There being no input from the Third Defendant, therefore, on the scenario I have so far posited, it cannot be characterised as a publisher at common law. </w:t>
      </w:r>
      <w:r>
        <w:rPr>
          <w:rFonts w:ascii="arial" w:eastAsia="arial" w:hAnsi="arial" w:cs="arial"/>
          <w:color w:val="000000"/>
          <w:sz w:val="20"/>
          <w:u w:val="single"/>
          <w:lang w:val="en-US" w:eastAsia="en-US" w:bidi="ar-SA"/>
        </w:rPr>
        <w:t>It has not authorised or caused the snippet to appear on the user's screen in any meaningful sense. It has merely, by the provision of its search service, played the role of a facilitator</w:t>
      </w:r>
      <w:r>
        <w:rPr>
          <w:rFonts w:ascii="arial" w:eastAsia="arial" w:hAnsi="arial" w:cs="arial"/>
          <w:color w:val="000000"/>
          <w:sz w:val="20"/>
          <w:lang w:val="en-US" w:eastAsia="en-US" w:bidi="ar-SA"/>
        </w:rPr>
        <w:t>.</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Analogies are not always helpful, but there will often be resort to analogy when the common law has to be applied to new and unfamiliar concepts. Here, an analogy may be drawn perhaps with a search carried out in a large conventional library. If a scholar wishes to check for references to his research topic, he may well consult the library catalogue. On doing so, he may find that there are some potentially relevant books in one of the bays and make his way there to see whether he can make use of the content. It is hardly realistic to attribute responsibility for the content of those books to the compiler(s) of the catalogue. On the other hand, if the compilers have made an effort to be more informative, by quoting brief snippets from the book, the position may be different. Suppose the catalogue records that a particular book contains allegations of corruption against a living politician, or perhaps it goes further and spells out a particular activity, such as "flipping" homes to avoid capital gains tax, then there could be legal liability on the part of the compiler under the "repetition rule": see e.g.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xml:space="preserve"> (11th edn) at paras 11.4 and 32.8.</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doubt it would be said here too, by analogy, that the Third Defendant should be liable for repeating the "scam" allegations against the Claimant. Yet, whereas a compiler of a conventional library catalogue will consciously at some point have chosen the wording of any "snippet" or summary included, that is not so in the case of a search engine. There will have been no intervention on the part of any human agent. It has all been done by the web-crawling "robots".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Thus, the English decisions of </w:t>
      </w:r>
      <w:r>
        <w:rPr>
          <w:rFonts w:ascii="arial" w:eastAsia="arial" w:hAnsi="arial" w:cs="arial"/>
          <w:i/>
          <w:color w:val="000000"/>
          <w:sz w:val="20"/>
          <w:lang w:val="en-US" w:eastAsia="en-US" w:bidi="ar-SA"/>
        </w:rPr>
        <w:t>Bunt v. Tilley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Metropolitan</w:t>
      </w:r>
      <w:r>
        <w:rPr>
          <w:rFonts w:ascii="arial" w:eastAsia="arial" w:hAnsi="arial" w:cs="arial"/>
          <w:color w:val="000000"/>
          <w:sz w:val="20"/>
          <w:lang w:val="en-US" w:eastAsia="en-US" w:bidi="ar-SA"/>
        </w:rPr>
        <w:t xml:space="preserve"> narrowed the scope of what amounts to publication sufficient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defamation, through the development of a "passive instrument"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As I have noted in disposing of Mr. Niemela's claim that Google is a publisher of the hyperlinks contained in its search results, </w:t>
      </w:r>
      <w:r>
        <w:rPr>
          <w:rFonts w:ascii="arial" w:eastAsia="arial" w:hAnsi="arial" w:cs="arial"/>
          <w:i/>
          <w:color w:val="000000"/>
          <w:sz w:val="20"/>
          <w:lang w:val="en-US" w:eastAsia="en-US" w:bidi="ar-SA"/>
        </w:rPr>
        <w:t>Metropolitan</w:t>
      </w:r>
      <w:r>
        <w:rPr>
          <w:rFonts w:ascii="arial" w:eastAsia="arial" w:hAnsi="arial" w:cs="arial"/>
          <w:color w:val="000000"/>
          <w:sz w:val="20"/>
          <w:lang w:val="en-US" w:eastAsia="en-US" w:bidi="ar-SA"/>
        </w:rPr>
        <w:t xml:space="preserve"> was considered by the Supreme Court of Canada in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a defamation case originating in British Columbia. At para. 21 Abella J. speaking for six judges approved the approach taken in </w:t>
      </w:r>
      <w:r>
        <w:rPr>
          <w:rFonts w:ascii="arial" w:eastAsia="arial" w:hAnsi="arial" w:cs="arial"/>
          <w:i/>
          <w:color w:val="000000"/>
          <w:sz w:val="20"/>
          <w:lang w:val="en-US" w:eastAsia="en-US" w:bidi="ar-SA"/>
        </w:rPr>
        <w:t>Bunt v. Tilley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Metropolitan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Recently, jurisprudence has emerged suggesting that some acts are so passive that they should not be held to be publication. In </w:t>
      </w:r>
      <w:r>
        <w:rPr>
          <w:rFonts w:ascii="arial" w:eastAsia="arial" w:hAnsi="arial" w:cs="arial"/>
          <w:i/>
          <w:color w:val="000000"/>
          <w:sz w:val="20"/>
          <w:lang w:val="en-US" w:eastAsia="en-US" w:bidi="ar-SA"/>
        </w:rPr>
        <w:t>Bunt v. Tilley</w:t>
      </w:r>
      <w:r>
        <w:rPr>
          <w:rFonts w:ascii="arial" w:eastAsia="arial" w:hAnsi="arial" w:cs="arial"/>
          <w:color w:val="000000"/>
          <w:sz w:val="20"/>
          <w:lang w:val="en-US" w:eastAsia="en-US" w:bidi="ar-SA"/>
        </w:rPr>
        <w:t xml:space="preserve">, [2006] EWHC 407, [2006] 3 All E.R. 336 (Q.B.), considering the potential liability of an Internet service provider, the court held that in order to hold someone liable as a publisher, "[i]t is not enough that a person merely plays a passive instrumental role in the process"; there must be "knowing involvement in the process of publication of the relevant words" (para. 23 (emphasis in original); see also </w:t>
      </w:r>
      <w:r>
        <w:rPr>
          <w:rFonts w:ascii="arial" w:eastAsia="arial" w:hAnsi="arial" w:cs="arial"/>
          <w:i/>
          <w:color w:val="000000"/>
          <w:sz w:val="20"/>
          <w:lang w:val="en-US" w:eastAsia="en-US" w:bidi="ar-SA"/>
        </w:rPr>
        <w:t>Metropolitan International Schools Ltd. v. Designtechnica Corpn</w:t>
      </w:r>
      <w:r>
        <w:rPr>
          <w:rFonts w:ascii="arial" w:eastAsia="arial" w:hAnsi="arial" w:cs="arial"/>
          <w:color w:val="000000"/>
          <w:sz w:val="20"/>
          <w:lang w:val="en-US" w:eastAsia="en-US" w:bidi="ar-SA"/>
        </w:rPr>
        <w:t>., [2009] EWHC 1765, [2011] 1 W.L.R. 1743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there were two additional judgments concurring in the result but differing slightly in their analysis. Yet all of the judges in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accepted the principle that publication requires a deliberate act in relation to the words in question. I have already referred to the reasons of Abella J. on this point at para. 26 of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concurring reasons, at paras. 50 and 51, McLachlin C.J. and Fish J. advanced an alternative publication standard for hyperlinks: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In sum, in our view, a hyperlink should constitute publication if, read contextually, the text that includes the hyperlink constitutes adoption or endorsement of the specific content it links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It is true that the traditional publication rule does not require the publisher to approve of the material published; he or she must merely communicate that material to a third party. However, the proposed adoption or endorsement standard for references is conceptually different. A mere reference without any adoption or endorsement remains that -- a content-neutral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Deschamps J., in her concurring reasons, also noted that proof of publication is necessary in order to establish liability for defamation. At para. 55 she referred to the traditional test for publication: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[P]ublication has two components: (1) an act that makes the defamatory information available to a third party in a comprehensible form, and (2) the receipt of the information by a third party in such a way that it is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para. 56 she framed the issue before the court as "whether the first component of publication needs to be reconsidered owing to the impact of new forms of communications media."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Deschamps J. concluded that only deliberate acts can lead to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A more nuanced approach to revising the publication rule, and one that can be applied effectively to new media, would be for the Court to hold that in Canadian law, a reference to defamatory content can satisfy the requirements of the first component of publication if it makes the defamatory information </w:t>
      </w:r>
      <w:r>
        <w:rPr>
          <w:rFonts w:ascii="arial" w:eastAsia="arial" w:hAnsi="arial" w:cs="arial"/>
          <w:i/>
          <w:color w:val="000000"/>
          <w:sz w:val="20"/>
          <w:lang w:val="en-US" w:eastAsia="en-US" w:bidi="ar-SA"/>
        </w:rPr>
        <w:t>readily available</w:t>
      </w:r>
      <w:r>
        <w:rPr>
          <w:rFonts w:ascii="arial" w:eastAsia="arial" w:hAnsi="arial" w:cs="arial"/>
          <w:color w:val="000000"/>
          <w:sz w:val="20"/>
          <w:lang w:val="en-US" w:eastAsia="en-US" w:bidi="ar-SA"/>
        </w:rPr>
        <w:t xml:space="preserve"> to a third party in a comprehensible form. In addition, the Court should make it clear that not every act, but only </w:t>
      </w:r>
      <w:r>
        <w:rPr>
          <w:rFonts w:ascii="arial" w:eastAsia="arial" w:hAnsi="arial" w:cs="arial"/>
          <w:i/>
          <w:color w:val="000000"/>
          <w:sz w:val="20"/>
          <w:lang w:val="en-US" w:eastAsia="en-US" w:bidi="ar-SA"/>
        </w:rPr>
        <w:t>deliberate</w:t>
      </w:r>
      <w:r>
        <w:rPr>
          <w:rFonts w:ascii="arial" w:eastAsia="arial" w:hAnsi="arial" w:cs="arial"/>
          <w:color w:val="000000"/>
          <w:sz w:val="20"/>
          <w:lang w:val="en-US" w:eastAsia="en-US" w:bidi="ar-SA"/>
        </w:rPr>
        <w:t xml:space="preserve"> acts, can lead to liability for defamation.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considering these passages in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I am mindful that the narrow ratio of that case is that providing a hyperlink does not constitute publication of the article to which the hyperlink leads.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did not address snippets and indeed Abella J. stated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Making reference to the existence and/or location of content by hyperlink or otherwise, without more, is not publication of that content. </w:t>
      </w:r>
      <w:r>
        <w:rPr>
          <w:rFonts w:ascii="arial" w:eastAsia="arial" w:hAnsi="arial" w:cs="arial"/>
          <w:color w:val="000000"/>
          <w:sz w:val="20"/>
          <w:u w:val="single"/>
          <w:lang w:val="en-US" w:eastAsia="en-US" w:bidi="ar-SA"/>
        </w:rPr>
        <w:t>Only when a hyperlinker presents content from the hyperlinked material in a way that actually repeats the defamatory content</w:t>
      </w:r>
      <w:r>
        <w:rPr>
          <w:rFonts w:ascii="arial" w:eastAsia="arial" w:hAnsi="arial" w:cs="arial"/>
          <w:color w:val="000000"/>
          <w:sz w:val="20"/>
          <w:lang w:val="en-US" w:eastAsia="en-US" w:bidi="ar-SA"/>
        </w:rPr>
        <w:t>, should that content be considered to be "published" by the hyperlinker.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 snippet repeats words from the hyperlinked article and, as in the present case, those words can be defamatory. For example, the following text is taken from one snippet displayed in the Google search results of Mr. Niemela's name: "Glenn J. Niemela complaint review: Glenn J. Niemela he's a scam artist and steals from his clients while doing nothing to help them with their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Using the traditional approach to publication, Google's lack of awareness of the content of the words it repeated on a search page snippet would not prevent it from being a publisher, although it would likely be able to avail itself of the defence of innocent dissemination after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test for defamation had been made out. As Abella J. noted at para. 18 of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Under this sole disseminator/sole reader paradigm, the breadth of activity captured by the traditional publication rule is vast. In </w:t>
      </w:r>
      <w:r>
        <w:rPr>
          <w:rFonts w:ascii="arial" w:eastAsia="arial" w:hAnsi="arial" w:cs="arial"/>
          <w:i/>
          <w:color w:val="000000"/>
          <w:sz w:val="20"/>
          <w:lang w:val="en-US" w:eastAsia="en-US" w:bidi="ar-SA"/>
        </w:rPr>
        <w:t>R. v. Clerk</w:t>
      </w:r>
      <w:r>
        <w:rPr>
          <w:rFonts w:ascii="arial" w:eastAsia="arial" w:hAnsi="arial" w:cs="arial"/>
          <w:color w:val="000000"/>
          <w:sz w:val="20"/>
          <w:lang w:val="en-US" w:eastAsia="en-US" w:bidi="ar-SA"/>
        </w:rPr>
        <w:t xml:space="preserve"> (1728), 1 Barn. K.B. 304, 94 E.R. 207, for example, a printer's servant, whose only role in an act of publication was to "clap down" the printing press, was found responsible for the libels contained in that publication, despite the fact that he was not aware of the contents (p. 207). In </w:t>
      </w:r>
      <w:r>
        <w:rPr>
          <w:rFonts w:ascii="arial" w:eastAsia="arial" w:hAnsi="arial" w:cs="arial"/>
          <w:i/>
          <w:color w:val="000000"/>
          <w:sz w:val="20"/>
          <w:lang w:val="en-US" w:eastAsia="en-US" w:bidi="ar-SA"/>
        </w:rPr>
        <w:t>Hird v. Wood</w:t>
      </w:r>
      <w:r>
        <w:rPr>
          <w:rFonts w:ascii="arial" w:eastAsia="arial" w:hAnsi="arial" w:cs="arial"/>
          <w:color w:val="000000"/>
          <w:sz w:val="20"/>
          <w:lang w:val="en-US" w:eastAsia="en-US" w:bidi="ar-SA"/>
        </w:rPr>
        <w:t xml:space="preserve"> (1894), 38 S.J. 234 (C.A.), pointing at a sign displaying defamatory words was held to be evidence of publication. Other cases have also held that acts merely facilitating communication can amount to publication: see, e.g., </w:t>
      </w:r>
      <w:r>
        <w:rPr>
          <w:rFonts w:ascii="arial" w:eastAsia="arial" w:hAnsi="arial" w:cs="arial"/>
          <w:i/>
          <w:color w:val="000000"/>
          <w:sz w:val="20"/>
          <w:lang w:val="en-US" w:eastAsia="en-US" w:bidi="ar-SA"/>
        </w:rPr>
        <w:t>Buchanan v. Jennings,</w:t>
      </w:r>
      <w:r>
        <w:rPr>
          <w:rFonts w:ascii="arial" w:eastAsia="arial" w:hAnsi="arial" w:cs="arial"/>
          <w:color w:val="000000"/>
          <w:sz w:val="20"/>
          <w:lang w:val="en-US" w:eastAsia="en-US" w:bidi="ar-SA"/>
        </w:rPr>
        <w:t xml:space="preserve"> [2004] UKPC 36, [2005] 1 A.C. 115; </w:t>
      </w:r>
      <w:r>
        <w:rPr>
          <w:rFonts w:ascii="arial" w:eastAsia="arial" w:hAnsi="arial" w:cs="arial"/>
          <w:i/>
          <w:color w:val="000000"/>
          <w:sz w:val="20"/>
          <w:lang w:val="en-US" w:eastAsia="en-US" w:bidi="ar-SA"/>
        </w:rPr>
        <w:t>Polson v. Davis,</w:t>
      </w:r>
      <w:r>
        <w:rPr>
          <w:rFonts w:ascii="arial" w:eastAsia="arial" w:hAnsi="arial" w:cs="arial"/>
          <w:color w:val="000000"/>
          <w:sz w:val="20"/>
          <w:lang w:val="en-US" w:eastAsia="en-US" w:bidi="ar-SA"/>
        </w:rPr>
        <w:t xml:space="preserve"> 635 F.Supp. 1130 (D. Kan. 1986), aff'd 895 F.2d 705 (10th Cir. 1990); </w:t>
      </w:r>
      <w:r>
        <w:rPr>
          <w:rFonts w:ascii="arial" w:eastAsia="arial" w:hAnsi="arial" w:cs="arial"/>
          <w:i/>
          <w:color w:val="000000"/>
          <w:sz w:val="20"/>
          <w:lang w:val="en-US" w:eastAsia="en-US" w:bidi="ar-SA"/>
        </w:rPr>
        <w:t>Crain v. Lightner,</w:t>
      </w:r>
      <w:r>
        <w:rPr>
          <w:rFonts w:ascii="arial" w:eastAsia="arial" w:hAnsi="arial" w:cs="arial"/>
          <w:color w:val="000000"/>
          <w:sz w:val="20"/>
          <w:lang w:val="en-US" w:eastAsia="en-US" w:bidi="ar-SA"/>
        </w:rPr>
        <w:t xml:space="preserve"> 364 S.E.2d 778 (W. Va. 1987), at p. 785; and </w:t>
      </w:r>
      <w:r>
        <w:rPr>
          <w:rFonts w:ascii="arial" w:eastAsia="arial" w:hAnsi="arial" w:cs="arial"/>
          <w:i/>
          <w:color w:val="000000"/>
          <w:sz w:val="20"/>
          <w:lang w:val="en-US" w:eastAsia="en-US" w:bidi="ar-SA"/>
        </w:rPr>
        <w:t>Spike v. Golding</w:t>
      </w:r>
      <w:r>
        <w:rPr>
          <w:rFonts w:ascii="arial" w:eastAsia="arial" w:hAnsi="arial" w:cs="arial"/>
          <w:color w:val="000000"/>
          <w:sz w:val="20"/>
          <w:lang w:val="en-US" w:eastAsia="en-US" w:bidi="ar-SA"/>
        </w:rPr>
        <w:t xml:space="preserve"> (1895), 27 N.S.R. 370 (S.C. </w:t>
      </w:r>
      <w:r>
        <w:rPr>
          <w:rFonts w:ascii="arial" w:eastAsia="arial" w:hAnsi="arial" w:cs="arial"/>
          <w:i/>
          <w:color w:val="000000"/>
          <w:sz w:val="20"/>
          <w:lang w:val="en-US" w:eastAsia="en-US" w:bidi="ar-SA"/>
        </w:rPr>
        <w:t>in banco</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McNichol v. Grandy</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[1931] S.C.R. 696</w:t>
        </w:r>
      </w:hyperlink>
      <w:r>
        <w:rPr>
          <w:rFonts w:ascii="arial" w:eastAsia="arial" w:hAnsi="arial" w:cs="arial"/>
          <w:color w:val="000000"/>
          <w:sz w:val="20"/>
          <w:lang w:val="en-US" w:eastAsia="en-US" w:bidi="ar-SA"/>
        </w:rPr>
        <w:t>, the defendant was found to be liable when he raised his voice and made defamatory statements that were overheard by someone in another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As I have noted, however, the tenor of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and of recent jurisprudence in England is to narrow the test for who is a publisher of defamatory material to those who do deliberate acts. In Canada this shift originates in the Supreme Court of Canada's recognition post-</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"that what is at stake in an action for defamation is not only an individual's interest in protecting his or her reputation, but also the public's interest in protecting freedom of expression":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at para. 31, citing </w:t>
      </w:r>
      <w:r>
        <w:rPr>
          <w:rFonts w:ascii="arial" w:eastAsia="arial" w:hAnsi="arial" w:cs="arial"/>
          <w:i/>
          <w:color w:val="000000"/>
          <w:sz w:val="20"/>
          <w:lang w:val="en-US" w:eastAsia="en-US" w:bidi="ar-SA"/>
        </w:rPr>
        <w:t>Hill v. Scientology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worth noting at this point that the English approach requiring a deliberate act to establish publication (the passive instrument test) is related to, but distinct from, the defence of innocent dissemination which is a well-settled principle in Canadian defamation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As described in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at para. 20 and in </w:t>
      </w:r>
      <w:r>
        <w:rPr>
          <w:rFonts w:ascii="arial" w:eastAsia="arial" w:hAnsi="arial" w:cs="arial"/>
          <w:i/>
          <w:color w:val="000000"/>
          <w:sz w:val="20"/>
          <w:lang w:val="en-US" w:eastAsia="en-US" w:bidi="ar-SA"/>
        </w:rPr>
        <w:t>Society of Composers, Authors and Music Publishers of Canada v. Canadian Assn. of Internet Providers</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2004 SCC 45</w:t>
        </w:r>
      </w:hyperlink>
      <w:r>
        <w:rPr>
          <w:rFonts w:ascii="arial" w:eastAsia="arial" w:hAnsi="arial" w:cs="arial"/>
          <w:color w:val="000000"/>
          <w:sz w:val="20"/>
          <w:lang w:val="en-US" w:eastAsia="en-US" w:bidi="ar-SA"/>
        </w:rPr>
        <w:t xml:space="preserve"> at para. 89, a defendant in a subordinate publisher role can avail itself of the defence of innocent dissemination by showing that it:</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no actual knowledge of an alleged libel;</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aware of no circumstances to put it on notice to suspect a libel; and</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committed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find out about the libel.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short, the defence is available to defendants who, while not the creator of the defamatory material, disseminate the material in a manner that would ordinarily amount to publication save for the innocent nature of the dissemination.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substance, the passive instrument test appears to have requirements very similar to the defence of innocent dissemination. However, it shifts the burden of proof from the defendant to the plaintiff. Where innocent dissemination is pleaded, the defendant bears the burden of showing that it had no actual knowledge of an alleged libel, was aware of no circumstances to put it on notice to suspect a libel, and committed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find out about the libel.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On the other hand, if the passive instrument test is applied the plaintiff bears the burden of showing that the defendant was not a mere passive instrument because at the initial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stage the plaintiff must prove the third element of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majority in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did not expressly adopt the passive instrument test for publication, but Abella J. endorses </w:t>
      </w:r>
      <w:r>
        <w:rPr>
          <w:rFonts w:ascii="arial" w:eastAsia="arial" w:hAnsi="arial" w:cs="arial"/>
          <w:i/>
          <w:color w:val="000000"/>
          <w:sz w:val="20"/>
          <w:lang w:val="en-US" w:eastAsia="en-US" w:bidi="ar-SA"/>
        </w:rPr>
        <w:t>Metropolitan</w:t>
      </w:r>
      <w:r>
        <w:rPr>
          <w:rFonts w:ascii="arial" w:eastAsia="arial" w:hAnsi="arial" w:cs="arial"/>
          <w:color w:val="000000"/>
          <w:sz w:val="20"/>
          <w:lang w:val="en-US" w:eastAsia="en-US" w:bidi="ar-SA"/>
        </w:rPr>
        <w:t xml:space="preserve"> which applied it. Furthermore, much of the majority's reasoning for concluding on public policy grounds that hyperlinks should not be treated as publication, applies with equal or greater force to search results. Abella J. observed at paras. 34 and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Internet's capacity to disseminate information has been described by this Court as "one of the great innovations of the information age" whose "use should be facilitated rather than discouraged" (</w:t>
      </w:r>
      <w:r>
        <w:rPr>
          <w:rFonts w:ascii="arial" w:eastAsia="arial" w:hAnsi="arial" w:cs="arial"/>
          <w:i/>
          <w:color w:val="000000"/>
          <w:sz w:val="20"/>
          <w:lang w:val="en-US" w:eastAsia="en-US" w:bidi="ar-SA"/>
        </w:rPr>
        <w:t>SOCAN</w:t>
      </w:r>
      <w:r>
        <w:rPr>
          <w:rFonts w:ascii="arial" w:eastAsia="arial" w:hAnsi="arial" w:cs="arial"/>
          <w:color w:val="000000"/>
          <w:sz w:val="20"/>
          <w:lang w:val="en-US" w:eastAsia="en-US" w:bidi="ar-SA"/>
        </w:rPr>
        <w:t xml:space="preserve">, at para. 40,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Binnie J.). Hyperlinks, in particular, are an indispensable part of its operation. As Matthew Collins explains, at para. 5.42: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Hyperlinks are the synapses connecting different parts of the world wide web. Without hyperlinks, the web would be like a library without a catalogue: full of information, but with no sure means of finding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also Lindsay, at pp. 78-79; Mark Sableman, "Link Law Revisited: Internet Linking Law at Five Years" (2001), 16 Berkeley Tech. L.J. 1273, at p. 1276.)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Internet cannot, in short, provide access to information without hyperlinks. Limiting their usefulness by subjecting them to the traditional publication rule would have the effect of seriously restricting the flow of information and, as a result, freedom of expression. The potential "chill" in how the Internet functions could be devastating, since primary article authors would unlikely want to risk liability for linking to another article over whose changeable content they have no control. Given the core significance of the role of hyperlinking to the Internet, we risk impairing its whole functioning. Strict application of the publication rule in these circumstances would be like trying to fit a square archaic peg into the hexagonal hole of modernity.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are hundreds of millions of active websites over the Internet and trillions of webpages. Search engines make the Internet a viable and effective information and communication resource. The Internet cannot be successfully navigated without search services such as those Google provides. If hyperlinks are the pathways search engines are the maps. Without snippets, which give a sample of the text in which the search terms are imbedded, navigating the Internet would be much more difficult. Users would have to click on each URL, access the hyperlinked webpage, and examine its contents to determine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Adoption of the passive instrument test for publication in British Columbia was addressed by Burke J. in </w:t>
      </w:r>
      <w:r>
        <w:rPr>
          <w:rFonts w:ascii="arial" w:eastAsia="arial" w:hAnsi="arial" w:cs="arial"/>
          <w:i/>
          <w:color w:val="000000"/>
          <w:sz w:val="20"/>
          <w:lang w:val="en-US" w:eastAsia="en-US" w:bidi="ar-SA"/>
        </w:rPr>
        <w:t>Weaver v. Corcoran</w:t>
      </w:r>
      <w:r>
        <w:rPr>
          <w:rFonts w:ascii="arial" w:eastAsia="arial" w:hAnsi="arial" w:cs="arial"/>
          <w:color w:val="000000"/>
          <w:sz w:val="20"/>
          <w:lang w:val="en-US" w:eastAsia="en-US" w:bidi="ar-SA"/>
        </w:rPr>
        <w:t xml:space="preserve">. The plaintiff in that case sued over reader comments posted about him on a forum hosted by the National Post. After referring to </w:t>
      </w:r>
      <w:r>
        <w:rPr>
          <w:rFonts w:ascii="arial" w:eastAsia="arial" w:hAnsi="arial" w:cs="arial"/>
          <w:i/>
          <w:color w:val="000000"/>
          <w:sz w:val="20"/>
          <w:lang w:val="en-US" w:eastAsia="en-US" w:bidi="ar-SA"/>
        </w:rPr>
        <w:t>Bunt v. Tilley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Metropolitan</w:t>
      </w:r>
      <w:r>
        <w:rPr>
          <w:rFonts w:ascii="arial" w:eastAsia="arial" w:hAnsi="arial" w:cs="arial"/>
          <w:color w:val="000000"/>
          <w:sz w:val="20"/>
          <w:lang w:val="en-US" w:eastAsia="en-US" w:bidi="ar-SA"/>
        </w:rPr>
        <w:t xml:space="preserve"> as well as </w:t>
      </w:r>
      <w:r>
        <w:rPr>
          <w:rFonts w:ascii="arial" w:eastAsia="arial" w:hAnsi="arial" w:cs="arial"/>
          <w:i/>
          <w:color w:val="000000"/>
          <w:sz w:val="20"/>
          <w:lang w:val="en-US" w:eastAsia="en-US" w:bidi="ar-SA"/>
        </w:rPr>
        <w:t>Tamiz v. Google Inc.</w:t>
      </w:r>
      <w:r>
        <w:rPr>
          <w:rFonts w:ascii="arial" w:eastAsia="arial" w:hAnsi="arial" w:cs="arial"/>
          <w:color w:val="000000"/>
          <w:sz w:val="20"/>
          <w:lang w:val="en-US" w:eastAsia="en-US" w:bidi="ar-SA"/>
        </w:rPr>
        <w:t>, [2013] EWCA Civ 68, Burke J. concluded at para. 282 that the jurisprudence establishes that "some awareness of the nature of the reader post is necessary to meet the test of publication." She continued at para. 284: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Until awareness occurs</w:t>
      </w:r>
      <w:r>
        <w:rPr>
          <w:rFonts w:ascii="arial" w:eastAsia="arial" w:hAnsi="arial" w:cs="arial"/>
          <w:color w:val="000000"/>
          <w:sz w:val="20"/>
          <w:lang w:val="en-US" w:eastAsia="en-US" w:bidi="ar-SA"/>
        </w:rPr>
        <w:t xml:space="preserve">, whether by internal review or specific complaints that are brought to the attention of the </w:t>
      </w:r>
      <w:r>
        <w:rPr>
          <w:rFonts w:ascii="arial" w:eastAsia="arial" w:hAnsi="arial" w:cs="arial"/>
          <w:i/>
          <w:color w:val="000000"/>
          <w:sz w:val="20"/>
          <w:lang w:val="en-US" w:eastAsia="en-US" w:bidi="ar-SA"/>
        </w:rPr>
        <w:t>National Post</w:t>
      </w:r>
      <w:r>
        <w:rPr>
          <w:rFonts w:ascii="arial" w:eastAsia="arial" w:hAnsi="arial" w:cs="arial"/>
          <w:color w:val="000000"/>
          <w:sz w:val="20"/>
          <w:lang w:val="en-US" w:eastAsia="en-US" w:bidi="ar-SA"/>
        </w:rPr>
        <w:t xml:space="preserve"> or its columnists, </w:t>
      </w:r>
      <w:r>
        <w:rPr>
          <w:rFonts w:ascii="arial" w:eastAsia="arial" w:hAnsi="arial" w:cs="arial"/>
          <w:color w:val="000000"/>
          <w:sz w:val="20"/>
          <w:u w:val="single"/>
          <w:lang w:val="en-US" w:eastAsia="en-US" w:bidi="ar-SA"/>
        </w:rPr>
        <w:t xml:space="preserve">the </w:t>
      </w:r>
      <w:r>
        <w:rPr>
          <w:rFonts w:ascii="arial" w:eastAsia="arial" w:hAnsi="arial" w:cs="arial"/>
          <w:i/>
          <w:color w:val="000000"/>
          <w:sz w:val="20"/>
          <w:u w:val="single"/>
          <w:lang w:val="en-US" w:eastAsia="en-US" w:bidi="ar-SA"/>
        </w:rPr>
        <w:t>National Post</w:t>
      </w:r>
      <w:r>
        <w:rPr>
          <w:rFonts w:ascii="arial" w:eastAsia="arial" w:hAnsi="arial" w:cs="arial"/>
          <w:color w:val="000000"/>
          <w:sz w:val="20"/>
          <w:u w:val="single"/>
          <w:lang w:val="en-US" w:eastAsia="en-US" w:bidi="ar-SA"/>
        </w:rPr>
        <w:t xml:space="preserve"> can be considered to be in a passive instrumental role in the dissemination of the reader postings</w:t>
      </w:r>
      <w:r>
        <w:rPr>
          <w:rFonts w:ascii="arial" w:eastAsia="arial" w:hAnsi="arial" w:cs="arial"/>
          <w:color w:val="000000"/>
          <w:sz w:val="20"/>
          <w:lang w:val="en-US" w:eastAsia="en-US" w:bidi="ar-SA"/>
        </w:rPr>
        <w:t>. It has taken no deliberate action amounting to approval or adoption of the contents of the reader posts. Once the offensive comments were brought to the attention of the defendants, however, if immediate action is not taken to deal with these comments, the defendants would be considered publishers as at that date.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Weaver</w:t>
      </w:r>
      <w:r>
        <w:rPr>
          <w:rFonts w:ascii="arial" w:eastAsia="arial" w:hAnsi="arial" w:cs="arial"/>
          <w:color w:val="000000"/>
          <w:sz w:val="20"/>
          <w:lang w:val="en-US" w:eastAsia="en-US" w:bidi="ar-SA"/>
        </w:rPr>
        <w:t xml:space="preserve"> Burke J. found that it was not reasonable to expect the defendant to pre-vet thousands of visitors' comments for defamatory content and that the defendant did not therefore have the awareness of the words necessary to meet the test of deliberate publication: at paras. 273, 282. That reasoning applies all the more to a search engine that automatically trawls trillions of webpages in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Added to the sheer volume of material is the obvious difficulty of developing programming to detect and screen out defamatory words. It is apparent that a search engine could not simply be programmed to block every site containing, for example, the words "scam artist" or "steals" without blocking millions of pages of non-defamatory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Google programs its search algorithm so that it locates URLs likely to relate to a user's search query. It is not aware of the snippets and hyperlinks produced, nor can it be, realistically. In the words of Eady J. in </w:t>
      </w:r>
      <w:r>
        <w:rPr>
          <w:rFonts w:ascii="arial" w:eastAsia="arial" w:hAnsi="arial" w:cs="arial"/>
          <w:i/>
          <w:color w:val="000000"/>
          <w:sz w:val="20"/>
          <w:lang w:val="en-US" w:eastAsia="en-US" w:bidi="ar-SA"/>
        </w:rPr>
        <w:t>Metropolitan</w:t>
      </w:r>
      <w:r>
        <w:rPr>
          <w:rFonts w:ascii="arial" w:eastAsia="arial" w:hAnsi="arial" w:cs="arial"/>
          <w:color w:val="000000"/>
          <w:sz w:val="20"/>
          <w:lang w:val="en-US" w:eastAsia="en-US" w:bidi="ar-SA"/>
        </w:rPr>
        <w:t>, Google does not authorize the appearance of the snippets on the user's screen "in any meaningful sense" but "has merely, by the provision of its search service, played the role of a facilitator":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summary on this issue, I conclude that Google is a passive instrument and not a publisher of snippets. There is accordingly no issue for trial in relation to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emphasize that I have not been asked in this case to consider whether Google could be a publisher of snippets and search results after notice of defamatory content. In the present case, Mr. Niemela initially raised this issue in his notice of application but abandoned the argument when Google voluntarily blocked the URLs that produced the offending snippets. Accordingly, the issue does not arise on the facts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Injurious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elements of the tort of injurious falsehood are described in </w:t>
      </w:r>
      <w:r>
        <w:rPr>
          <w:rFonts w:ascii="arial" w:eastAsia="arial" w:hAnsi="arial" w:cs="arial"/>
          <w:i/>
          <w:color w:val="000000"/>
          <w:sz w:val="20"/>
          <w:lang w:val="en-US" w:eastAsia="en-US" w:bidi="ar-SA"/>
        </w:rPr>
        <w:t>Brown on Defamation</w:t>
      </w:r>
      <w:r>
        <w:rPr>
          <w:rFonts w:ascii="arial" w:eastAsia="arial" w:hAnsi="arial" w:cs="arial"/>
          <w:color w:val="000000"/>
          <w:sz w:val="20"/>
          <w:lang w:val="en-US" w:eastAsia="en-US" w:bidi="ar-SA"/>
        </w:rPr>
        <w:t>, vol. 9, ch 28 at 28-5 as:</w:t>
      </w:r>
      <w:r>
        <w:rPr>
          <w:rFonts w:ascii="arial" w:eastAsia="arial" w:hAnsi="arial" w:cs="arial"/>
          <w:sz w:val="20"/>
          <w:lang w:val="en-US" w:eastAsia="en-US" w:bidi="ar-SA"/>
        </w:rPr>
        <w:cr/>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statement disparaging the plaintiff's business, goods or property;</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published to a third person;</w:t>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maliciously and without just cause or excuse; and</w:t>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resulting in special damages in the form of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Publication is an essential element of this tort. I conclude that this cause of action has no prospect of succeeding at trial based on my finding that the production of hyperlinks and snippets in search results does not constitute publication by Google. I therefore dismiss the plaintiff's claim for injurious falsehood.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Google's Application to Strike Portions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Google has succeeded in its application for summary judgment, I need not consider its alternative application under Rule 9-5 to strike portions of the plaintiff's notice of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Plaintiff's Application to Amend his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have already addressed the plaintiff's application to amend his notice of civil claim to remove the pleading for slander. The balance of the proposed amendments alleges further acts of defamation by Google as a publisher of snippets and search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An application to amend a pleading should not be permitted where the proposed amendment fails to state a reasonable cause of action and would fall to be struck on application by the opposing party: </w:t>
      </w:r>
      <w:r>
        <w:rPr>
          <w:rFonts w:ascii="arial" w:eastAsia="arial" w:hAnsi="arial" w:cs="arial"/>
          <w:i/>
          <w:color w:val="000000"/>
          <w:sz w:val="20"/>
          <w:lang w:val="en-US" w:eastAsia="en-US" w:bidi="ar-SA"/>
        </w:rPr>
        <w:t>Virk v. Brar</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2011 BCSC 301</w:t>
        </w:r>
      </w:hyperlink>
      <w:r>
        <w:rPr>
          <w:rFonts w:ascii="arial" w:eastAsia="arial" w:hAnsi="arial" w:cs="arial"/>
          <w:color w:val="000000"/>
          <w:sz w:val="20"/>
          <w:lang w:val="en-US" w:eastAsia="en-US" w:bidi="ar-SA"/>
        </w:rPr>
        <w:t xml:space="preserv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Since I have concluded that Google is not in law a publisher by virtue of the passive instrument test, the allegations contained in those proposed amendments cannot succeed and the application should therefore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the unique circumstances of this case, and bearing in mind the novel form of publication raised on these applications, I conclude the parties should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FENLON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3" w:history="1">
        <w:r>
          <w:rPr>
            <w:rFonts w:ascii="arial" w:eastAsia="arial" w:hAnsi="arial" w:cs="arial"/>
            <w:b/>
            <w:bCs/>
            <w:i/>
            <w:color w:val="0077CC"/>
            <w:kern w:val="32"/>
            <w:sz w:val="28"/>
            <w:szCs w:val="32"/>
            <w:u w:val="single"/>
            <w:shd w:val="clear" w:color="auto" w:fill="FFFFFF"/>
            <w:lang w:val="en-US" w:eastAsia="en-US" w:bidi="ar-SA"/>
          </w:rPr>
          <w:t>Rossner v. Mross (c.o.b. Mross Imports), [2011] B.C.J. No. 1365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24-26 and April 19-21,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M090166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1365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958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1875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205 A.C.W.S. (3d) 266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Thomas Rossner, Plaintiff, and Hans Mross c.o.b.a. Mross Imports and Mross Import Service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8" w:name="Keywords_28"/>
      <w:bookmarkEnd w:id="188"/>
      <w:r>
        <w:rPr>
          <w:rFonts w:ascii="arial" w:eastAsia="arial" w:hAnsi="arial" w:cs="arial"/>
          <w:b/>
          <w:color w:val="000000"/>
          <w:sz w:val="20"/>
          <w:lang w:val="en-US" w:eastAsia="en-US" w:bidi="ar-SA"/>
        </w:rPr>
        <w:t>Contracts — Misrepresentation — What constitutes — Negligent misrepresentation — Action by plaintiff for breach of contract six years after he purchased a 30-year-old off road vehicle from the defendant allowed in part — Plaintiff used the vehicle for two-and-a-half years and then had the vehicle rebuilt by the defendant — Vehicle originally fit for plaintiff's purposes — Plaintiff reimbursed for labour on failed rebuilt engine and overcharges for work performed by defendant — Plaintiff owed unpaid invoices to defendant — Plaintiff to pay defendant $78,083 — Even if misrepresentation were established, court would not order rescission of contract as it was impossible to put the parties in their pre-contract positions.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Set-off — Counterclaim — Equitable remedies — Rescission — Action by plaintiff for breach of contract six years after he purchased a 30-year-old off road vehicle from the defendant allowed in part — Plaintiff used the vehicle for two-and-a-half years and then had the vehicle rebuilt by the defendant — Vehicle originally fit for plaintiff's purposes — Plaintiff reimbursed for labour on failed rebuilt engine and overcharges for work performed by defendant — Plaintiff owed unpaid invoices to defendant — Plaintiff to pay defendant $78,083 — Even if misrepresentation were established, court would not order rescission of contract as it was impossible to put the parties in their pre-contract positions.</w:t>
      </w:r>
    </w:p>
    <w:p>
      <w:pPr>
        <w:jc w:val="both"/>
        <w:rPr>
          <w:rFonts w:ascii="arial" w:eastAsia="arial" w:hAnsi="arial" w:cs="arial"/>
          <w:sz w:val="20"/>
          <w:lang w:val="en-US" w:eastAsia="en-US" w:bidi="ar-SA"/>
        </w:rPr>
      </w:pPr>
      <w:bookmarkStart w:id="189" w:name="Legislation Cited_21"/>
      <w:bookmarkEnd w:id="1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5"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Business Practices and Consumer Protection Act, RSBC 1996, CHAPTER 2,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3-7(6), Rule 3-7(7), Rule 3-7(12)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0" w:name="Counsel_28"/>
      <w:bookmarkEnd w:id="19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K.D. Wiebe.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D.L. Nundal.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1" w:name="Judgment_28"/>
      <w:bookmarkEnd w:id="191"/>
      <w:r>
        <w:pict>
          <v:line id="_x0000_s1167"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2" w:name="L.B. GEROW J."/>
            <w:bookmarkEnd w:id="192"/>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Thomas Rossner, purchased a 1975 Unimog tractor truck in July 2005. A Unimog is an off-road vehicle manufactured by Mercedes-Benz. Mr. Rossner alleges he purchased the vehicle from the defendants, Hans Mross and Mross Import Service Ltd. (the "Company") as a result of representations made by Mr. Mross about the condition of the vehicle and those representations were false. Mr. Rossner alleges that immediately after he purchased the Unimog, it broke down and required constant servicing, parts and repairs between 2005 and 2008. Mr. Rossner asserts that as a result of the false representations, the contracts for purchase and sale of the Unimog and its repairs should be voided from the beginning. Mr. Rossner is claiming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well as punitive and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Mross takes the position that he did not sell the Unimog to Mr. Rossner. Mr. Mross says that Mr. Rossner purchased the truck from an owner in the United States. Mr. Mross acted to import the vehicle into Canada for Mr. Rossner. Mr. Mross agrees he gave Mr. Rossner advice about the Unimog, and told him the vehicle would meet his needs, but says Mr. Rossner bought a 30-year old truck, drove it off-road for two and a half years and then decided to restore it. The defendants take the position that most of the repair costs Mr. Rossner is complaining about were incurred for the restoration, which included the installation of the rebuilt original engine. Many of the parts used had to be manufactured by the defendants because of the age of the truck. The defendants take the position that the vehicle performed adequately, and the costs of maintenance and the major refurbishment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Company counterclaims for the amount of $40,392.25 invoiced to Mr. Rossner for repairs to the Unimog that has not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or either of them, the vendors of the vehicle?</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Mross make false representations about the condition of the Unimog in 2005 inducing Mr. Rossner to purchase the vehicle? What is the effect of any false representations made?</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terms of the sale contract because the Unimog was not fit for its purpose, of merchantable quality or durable for a reasonable period of time?</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terms of the repair agreement entered into with Mr. Rossner for the repair and restoration of the Unimog by failing to complete the work properly, and overcharging for the repair and restoration work performed?</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Rossner breach the repair contract by failing to pay for the work performed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Were the defendants the vendors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Mross takes the position that Mr. Rossner bought the vehicle directly from an individual in the United States named George Jay. Mr. Rossner's evidence is that he never heard of or spoke to Mr. Jay, and that all of his dealings in connection with the purchase and sale of the Unimog were with Mr. Mross.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documents disclosed in this litigation support Mr. Rossner's version of the purchase and sale of the Unimog. The cheques for the purchase price were made out to Mr. Mross, not to the Company or to Mr. Jay. There was no written contract of purchase and sale, and the defendants did not produce any documents evidencing that the vehicle was owned by Mr. Jay at the time Mr. Rossner purchased it. Although Mr. Mross testified that he paid Mr. Jay the purchase monies, he has not produced any documentary evidence to support his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Based on a review of the evidence, I conclude that Mr. Mross was the vendor of the Unimog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Mr. Mross make false representations about the condition of the Unimog in 2005, inducing Mr. Rossner to purchase the vehicle. If so, what is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the following reasons, I have concluded that Mr. Rossner has not established that Mr. Mross made false representations, which induced him to enter into the contract for the purchase the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Rossner's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Rossner takes the position that he purchased the Unimog as a result of representations made by Mr. Mross that the vehicle fit his criteria for a work vehicle. Mr. Rossner's evidence is that he did not know much about Unimogs when he purchased the vehicle, and relied on Mr. Mross' assurances that the Unimog would meet the needs of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Rossner is in the business of installing telecommunications equipment in remote and rugged areas. He testified that he told Mr. Mross that he needed a vehicle that was reliable because he could not get stranded in remote areas with thousands of pounds of equipment and batteries.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Rossner alleges Mr. Mross made the following false representations inducing him to purchase the Unimog, which he relied on to his detriment:</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 would be fit for transporting heavy equipment to remote wooded mountain top areas, lifting and replacing batteries with the attached crane and removing heavy equipment from remote areas;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Mross had performed a compression test and the results were good;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 was reliable and safe;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 was in excellent mechanical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Rossner asserts that the Unimog required constant repair from the time he purchased it, and that it has not proven reliable. He argues that as a result of the false representations, the contracts for purchase and sale should be declared void from the beginning and all the monies for the purchase of the vehicle should be returned.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Mross agrees that he was aware of Mr. Rossner's requirements but says that Mr. Rossner chose to purchase a 30-year old vehicle. Mr. Mross' evidence is that he advised Mr. Rossner of the age of the vehicle, that the vehicle could be used for the work Mr. Rossner was doing, and that it was in good mechanical condition. The defendants take the position that the Unimog was in good condition when Mr. Rossner purchased it and that he did not make any false representations about it. The defendants point to the fact that Mr. Rossner used the vehicle for the off-road hauling of heavy equipment for his telecommunication business, that the Unimog ran for two and half years with little maintenance, and that the charges Mr. Rossner complains of arose after Mr. Rossner decided to refurbish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trial, Mr. Rossner argued that he was entitled to rescission of the contract on the basis that Mr. Mross made false representations about the Unimog which induced him to purchase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order to obtain rescission, Mr. Rossner must prove that there was a misrepresentation that was material or substantial or went to the root of the contract: </w:t>
      </w:r>
      <w:r>
        <w:rPr>
          <w:rFonts w:ascii="arial" w:eastAsia="arial" w:hAnsi="arial" w:cs="arial"/>
          <w:i/>
          <w:color w:val="000000"/>
          <w:sz w:val="20"/>
          <w:lang w:val="en-US" w:eastAsia="en-US" w:bidi="ar-SA"/>
        </w:rPr>
        <w:t>Guarantee Co. of North America v. Gordon Capital Corp.</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xml:space="preserve"> at paras. 39-44,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Whether a contract that is voidable may be rescinded depends on whether the plaintiff can be restored to his or her original position. This issue arises most often in cases where the contract has been performed, in whole or in part: </w:t>
      </w:r>
      <w:r>
        <w:rPr>
          <w:rFonts w:ascii="arial" w:eastAsia="arial" w:hAnsi="arial" w:cs="arial"/>
          <w:i/>
          <w:color w:val="000000"/>
          <w:sz w:val="20"/>
          <w:lang w:val="en-US" w:eastAsia="en-US" w:bidi="ar-SA"/>
        </w:rPr>
        <w:t>S-244 Holdings Ltd. v. Seymour Building Systems Ltd.</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(1994), 93 B.C.L.R. (2d) 34</w:t>
        </w:r>
      </w:hyperlink>
      <w:r>
        <w:rPr>
          <w:rFonts w:ascii="arial" w:eastAsia="arial" w:hAnsi="arial" w:cs="arial"/>
          <w:color w:val="000000"/>
          <w:sz w:val="20"/>
          <w:lang w:val="en-US" w:eastAsia="en-US" w:bidi="ar-SA"/>
        </w:rPr>
        <w:t xml:space="preserve"> (C.A.) at paras. 16-23. At para. 21, the Court adopted the following as a correct statement of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The Law of Contracts</w:t>
      </w:r>
      <w:r>
        <w:rPr>
          <w:rFonts w:ascii="arial" w:eastAsia="arial" w:hAnsi="arial" w:cs="arial"/>
          <w:color w:val="000000"/>
          <w:sz w:val="20"/>
          <w:lang w:val="en-US" w:eastAsia="en-US" w:bidi="ar-SA"/>
        </w:rPr>
        <w:t>, 3d ed. (Toronto: Canada Law Book, 1993), Waddams refers to the conflict between the approach followed by the old Court of Equity and the approach enunciated in many of the recent cases. He concludes, at p. 283: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explanation of the conflicting decided cases seems to be that execution is, in practice, taken into account as one factor only in deciding whether rescission should be denied. It is submitted that execution should be recognized as a relevant, but not a decisive, factor in determining whether, in all the circumstances, rescission should be denied because it might affect third parties or because of the plaintiff's undue delay in seeking his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right to rescind is lost if the plaintiff has affirmed the contract or if </w:t>
      </w:r>
      <w:r>
        <w:rPr>
          <w:rFonts w:ascii="arial" w:eastAsia="arial" w:hAnsi="arial" w:cs="arial"/>
          <w:i/>
          <w:color w:val="000000"/>
          <w:sz w:val="20"/>
          <w:lang w:val="en-US" w:eastAsia="en-US" w:bidi="ar-SA"/>
        </w:rPr>
        <w:t>restitution in integrum</w:t>
      </w:r>
      <w:r>
        <w:rPr>
          <w:rFonts w:ascii="arial" w:eastAsia="arial" w:hAnsi="arial" w:cs="arial"/>
          <w:color w:val="000000"/>
          <w:sz w:val="20"/>
          <w:lang w:val="en-US" w:eastAsia="en-US" w:bidi="ar-SA"/>
        </w:rPr>
        <w:t xml:space="preserve"> is no longer possible: See 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xml:space="preserve">, 5 ed. (Toronto: Thompson Canada, 2006) at pp. 813-814, 823 and </w:t>
      </w:r>
      <w:r>
        <w:rPr>
          <w:rFonts w:ascii="arial" w:eastAsia="arial" w:hAnsi="arial" w:cs="arial"/>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McLachlin J.A., as she then was, concluded that rescission may only be obtained for innocent (non-fraudulent) misrepresentation where the plaintiff establishes the following requirements: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positive misrepresentation must have been made by the defendant. (Where the defendant owes a fiduciary duty to the plaintiff, as it may be contended Chmilar did to the plaintiffs in this case, failure to disclose material facts may suffice.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have been of an existing fact.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have been made with the intention that the plaintiff should act on it.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have induced the plaintiff to enter into the contract.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have acted promptly after learning of the misrepresentation to disaffirm the contract. (B.C.S.C.).</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innocent third parties must have acquired rights for value with respect to the contract property.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possible to restore the parties substantially to their pre-contract position.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executed contract for the sale of an interest in land will not be rescinded unless fraud is shown.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last requirement (h) is not an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Regarding delay or laches, the following statements in </w:t>
      </w:r>
      <w:r>
        <w:rPr>
          <w:rFonts w:ascii="arial" w:eastAsia="arial" w:hAnsi="arial" w:cs="arial"/>
          <w:i/>
          <w:color w:val="000000"/>
          <w:sz w:val="20"/>
          <w:lang w:val="en-US" w:eastAsia="en-US" w:bidi="ar-SA"/>
        </w:rPr>
        <w:t>Zippy Print Enterprises Ltd. v. Pawliuk</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(1994), 100 B.C.L.R. (2d) 55</w:t>
        </w:r>
      </w:hyperlink>
      <w:r>
        <w:rPr>
          <w:rFonts w:ascii="arial" w:eastAsia="arial" w:hAnsi="arial" w:cs="arial"/>
          <w:color w:val="000000"/>
          <w:sz w:val="20"/>
          <w:lang w:val="en-US" w:eastAsia="en-US" w:bidi="ar-SA"/>
        </w:rPr>
        <w:t xml:space="preserve"> (C.A.) at paras. 50-51, are relevant to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none of the cases to which we were referred applied a defence of acquiescence, waiver, election, estoppel or laches to a claim for damages for negligent misrepresentation. It is hard to see how laches can ever apply to such a claim, but the concept of "waiving the tort" is a familiar one and there is no reason in theory why a claim based in tort for negligent misrepresentation could not be waived. Such a waiver would require clear evidence. Merely allowing a relationship with the tort-feasor to continue and to modify itself while the claim is continuing would not amount to waiver of the claim. What would be required is some unequivocal act tantamount to a release of the claim. I do not consider that there is any such act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Turning then to contract principles, it is important immediately to separate out those cases where the claim that was made on the basis of the misrepresentation was a claim for rescission. There the law is well understood and is to the effect that the agreement will not be rescinded if circumstances have changed to a point where the parties cannot reasonably be restored to the position they were in immediately before the contract came into effect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Lapse of time or undue delay by the innocent party once they are aware of their original right are bars to rescission. The length of the delay and nature of the acts done in the interim are relevant. In short, the innocent party must be diligent and not indolent: </w:t>
      </w:r>
      <w:r>
        <w:rPr>
          <w:rFonts w:ascii="arial" w:eastAsia="arial" w:hAnsi="arial" w:cs="arial"/>
          <w:i/>
          <w:color w:val="000000"/>
          <w:sz w:val="20"/>
          <w:lang w:val="en-US" w:eastAsia="en-US" w:bidi="ar-SA"/>
        </w:rPr>
        <w:t>M.(K.) v. M.(H.),</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at 77-79.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his pleadings, Mr. Rossner does not seek an order to have the contract set aside from the beginning. Rather, in his notice of civil claim, he claims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punitive and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Rule 3-7(6) provides a party must not plead an allegation of fact or a new ground or claim inconsistent with the party's previous pleading; although, Rule 3-7(7) permits a party to make an allegation in the alternative. In his notice of civil claim, Mr. Rossner claims damages for breach of contract, i.e. that a contract existed. Mr. Rossner did not plead that the contract was void from the beginning, either as an alternative claim or at all. As a result, any argument that the contract is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is inconsistent pleading alleging breach of an existing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Rossner could have pleaded that the contract is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subsequent to filing the notice of civil claim pursuant to Rule 3-7(12), but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any event, I am of the opinion Mr. Rossner has not established Mr. Mross made false representations about the condition of the Unimog that were material or substantial or went to the root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is that the repairs and maintenance done to the Unimog between 2005 and 2007 were of a relatively minor nature. Mr. Rossner alleges that the Unimog burnt too much oil, but he provided no evidence to support that statement. As well, he did not provide any evidence that Mr. Mross' statement regarding the compression of the vehicle at the time he purchased it was false. Mr. Rossner's decision to rebuild the Unimog in 2007, after owning and using the vehicle for two and a half years, does not support his evidence that the Unimog did not meet his needs from the beginning, or that the vehicle was not fit for the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Rossner's evidence that Mr. Mross told him a 30-year old truck would be maintenance free is not credible. Mr. Rossner's evidence is that prior to purchasing the Unimog, he had rented a Unimog to use for his work. He described the work he did with the Unimog as off-road work in rugged environments, hauling up to 5,000 lbs. of batteries and equipment to satellite sites which are often at the top of mountains. I accept Mr. Mross' evidence that he did not tell Mr. Rossner he would not have to maintain the Unimog or that a vehicle being used in that manner would not require maintenance and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Rossner's evidence is that he was shown a number of trucks, and that Mr. Mross advised him that the Unimog in issue was the best vehicle for his needs. Mr. Rossner's evidence is that he was made aware of the age of the vehicle, and noticed some rust on it. The photographs of the Unimog taken at the time of purchase depict a noticeably older used vehicle. Mr. Rossner was aware he was purchasing a 30-year old truck, not a brand new truck. The purchase price was a fraction of what a new Unimog would have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evidence is that the regulator failed on the first trip Mr. Rossner undertook with the Unimog to Kamloops, but Mr. Mross was able to ship an alternator and the repairs were effected quickly. Mr. Rossner did not present any evidence that the alternator problem should have been detected prior to it failing. There are no documents setting out the cost for the repair of the alternator.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regulator part was shipped up to Kamloops by Mr. Mross and Mr. Rossner was not charged for the part. Mr. Rossner apparently paid for the shipping and installation; however, an invoice was not produced showing the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majority of the invoices in 2005 are for the installation of a crane on the vehicle. Mr. Rossner was always aware he would have to pay for the installation of the crane, including any modifications to the Unimog that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one invoice for door seals, work not associated with the crane, in the amount of $450.00. Mr. Rossner's evidence is that was necessary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2006, Mr. Rossner's evidence is that he spent $5,802 on the Unimog. However, of that amount only $700 was for repairs and maintenance. The rest was for various items, including: $1,081 for a winch plate; $456 for fenders; and $3,616 for new tires. Mr. Rossner ordered the winch and has had no problems with it. Mr. Rossner's evidence was that he wanted new fenders, and has no recollection of Mr. Mross recommending he obtain new fenders. There is no evidence that Mr. Mross made any representations or warranties regarding the tires on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documentary evidence does not support Mr. Rossner's evidence that the Unimog required constant repair from the time he had purchased it. The invoices Mr. Rossner complains about are from 2007 and 2008, and arose as a result of his decision to rebuild the Unimog, including having extensive work done to the frame and body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a result, I find Mr. Rossner has not proven on a balance of probabilities that Mr. Mross made any false representations inducing him to enter into the contract for purchase and sale of the Unimog that would render the contract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or 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Even if Mr. Rossner was able to establish that Mr. Mross made false representations that were material or went to the root of the contract, this would not, in my view, be an appropriate case for rescission. In this case, Mr. Rossner seeks rescission of the contract six years after entering into the contract. During that time, Mr. Rossner had the defendants restore the Unimog after he had it in his possession for two and a half years and used it for work in rugged conditions. As a result, I conclude that it would not be possible to restore the parties to their pre-contract positions. Furthermore, because of Mr. Rossner's delay in seeking rescission and his conduct in deciding to have the defendants restore the Unimog, it is my view it would be inequitable if rescission of the contract of purchase and sale was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defendants breach the terms of the contract of purchase and sale because the Unimog was not fit for its purpose, of merchantable quality or durable for a reasonable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the same reasons, I conclude that Mr. Rossner has not established the defendants breached the terms of the contract of purchase and sale because the Unimog was not fit for its purpose, of merchantable quality or durable for a reasonable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set out earlier, the evidence is that the Unimog performed satisfactorily in 2005 and 2006. In 2007, Mr. Rossner decided to replace the engine with a rebuilt engine because he was of the view the original engine was burning too much oil. The rebuilt engine failed immediately after Mr. Rossner picked up the Unimog. A decision was made to rebuild the original engine and reinstall it in the vehicle. Around the same time, Mr. Rossner decided to rebuild the vehicle, starting with the frame. The repairs and bills Mr. Rossner complains of are for the extensive rebuild of the Unimog that was undertaken. Although Mr. Rossner suggests he did not approve all the work, it was apparent from his evidence that he was aware of and ordered the work that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Rossner asserts that there were deficiencies in the Unimog from the beginning that he did not expect. He points to the fact that the Unimog burnt an excessive amount of oil and had ongoing electrical problems. However, he has provided no documentary evidence to support those statements. There is evidence that Mr. Rossner modified the vehicle by installing a sound system, which impacted some of the wiring. Mr. Mross' uncontradicted evidence is that the oil consumption Mr. Rossner was reporting to him was within the acceptable limits set out in the Unimog manual. As set out earlier, the amount Mr. Rossner expended during the first two years of owning the Unimog for maintenance and repairs was fairly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Business practices and </w:t>
      </w:r>
      <w:r>
        <w:rPr>
          <w:rFonts w:ascii="arial" w:eastAsia="arial" w:hAnsi="arial" w:cs="arial"/>
          <w:b/>
          <w:i/>
          <w:color w:val="000000"/>
          <w:sz w:val="20"/>
          <w:u w:val="single"/>
          <w:lang w:val="en-US" w:eastAsia="en-US" w:bidi="ar-SA"/>
        </w:rPr>
        <w:t>Consumer Protection Act</w:t>
      </w:r>
      <w:r>
        <w:rPr>
          <w:rFonts w:ascii="arial" w:eastAsia="arial" w:hAnsi="arial" w:cs="arial"/>
          <w:b/>
          <w:color w:val="000000"/>
          <w:sz w:val="20"/>
          <w:u w:val="single"/>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 Rossner also asserts that the defendants are in breach of s. 8 of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R.S.B.C. 1996, c. 2</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BCPC Act").</w:t>
      </w:r>
      <w:r>
        <w:rPr>
          <w:rFonts w:ascii="arial" w:eastAsia="arial" w:hAnsi="arial" w:cs="arial"/>
          <w:color w:val="000000"/>
          <w:sz w:val="20"/>
          <w:lang w:val="en-US" w:eastAsia="en-US" w:bidi="ar-SA"/>
        </w:rPr>
        <w:t xml:space="preserve"> The portions of the </w:t>
      </w:r>
      <w:r>
        <w:rPr>
          <w:rFonts w:ascii="arial" w:eastAsia="arial" w:hAnsi="arial" w:cs="arial"/>
          <w:i/>
          <w:color w:val="000000"/>
          <w:sz w:val="20"/>
          <w:lang w:val="en-US" w:eastAsia="en-US" w:bidi="ar-SA"/>
        </w:rPr>
        <w:t>BCPC Act</w:t>
      </w:r>
      <w:r>
        <w:rPr>
          <w:rFonts w:ascii="arial" w:eastAsia="arial" w:hAnsi="arial" w:cs="arial"/>
          <w:color w:val="000000"/>
          <w:sz w:val="20"/>
          <w:lang w:val="en-US" w:eastAsia="en-US" w:bidi="ar-SA"/>
        </w:rPr>
        <w:t xml:space="preserve"> Mr. Rossner relies on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Unconscionable acts or practices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(1) An unconscionable act or practice by a supplier may occur before, during or after the consumer transaction.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an act or practice is unconscionable, a court must consider all of the surrounding circumstances of which the supplier knew or ought to have known.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(2), the circumstances that the court must consider include the following:</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subjected the consumer or guarantor to undue pressure to enter into the consumer transaction;</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supplier took advantage of the consumer or guarantor's inability or incapacity to reasonably protect his or her own interest because of the consumer or guarantor's physical or mental infirmity, ignorance, illiteracy, age or inability to understand the character, nature or language of the consumer transaction, or any other matter related to the transaction;</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at the time the consumer transaction was entered into, the total price grossly exceeded the total price at which similar subjects of similar consumer transactions were readily obtainable by similar consumers;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at the time the consumer transaction was entered into, there was no reasonable probability of full payment of the total price by the consumer;</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terms or conditions on, or subject to, which the consumer entered into the consumer transaction were so harsh or adverse to the consumer as to be inequitable;</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prescribed circumstance.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Prohibition and burden of proof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(1) A supplier must not commit or engage in an unconscionable act or practice in respect of a consumer transaction.</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alleged that a supplier committed or engaged in an unconscionable act or practice, the burden of proof that the unconscionable act or practice was not committed or engaged in is on the supplier.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Remedy for an unconscionable act or practice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(1) Subject to subsection (2), if an unconscionable act or practice occurred in respect of a consumer transaction, that consumer transaction is not binding on the consumer or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case, it is alleged that the defendants engaged in a deceptive act or practice when Mr. Mross made a representation at the time the Unimog was sold to Mr. Rossner that the Unimog was in good mechanical shape, when in fact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However, for the reasons set out above, I am of the opinion that the representations Mr. Mross made about the vehicle do not fall within the definition in s. 8 of the </w:t>
      </w:r>
      <w:r>
        <w:rPr>
          <w:rFonts w:ascii="arial" w:eastAsia="arial" w:hAnsi="arial" w:cs="arial"/>
          <w:i/>
          <w:color w:val="000000"/>
          <w:sz w:val="20"/>
          <w:lang w:val="en-US" w:eastAsia="en-US" w:bidi="ar-SA"/>
        </w:rPr>
        <w:t>BCPC Act</w:t>
      </w:r>
      <w:r>
        <w:rPr>
          <w:rFonts w:ascii="arial" w:eastAsia="arial" w:hAnsi="arial" w:cs="arial"/>
          <w:color w:val="000000"/>
          <w:sz w:val="20"/>
          <w:lang w:val="en-US" w:eastAsia="en-US" w:bidi="ar-SA"/>
        </w:rPr>
        <w:t>. The Unimog performed the work of hauling batteries over exceedingly rough terrain all over British Columbia for over two years. It can be inferred from the fact that after Mr. Rossner had used it for over two years he decided to rebuild the Unimog to a like-new condition, that the vehicle was meeting his needs and was fit for the purpose. The amounts Mr. Rossner expended for maintenance and repairs prior to the decision to refurbish the Unimog were reasonable given the type of work the vehicle was used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Accordingly, Mr. Rossner's claim under the </w:t>
      </w:r>
      <w:r>
        <w:rPr>
          <w:rFonts w:ascii="arial" w:eastAsia="arial" w:hAnsi="arial" w:cs="arial"/>
          <w:i/>
          <w:color w:val="000000"/>
          <w:sz w:val="20"/>
          <w:lang w:val="en-US" w:eastAsia="en-US" w:bidi="ar-SA"/>
        </w:rPr>
        <w:t>BCPC Act</w:t>
      </w:r>
      <w:r>
        <w:rPr>
          <w:rFonts w:ascii="arial" w:eastAsia="arial" w:hAnsi="arial" w:cs="arial"/>
          <w:color w:val="000000"/>
          <w:sz w:val="20"/>
          <w:lang w:val="en-US" w:eastAsia="en-US" w:bidi="ar-SA"/>
        </w:rPr>
        <w:t xml:space="preserve">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the contract for the repair and refurbishment of the Unimog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parties did not enter into a written contract for the refurbishment of the Unimog. Instead it appears there were a series of discussions at which work was agreed to. Mr. Rossner seeks to be reimbursed for all of the repair costs on the basis that he was taken advantage of. He argues that the oral contracts should be set aside on the basis that Mr. Mross made false representations and was in violation of the </w:t>
      </w:r>
      <w:r>
        <w:rPr>
          <w:rFonts w:ascii="arial" w:eastAsia="arial" w:hAnsi="arial" w:cs="arial"/>
          <w:i/>
          <w:color w:val="000000"/>
          <w:sz w:val="20"/>
          <w:lang w:val="en-US" w:eastAsia="en-US" w:bidi="ar-SA"/>
        </w:rPr>
        <w:t>BCPC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For the following reasons I conclude that the contracts for the repair and refurbishment of the Unimog should not be set aside. However, in my opinion, Mr. Rossner was overcharged for the work performed and is entitled to a set-off against the monies owed by him to the Company.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Rossner takes the position that the oral contracts for repair and refurbishment of the Unimog should be set aside because Mr. Mross exploited Mr. Rossner's ignorance throughout their relationship to extract inordinate amounts of money from him in regards to the repair of the Unimog.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Rossner complains about the quality and the cost of the work that was done by the defendants to rebuild the Unimog and to install a crane. Mr. Rossner complains that part way through the project, the defendants raised the labour rate to $85 per hour. Mr. Rossner says that the defendants did not obtain his consent to charge any higher rate than $75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Rossner relies on a report from Kenneth Newton, an expert in mechanical repair of trucks, who opines that the defendants overcharged for the work they did, and that the work was performed negligently. Mr. Rossner takes the position that the defendants overcharged approximately $37,156, not including taxes and interest, for the work, and that it will cost approximately $15,500 to repair the defective work performed by the defendants. Mr. Rossner says it is clear from Mr. Newton's report that he was charged tens of thousands of dollars in time beyond any reasonable industry standard and grossly exceeding what would be charged by a similar mechanic. Mr. Rossner asserts that not only did the defendants overcharge him, but he was charged for grossly negligent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take the position that the proper defendant to the action is the Company, as the Company was the party who contracted with Mr. Rossner to do the work to rebuild the Unimog. The defendants say that Mr. Rossner has not established that he was overbilled for the time expended on various aspects of the work, overcharged for parts, or misled or cheated.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assert that Mr. Rossner was informed about the project, and the costs of the parts and labour, and that he had no complaints regarding the work until the final bill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submit that the labour and parts were reasonable. They point to the fact that Mr. Newton has very little experience with Unimogs and his expertise in regards to the amount of labour required for the rebuild is limited. The defendants argue that Mr. Newton has failed to take into account the amount of extra labour required for manufacturing parts that are no longer available from the manufacturer because of the age of the vehicle. As well, the defendants do not agree with Mr. Newton's opinion in regards to various work that he identifies as sub-standard or negligently performed. The defendants submit that the work was done properly, and that Mr. Newton is holding the defendants to a standard of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conceded at trial that they were not entitled to any interest on the invoices as there was no express agreement regarding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documents indicate that Mr. Rossner contracted with the Company for the repair work. The invoices are from the Company and the cheques which have been produced by Mr. Rossner for the repairs, as opposed to the purchase of the Unimog, are made out to the Company. However, Mr. Rossner alleges that Mr. Mross made false representations about his qualifications, the requirement for repairs, and the parts and labour required for the repairs, as well as other wrongdoing; that Mr. Mross caused the Company to charge him inflated amounts for repairs that were undertaken, and for parts and labour that was not performed; and that Mr. Mross caused the Company to bill him for shipping costs for parts used in other customers' vehicles. Given the allegations of personal wrongdoing, I conclude Mr. Mross is a proper party. Mr. Mross has not provided any authorities that support a contrary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Mr. Rossner's evidence is that he was not looking for a project when he purchased the Unimog, that is what he turned it into. It is apparent from the evidence that Mr. Rossner is a Unimog enthusiast, and considered the 1975 Unimog he purchased to be a classic worth restoring.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After owning the Unimog for two years, Mr. Rossner was concerned about the amount of oil it was burning and decided to replace the engine with a rebuilt one. At the same time, he decided to rebuild the body of the vehicle from the frame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stated earlier, unfortunately the parties did not enter into a written contract defining the scope and cost of the work to be undertaken to refurbish the Unimog. As a result, the parties had a series of conversations regarding the work that should be undertaken but did not document their conversations. It is clear from the evidence that the work constituted an extensive rebuild of the Unimog and that Mr. Rossner's expectation was that the Unimog would be refurbished to a like-new condition. Mr. Mross understood that Mr. Rossner wanted the Company to restore the vehicle to a like-new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stated earlier, Mr. Rossner has not established that it was necessary to replace the engine. The defendants say that the original engine used oil, but was functional. They further assert that the oil consumption was within the acceptable range established by Mercedes-Benz for a Unimog of that age and make. It is apparent from his evidence that Mr. Rossner was concerned with oil consumption in the original engine, but he has not established that the oil consumption fell outside the expected range for the age and model of Unimog.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set out earlier, the rebuilt engine that was installed in the Unimog in 2007 failed immediately after Mr. Rossner picked up the vehicle. The Unimog was towed back to the Company's shop and the original engine was rebuilt and put back in the Unimog. Mr. Rossner complains that he was charged for the rebuilt engine, although Mr. Mross' evidence is that the amount was fully credited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From my review of the invoices, while the cost of the rebuilt engine was credited back to Mr. Rossner, it does not appear that he was credited for all the labour to install and remove the rebuilt engine that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well, Mr. Newton provides an analysis of the invoices in his report, and is of the view that Mr. Rossner was not credited for the labour costs. In my view, Mr. Rossner should have been credited not only for the cost of the rebuilt engine, but also for the labour costs associated with the installation and removal of the rebuilt engine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agree with Mr. Rossner that the way the invoices from the Company are set out is confusing. The labour is not associated with a particular task, and it is difficult to isolate the cost for labour of any particular work item on the larger invoices the Company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Newton opines that the invoices are not in the industry standard format. In particular, he states: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vehicle information number on the work orders;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noted mileage of the vehicle at the time of repair;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indication of when or why the vehicle was brought in for repair and/or released to the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Regarding (b), I note the evidence is that when Mr. Rossner purchased the Unimog, the mileage was 124,475 kilometres. The odometer stopped working at some point during the time Mr. Rossner owned the Unimog. The odometer shows 137,616 kilometres as of March 19,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Given the difficulty with the invoices, an analysis of how much labour the Company charged for the installation and removal of the rebuilt engine is difficult. This holds true for many of the items that Mr. Newton criticizes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clear from his evidence that Mr. Newton may not have been able to accurately assess the amount of work necessary to refurbish the Unimog, as he relied heavily on a flat rate manual prepared by Mercedes-Benz, and he was not able to inspect the vehicle until the repairs undertaken by the Company were completed. He has limited experience with repairing Unimogs, particularly a Unimog of this vintage. As well, he was under the misapprehension that some of the work he was critical of was undertaken by the defendants, when the evidence was they had not worked on that particular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Further, Mr. Newton is critical of the use of refurbished or used parts in the repair of the Unimog. However, Mr. Rossner was aware that used parts were being used for at least some of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Newton performed the following analysis of the Company's invoices compared to his assessment of the work and the Unimog flat rate book prepared by Mercedes-Benz. Mr. Newton used $75 an hour for comparison in his assessments based on his own calculations and the Unimog flat rate 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1882"/>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Mross Imports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Newton's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Unimog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work orders</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assessment</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Flat Rate Book</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673"/>
        <w:gridCol w:w="2614"/>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Misc.</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$36,202.39</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$36,202.39</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$36,202.39</w:t>
            </w:r>
          </w:p>
        </w:tc>
        <w:tc>
          <w:tcPr>
            <w:tcW w:w="317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$27,381.08</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$27,381.08</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$27,381.08</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1568"/>
        <w:gridCol w:w="2614"/>
        <w:gridCol w:w="156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Labour</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$50,647.50</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$14,775.00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568"/>
        <w:gridCol w:w="2510"/>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$114,230.97</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$79,953.57</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$78,439.47</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While Mr. Newton's analysis is helpful, I am of the view, based on my review of the invoices and the evidence, that a precise arithmetical calculation is impossible and an allowance must be made for the difficulties posed in refurbishing a 1975 vehicle to like-new condition. I note in his report, Mr. Newton agrees with some of the labour costs, but says others should be less without setting out the basis for his proposed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Having considered all of the evidence, I am of the opinion that a premium of approximately 50% should be added to the labour amount of $14,475 calculated by Mr. Newton as the appropriate amount for the work done. I agree the labour amount should be based on $75 an hour as the defendants have not established that they could unilaterally increase the hourly rate to be charged. The 50% premium takes into consideration the difficulties in having to machine or adapt parts that were not available or were custom. For example, the evidence is that Mr. Rossner wanted a larger roof on the Unimog which necessitated modifications and additional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have concluded that the defendants are entitled to the amount of $86,083 plus taxes for the work performed on the Unimog.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well, Mr. Rossner seeks damages to repair deficiencies in the work performed by the defendants as identified in Mr. Newton's report. Mr. Newton is of the opinion that the cost to effect the repairs to deficiencies he has identified is approximately $15,500, plus taxes. However, some of the deficiencies noted were not the result of the defendants' work, and others have not been established as deficiencies. There is no evidence that the defendants caused the odometer to stop working. As well, Mr. Mross testified that he did not work on the heater duct pipe, or some of the wiring complained of. The fact there is no seat belt would have been apparent to Mr. Rossner when he purchased the Unimog.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Mr. Newton identified the use of butt connectors as a deficiency that he included in the estimate to repair, he agreed that there were mechanics who used butt connectors and their use was accepted 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Newton also identified a lack of shield and no hand guard on the controls for the cranes as deficiencies in the defendants' work. Mr. Mross' evidence was that the crane did not come with a shield, and that Mr. Rossner requested that the hand guard be removed. Mr. Mross disagrees with Mr. Newton that the manner in which the crane was mounted constitutes a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However, it is apparent there were some deficiencies in the work done by the defendants. Mr. Newton did not provide a breakdown of the cost of repairing each item, but did provide general cost estimates to repair groups of the items he identified as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Having reviewed the report and the evidence, I am of the opinion that Mr. Rossner is entitled to the amount of $8,000 to fix substandard work performed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Finally, Mr. Rossner argues that the defendants were in violation of s. 8 of the </w:t>
      </w:r>
      <w:r>
        <w:rPr>
          <w:rFonts w:ascii="arial" w:eastAsia="arial" w:hAnsi="arial" w:cs="arial"/>
          <w:i/>
          <w:color w:val="000000"/>
          <w:sz w:val="20"/>
          <w:lang w:val="en-US" w:eastAsia="en-US" w:bidi="ar-SA"/>
        </w:rPr>
        <w:t>BCPC Act</w:t>
      </w:r>
      <w:r>
        <w:rPr>
          <w:rFonts w:ascii="arial" w:eastAsia="arial" w:hAnsi="arial" w:cs="arial"/>
          <w:color w:val="000000"/>
          <w:sz w:val="20"/>
          <w:lang w:val="en-US" w:eastAsia="en-US" w:bidi="ar-SA"/>
        </w:rPr>
        <w:t xml:space="preserve">. I am of the opinion that the representations Mr. Mross made about repairing the vehicle do not fall within the definition in s. 8 of the </w:t>
      </w:r>
      <w:r>
        <w:rPr>
          <w:rFonts w:ascii="arial" w:eastAsia="arial" w:hAnsi="arial" w:cs="arial"/>
          <w:i/>
          <w:color w:val="000000"/>
          <w:sz w:val="20"/>
          <w:lang w:val="en-US" w:eastAsia="en-US" w:bidi="ar-SA"/>
        </w:rPr>
        <w:t>BCPC Act</w:t>
      </w:r>
      <w:r>
        <w:rPr>
          <w:rFonts w:ascii="arial" w:eastAsia="arial" w:hAnsi="arial" w:cs="arial"/>
          <w:color w:val="000000"/>
          <w:sz w:val="20"/>
          <w:lang w:val="en-US" w:eastAsia="en-US" w:bidi="ar-SA"/>
        </w:rPr>
        <w:t>. As set out earlier, the evidence is that Mr. Rossner chose to refurbish the Unimog, not that he was pressured into it, or did not understand the transaction because of physical or mental infirmity, or that the cost grossly exceeded the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 for punitive and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Rossner seeks punitive and exemplary damages on the basis the defendants: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double billed for the same parts;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unilaterally charged higher rates than agreed 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billed Mr. Rossner for shipping costs for parts for other customers;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charged for unaccounted hours; 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intentionally withheld documents during the litigation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at p. 645, the Supreme Court of Canada discussed when an award of punitive damages is appropriate:</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are very much the exception rather than the rule, (2) imposed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if there has been high-handed, malicious, arbitrary or highly reprehensible misconduct that departs to a marked degree from ordinary standards of decent behaviour. (3) Where they are awarded, punitive damages should be assessed in an amount reasonably proportionate to such factors as the harm caused, the degree of the misconduct, the relative vulnerability of the plaintiff and any advantage or profit gained by the defendant, (4) having regard to any other fines or penalties suffered by the defendant for the misconduct in question. (5) Punitive damages are generally given only where the misconduct would otherwise be unpunished or where other penalties are or are likely to be inadequate to achieve the objectives of retribution, deterrence and denunciation. (6) Their purpose is not to compensate the plaintiff, but (7) to give a defendant his or her just desert (retribution), to deter the defendant and others from similar misconduct in the future (deterrence), and to mark the community's collective condemnation (denunciation) of what has happened. (8) Punitive damages are awarded only where compensatory damages, which to some extent are punitive, are insufficient to accomplish these objectives, and (9) they are given in an amount that is no greater than necessary to rationally accomplish their purpose. (10) While normally the state would be the recipient of any fine or penalty for misconduct, the plaintiff will keep punitive damages as a "windfall" in addition to compensatory damages. (11) Judges and juries in our system have usually found that moderate awards of punitive damages, which inevitably carry a stigma in the broader community, are generally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Court went on to note at para. 95 that what is essential in determining whether an award of punitive damages should be made, are the particular circumstances of the case, the fact that the remedy is exceptional, and fairness to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opinion, Mr. Rossner has not established that the defendants' conduct is such that an award of punitive damages is appropriate. Mr. Rossner bases his argument for punitive damages on the fact that the defendants have carried on business in an unscrupulous fashion. However, the evidence does not support that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Rather the evidence is that because the parties did not enter into a written contract, there was no agreement between them as to the scope and cost of the work that Mr. Rossner wanted the defendants to undertake on the vehicle. The fact that the defendants spent more time installing the parts and doing the body work than the Unimog Flat Rate Book sets out, particularly in light of the need to machine or adapt parts that were not available or were custom, does not in my view justify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Rossner did not establish that the defendants double billed him intentionally. There was an issue as to whether he had paid for a couple of parts twice, but the evidence was not clear as to whether there was more than one component for that particular part of the Unimog. As stated earlier, Mr. Newton has limited experience with Unimogs and is not familiar with all of the components making up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Rossner alleges he was billed for $215 in custom brokerage fees for parts for other customers. However, Mr. Mross' evidence, which I accept, is that he did not knowingly charge Mr. Rossner for any shipping fees for other customers'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Having considered the circumstances, it is my opinion that Mr. Rossner has not established the defendants' conduct in the manner in which they performed the work amounts to highhanded, malicious, arbitrary or highly reprehensible misconduct that departs from ordinary standards of decent behaviour. As a result, it is my view this is an inappropriate case in which to make an award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Mr. Rossner breached the repair contract by failing to pay for the work performed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Rossner sought an order dismissing the Company's claim for unpaid invoices on the basis there was no evidence adduced regarding the amount owing. However, the invoices in evidence show the outstanding balances. Mr. Rossner conceded that he had not paid invoices totalling $40,392.26 in a summary he presented and relied on at the trial. It is unclear whether that amount includes interest. Any amounts of interest should be deducted to determine the amount owing for the work performed by the Company. As stated earlier, the defendants abandoned the claim for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my understanding that the invoices were considered by Mr. Newton and are included in the amount set in his summary of invoices, referred to in paragraph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Mr. Rossner's action for breach of contract, negligent misrepresentations, and under the </w:t>
      </w:r>
      <w:r>
        <w:rPr>
          <w:rFonts w:ascii="arial" w:eastAsia="arial" w:hAnsi="arial" w:cs="arial"/>
          <w:i/>
          <w:color w:val="000000"/>
          <w:sz w:val="20"/>
          <w:lang w:val="en-US" w:eastAsia="en-US" w:bidi="ar-SA"/>
        </w:rPr>
        <w:t>BCPC Act</w:t>
      </w:r>
      <w:r>
        <w:rPr>
          <w:rFonts w:ascii="arial" w:eastAsia="arial" w:hAnsi="arial" w:cs="arial"/>
          <w:color w:val="000000"/>
          <w:sz w:val="20"/>
          <w:lang w:val="en-US" w:eastAsia="en-US" w:bidi="ar-SA"/>
        </w:rPr>
        <w:t xml:space="preserve"> in respect of the purchase and sale of the Unimog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well, Mr. Rossner's action to set aside the contracts for the repair and refurbishment of the Unimog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However, Mr. Rossner has established that he was overcharged for the work performed. He is entitled to a set-off against the monies owing by him to the Company in the amount of $28,148.97 (difference between the amounts on the invoices of $114,230 - $86,083 - Mr. Newton's calculations + 50% contingency for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are entitled to be paid the amount of the outstanding invoices which have a gross amount of $40,392. Interest charges will be deducted from that amount because no interest is payable. The total amount to be paid for the work invoiced by the defendants is $86,083 plus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Finally, Mr. Rossner is entitled to a set-off to correct substandard work performed by the defendants in the amount of $8,000 to be deducted from the $86,083.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Accordingly, I have concluded that the total amount to be paid by Mr. Rossner to the Company for the repairs is $78,083 plus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has come to my attention that Exhibit A was not marked as a numbered exhibit and should have been. Exhibit A will become Exhibit 7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Rossner sought special costs on the basis that the defendants did not produce their documents or answer outstanding information requests to examination for discoveries satisfactorily. However, many of the documents requested were not relevant to the issues and overreaching. For example, Mr. Rossner sought diplomas and syllabuses of courses Mr. Mross had taken as well as his passport, to determine whether he had attended Mercedes-Benz courses when he said he did, the Company bank accounts, information about other vehicles and other repair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Given the divided success, it is my opinion that each party should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Ryan v. Lawson, [2019] B.C.J. No. 1562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Jackson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11-15,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M160594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1562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1389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Francis Ryan, Plaintiff, and James Victor Bryer Lawson,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3" w:name="Keywords_29"/>
      <w:bookmarkEnd w:id="193"/>
      <w:r>
        <w:rPr>
          <w:rFonts w:ascii="arial" w:eastAsia="arial" w:hAnsi="arial" w:cs="arial"/>
          <w:b/>
          <w:color w:val="000000"/>
          <w:sz w:val="20"/>
          <w:lang w:val="en-US" w:eastAsia="en-US" w:bidi="ar-SA"/>
        </w:rPr>
        <w:t>Damages — Physical and psychological injuries — Physical injuries — Body injuries — Back and spine — Neck — Fibromyalgia or chronic pain — Action by 48-year-old plaintiff for damages for personal injuries suffered in motor vehicle accident in 2014 allowed in part — Liability was admitted for rear-end collision — Plaintiff's neck pain resolved within six months — He continued to experience lower back and hip pain at trial — His business income as swim coach increased post-accident — It was not established plaintiff suffered from clinical depression or concussion — Plaintiff was awarded non-pecuniary damages of $86,000, costs of future care of $500 and special damages of $1,334 — His claims for past and future loss of earning capacity were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Special damages — Expenses and expenditures — Therapy or rehabilitation — Non-pecuniary loss — Action by 48-year-old plaintiff for damages for personal injuries suffered in motor vehicle accident in 2014 allowed in part — Liability was admitted for rear-end collision — Plaintiff's neck pain resolved within six months — He continued to experience lower back and hip pain at trial — His business income as swim coach increased post-accident — It was not established plaintiff suffered from clinical depression or concussion — Plaintiff was awarded non-pecuniary damages of $86,000, costs of future care of $500 and special damages of $1,334 — His claims for past and future loss of earning capacity were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4" w:name="Case Summary_26"/>
            <w:bookmarkEnd w:id="1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48-year-old plaintiff for damages for personal injuries suffered in a motor vehicle accident in 2014. Liability was admitted for the rear-end collision. The plaintiff did not seek medical care for his symptoms until more than two months after the accident. He attended physiotherapy in 2016. His neck pain resolved within six months. He continued to experience lower back and hip pain at trial. The plaintiff was a swim coach and operated an aquatic program business. His business income increased after the accident. He reduced his recreational swimming and stopped skiing after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5" w:name="Holdings of Court_22"/>
            <w:bookmarkEnd w:id="19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plaintiff's mood was altered as a result of the accident, it was not established he suffered from clinical depression or a concussion. The accident triggered the plaintiff's pre-existing degenerative spine condition. It was more likely than not that the plaintiff's lower back pain would continue. The plaintiff was awarded non-pecuniary damages of $86,000. The plaintiff had not failed to mitigate his damages by his delay in starting physiotherapy. The plaintiff had not established he reduced the number of hours he taught after the accident or that he turned clients away because of his condition following the accident. The plaintiff's injuries had not rendered him less capable of earning income. His claims for past and future loss of earning capacity were dismissed. It was unlikely the plaintiff would return to physiotherapy or engage in psychological counselling. His total cost of future care was fixed at $500. No additional award was made for loss of housekeeping capacity as that aspect of the plaintiff's loss was factored into the award for non-pecuniary damages. The plaintiff's special damages for physiotherapy expenses and the deductible for his vehicle repair were fixed at $1,334.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6" w:name="Legislation Cited_22"/>
      <w:bookmarkEnd w:id="1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0"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7" w:name="Counsel_29"/>
      <w:bookmarkEnd w:id="19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Jeff M. Naylor, Kelly Carol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Milos Jeftic, Masa Jeftic.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8" w:name="Judgment_29"/>
      <w:bookmarkEnd w:id="198"/>
      <w:r>
        <w:pict>
          <v:line id="_x0000_s1172"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POST-ACCIDENT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Injuries and Impact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Expert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EMPLOYMENT AND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Pre-Accident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Future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DID THE PLAINTIFF FAIL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9" w:name="JACKSON J."/>
            <w:bookmarkEnd w:id="199"/>
            <w:r>
              <w:rPr>
                <w:rFonts w:ascii="arial" w:eastAsia="arial" w:hAnsi="arial" w:cs="arial"/>
                <w:b/>
                <w:color w:val="000000"/>
                <w:sz w:val="30"/>
                <w:lang w:val="en-US" w:eastAsia="en-US" w:bidi="ar-SA"/>
              </w:rPr>
              <w:t>JACKSON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afternoon of November 25, 2014, John Ryan (the "Plaintiff") was driving his vehicle in downtown Vancouver when he was rear-ended by another vehicle (the "Accident") driven by James Lawson (the "Defendant"). The force of the impact moved the Plaintiff's vehicle forward approximately five to ten feet. Fortunately, the Plaintiff's vehicle did not collide with the vehicle in front of him and he was wearing his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Accident was admitted by the Defendant. The only issues for determination are the heads of damages that are properly recoverable and in what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44 years old at the time of the Accident and 48 years old at the time of trial. Both the Plaintiff and his wife, Doreen Schieweck, testified at the trial. The couple met in Dublin, Ireland in 2001, moved to Vancouver in January 2006, and were married in May 2007. They have two children, their daughter born in 2012, and their son born just six days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Before immigrating to Canada, the Plaintiff obtained a sports recreation management certificate in Ireland. The Plaintiff is a former competitive swimmer and he has been employed at the Hollyburn Country Club ("Hollyburn") as a masters level swim coach, lifeguard, and adult swim instructor for several years. Over the years he has been paid an hourly rate ranging between $18 and $45 per hour, depending on the type of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addition to his employment with Hollyburn, the Plaintiff started a business offering an aquatic program through the Terminal City Club in Vancouver (the "TCC") in 2008 (the "Aquatic Business"). The Aquatic Business is operated as a partnership with the Plaintiff serving as the Aquatics Coordinator and providing private and group lessons for children and Ms. Schieweck assisting with the business' administration. In that role, Ms. Schieweck is responsible for scheduling the various lessons, sending invoices for services to TCC, liaising with the TCC manager, paying the sub-contractors who teach some group and private lessons, marketing the lessons through the website and direct emails, and dealing with the tax related matters on behalf of the Aquatic Business. Ms. Schieweck has had more time to dedicate to the Aquatic Business since she stopped working outside the home in May of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the Accident, the Plaintiff had no pain, injuries or physical concerns. He was a physically active and robust individual, and was able to lift heavy things and perform other physically demanding tasks. Prior to the Accident, the Plaintiff enjoyed swimming as his primary hobby. He often swam three to four days a week for at least an hour at each session. The Plaintiff was also an enthusiastic skier. Every year he purchased an Edge pass which allowed him to ski approximately ten days a year in Whistler. This resulted in one annual trip and several weekend trips to Whistler in which the Plaintiff would be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Because their family remained in Ireland, the couple travelled back to Ireland every year, which is approximately a 19 hour trip. In Ireland, the Plaintiff often undertook long car rides to visit with family in various parts of the country. The Plaintiff and his family would go on annual holidays in Kelowna, in which the Plaintiff would be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Ms. Schieweck was responsible for majority of the family's housekeeping responsibilities, the Plaintiff was responsible for handyman work and also helped with laundry, vacuuming, and taking out the garbage. Over the course of the couple's marriage, they moved several times, during which time the Plaintiff was able to move heavy pieces of furniture.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Prior to the Accident, the Plaintiff had no back or neck pain and did not experience headaches. He enjoyed walking and spending time with his young daughter, which included physical horseplay such as rolling around on the floor. Ms. Schieweck described the Plaintiff as very social, nice, relaxed, funny, and easy-going. His physical condition before the Accident allowed him to undertake all of these activities and enjoy his recreational and family life without any pain or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POST-ACCIDENT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Injuries and Impact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Immediately following the Accident, the Plaintiff experienced pain on the right side of his neck as well as pain in his lower left back and the left side of his hip. Shortly afterwards he also experienced a headache at the base of his skull ranging from the back of his head to the crown and along sides of his head to above his ears. No ambulance was called, and the Plaintiff did not seek medical care either from his doctor or at a walk-in clinic. Throughout the day of the Accident, he took over-the-counter pain relief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Four days after the Accident, while the Plaintiff was at the TCC, he mentioned the Accident to a member of the TCC, Dr. Bhola-Reebye, whose children were the Plaintiff's clients. He described his injuries to her and Dr. Bhola-Reebye examined the Plaintiff in the massage room at the TCC. Dr. Bhola-Reebye referred the Plaintiff to her husband, Dr. Reebye. Dr. Bhola-Reebye did not provide evidence at the trial, but Dr. Reebye was called as a witness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did not seek medical care from his family doctor, Dr. Baird, for his symptoms arising from the Accident until more than two months after the Accident. Between April 2016 and November 2018, the Plaintiff also did not seek medical care related to the Accident from Dr. Baird. However, between February 2016 and February 2017, the Plaintiff attended more than 20 physiotherapy treatments. While the treatments provided some relief for the Plaintiff's pain, the relief was temporary, so he discontinued treatment. He has continued to do self-directed swimming, aquatic therapies and stretching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continues to experience headaches, but with less frequency and severity. Although his neck pain was initially severe and relatively constant, it resolved within approximately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continues to experience pain in his lower left back and hip. He feels the need to stretch and adjust his physical position more frequently than he did before the Accident and has difficulty sitting still without frequently adjusting his position. Ms. Schieweck sometimes assists by applying pressure to the painful areas or massaging his mid-lower back and glute muscles. The Plaintiff's back and hip pain can become aggravated if he is on his feet for extended periods of time. The Plaintiff takes over-the-counter pain medication and uses a topical cream for relief from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Since the Accident, the Plaintiff's ability to engage in certain physical activity has decreased due to pain and as a result, he is no longer able to pursue some of his previous lifestyle pursuits, either at all or without experiencing pain. For example, travelling by airplane, driving for extended periods of time, and swimming all cause him increased pain. He has reduced his level of recreational swimming because it triggers his back and hip pain. In December 2014, the Plaintiff tried to return to skiing, but was unable to physically manage the activity. Because his amount of physical activity has decreased, he has gained approximately ten pounds. His pain also makes it difficult for him to sleep and it takes him longer to perform certain housekeeping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Accident has also impacted the Plaintiff's family life. For the first few years after the Accident, he was unable to carry and play with his newborn son in the same way he did with his daughter when she was an infant. In the years subsequent, the Plaintiff's lower back and hip pain have meant a decreased ability to engage physically with his son, including carrying and playing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to the physical impact of the Accident, the Plaintiff's pain left him more irritable, negative, and short tempered in the six months after the Accident. In the longer term, his pain has led to personality changes, with the Plaintiff being more pushy and quick to become frustrated or irritable with this children, although to a lesser degree than in the first six months after the Accident. As a result of these behavioral changes, the Plaintiff and Ms. Schieweck argue more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Schieweck's evidence regarding her observations of the Plaintiff since the Accident was supportive of the Plaintiff's evidence, although she disagreed somewhat with his description of how much helped household chores, either before or after the Accident. Her evidence, which I accept, was that the Plaintiff's housekeeping contributions were not as significant as he had perceived them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Expert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relied on two expert medical opinions: one from the Plaintiff's family physician of eight years, Dr. Lawson Baird dated November 7, 2018, and one from Dr. Rajv Reebye, a specialist in physical medicine and rehabilitation, dated August 21,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Baird saw the Plaintiff six times related to the Accident between February 2015 and August 2017. In his report, Dr. Baird diagnosed the Plaintiff with fiber tear/spring injuries of soft tissue, primarily affecting the Plaintiff's lower left lumbar region and uppermost left gluteal region, as well as through areas of the Plaintiff's rear cervical (neck) muscle, primarily on the right side, with involvement of the adjacent trapezius muscle region. Dr. Baird also diagnosed the Plaintiff with cervicogenic headaches related to the Plaintiff's neck injury, interrupted and disordered sleep, increased daytime fatigue, as well as mild-moderate clinical depression, primarily caused by the Plaintiff's chronic pain, disrupted sleep. He also noted the impact of the Accident on the Plaintiff's enjoyment of life and overall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Dr. Baird's opinion, the Accident caused trauma related to mechanical damage and aggravation of what he felt was likely a previously unrecognized degenerative change in the Plaintiff's lowermost lumbar spine. Dr. Baird's opinion is that the Plaintiff's lower back had been aged by 10 or 20 years as a result of the Accident. However, while Dr. Baird is of the opinion there is potential that the Plaintiff's symptoms will eventually worsen over time, he described that potential as "unpredictable". In Dr. Baird's experience, maximum recovery from a motor vehicle accident trauma is likely to be achieved after 18 to 24 months, and he opined that the Plaintiff's condition had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Dr. Baird's view, if the Plaintiff's condition progresses, he may need medication such as Lyrica or an opioid analgesic, as well as anti-inflammatories plus plain Tylenol and maybe even muscle relaxants. He noted "it could become unavoidable that [the Plaintiff] will need to get surgery some years down the road", and he pegged that likelihood as a "50:50 proposition". However, this was predicated on an unquantified potential of a progression in the Plaintiff's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Reebye saw the Plaintiff on one occasion, approximately two and a half years after the Accident. In Dr. Reebye's report, he noted that upon examination, the Plaintiff had pain in his lower lumbar and sacral regions of his back. Dr. Reebye opined that as a result of the Accident, the Plaintiff suffered soft tissue injuries, and resultant myofascial pain symptoms to his low back muscles and paraspinal muscle regions. He also noted that the Accident triggered pain symptoms from a previously asymptomatic pre-Accident spondylolysis (a crack or stress fracture in a thin portion of the vertebra) and neural foraminal canal narrowing and likely aggravated a pre-existing nerve root compression in the Plaintiff's lumbar region. It was Dr. Reebye's opinion that the Plaintiff likely would not have had pain symptoms associated with the spondylolysis or the neural foraminal canal narrowing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Reebye opined that the Plaintiff "will likely continue to have daily pain patterns in his lower back region", and that as the Plaintiff ages, his lower back pain may increase with increased physically demanding tasks at home and work. Dr. Reebye recommended daily walking, stretching, water-based activities, and prescribed a topical pain relief cream. Dr. Reebye also opined that a nerve root block might assist in pain relief of the Plaintiff's symptoms. Dr. Reebye referred the Plaintiff for a consultation regarding lower back surgery for his spondylolysis, but the Plaintiff wanted to pursue more conservative management, a decision with which Dr. Reebye agreed. Dr. Reebye also felt the Plaintiff could benefit from a low dose of Lyrica for lower back pain management and the services of a psychologist if his mood worsened. However, as at the time of trial, the Plaintiff has not seen the need for any nerve root block treatment, nor had he taken any Lyrica or pursued psychological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relied on the expert opinion of Dr. John O'Sullivan, an orthopedic surgeon. Dr. O'Sullivan agrees with both Dr. Baird and Dr. Reebye that the Plaintiff has left side lower back pain, and concluded that it is more likely than not it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EMPLOYMENT AND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mentioned, prior to the Accident, the Plaintiff was employed at Hollyburn and also running the Aquatic Business. He continued with both those positions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Aquatic Business receives 75% of the fees set and charged by the TCC with the TCC retaining the remaining 25%. The fee for a 40 minute group lesson is $25 per child with between five and eight children per class. Private lessons were charged at a rate of $70 per hour until the end of 2018 when the price increased to $75 per hour in 2019. For both time periods, a discount was offered with the purchase of a bundled package of lessons. The Aquatic Business also utilizes sub-contractors. Under this arrangement, TCC charges the same fee, and the Aquatic Business receives and the same percentage of that fee and pays the sub-contractor $30 per hour. Therefore, even when the Plaintiff engages a subcontractor, he earns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Prior to the Accident, the Plaintiff's immediate career plan was to grow his Aquatic Business. His long-term career plan was to become a manager in aquatics or a similar position within the sports recreation industry, although he recognized there are limited opportunities within that field.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Teaching swimming to children is physically demanding work that involves a lot of lifting. While the Plaintiff continues to be able to do all the tasks necessary to provide swim instruction and perform his masters coaching work, he tires more easily and experiences pain after conducting group classes in a row, which did not occur before the Accident. The Plaintiff estimated he has missed between two and four hours per week of work as a result of his symptoms from the Accident. Ms. Schieweck confirmed the Plaintiff missed work at various times for various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Schieweck testified that since she stopped working outside the home in May 2017, she has had more time to devote to developing the TCC business, which resulted in an increased demand for lessons at TCC. However, she also testified the Plaintiff has had to turn clients away because he did not have the physical capacity to take on more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Despite the Plaintiff's ongoing pain symptoms, his income increased in the first year after the Accident, which he attributes to the increased popularity of the Aquatic Business and an increased reliance on subcontractors. In the years following, his income has continued to increase. The number of sub-contractors engaged by Aquatic Business increased from one in 2015 to two in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the Plaintiff's evidence is that he could have added between two to four more hours of private lessons on Wednesdays and Fridays each week, but has been unable to do so because of his symptoms arising from the Accident. He testified that the physical impact of his long days on Tuesdays and Thursdays renders him able to only offer three to four hours of lessons, and do some administrative work on Wednesdays and Fridays.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Baird's opinion that the Plaintiff has suffered a significant degree of disability and impairment as a result of the Accident is based on the conclusion that the Plaintiff was "significantly less capable of doing many of the required tasks in his line of work." However, in my view, that finding is inconsistent with the evidence led at trial, which was that the Plaintiff continues to be able to complete all of the duties and responsibilities of his various employment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report, Dr. Reebye opined that the Plaintiff had been rendered less capable of earning from all types of physically demanding employment, and that he "has not been able to work to his pre-Accident earning capacity" as a result of his injuries. However, similar to Dr. Baird, in my view, those aspects of Dr. Reebye's opinion are inconsistent with the evidence before me related to the Plaintiff's post-Accident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factors to be considered when assessing credibility are summarized by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717"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[1952] 2 D.L.R. 152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concedes the Plaintiff's evidence was credible. I find both the Plaintiff and Ms. Schieweck to be credible witnesses. Their memories of the events and facts were firm, but not unreasonably so; their evidence harmonizes with each other's evidence, the medical evidence and the documentary evidence; their evidence under cross-examination did not depart in any material way from their direct evidence; their testimony was plausible and reasonable and they candidly admitted that some of the Plaintiff's injuries sustained in the Accident had resolved; and their demeanor was at all times calm, direct, and straightforward.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challenges the reliability of the expert medical reports of Dr. Baird and Dr. Reebye on three bases. First, the Defendant notes that some of the assumed facts set out in the Plaintiff counsel's instruction letter had been copied and pasted into Dr. Baird's clinical notes. Second, several of the assumed facts set out in the Plaintiff counsel's instruction letter had been relied on by Dr. Reebye in preparing his report, but those facts had not been confirmed with the Plaintiff until several months after the report had been completed. Finally, the Defendant alleges both doctors based their opinions on assumed facts provided to them by Plaintiff's counsel, which the Plaintiff did not 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view, while the process followed by both doctors may not have been ideal, I am not satisfied the reliability of their conclusions regarding the Plaintiff's injuries and their cause was in any way affected. Likewise, while both doctors relied on certain minor facts which were not established by the Plaintiff, I am not satisfied their conclusions regarding the Plaintiff's injuries, and their cause, would have been different in the absence of those assumed facts. However, I agree with the Defendant that insofar as their reports set out facts which the Plaintiff did not adopt, the reports do not serve to establish those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noted by the Defendant,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The Plaintiff must prove on a balance of probabilities that the Defendant's negligent act or omission was a, not the sole, cause of the injury and loss: </w:t>
      </w:r>
      <w:r>
        <w:rPr>
          <w:rFonts w:ascii="arial" w:eastAsia="arial" w:hAnsi="arial" w:cs="arial"/>
          <w:i/>
          <w:color w:val="000000"/>
          <w:sz w:val="20"/>
          <w:lang w:val="en-US" w:eastAsia="en-US" w:bidi="ar-SA"/>
        </w:rPr>
        <w:t>Dale v. Vickers</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2019 BCSC 821</w:t>
        </w:r>
      </w:hyperlink>
      <w:r>
        <w:rPr>
          <w:rFonts w:ascii="arial" w:eastAsia="arial" w:hAnsi="arial" w:cs="arial"/>
          <w:color w:val="000000"/>
          <w:sz w:val="20"/>
          <w:lang w:val="en-US" w:eastAsia="en-US" w:bidi="ar-SA"/>
        </w:rPr>
        <w:t xml:space="preserve"> at para. 134 citing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concedes that "the [A]ccident was one of the contributing causes of the [P]laintiff's ongoing lower lumbar complaints" and in fact, with a few exceptions, does not challenge the nature of the injuries sustained by the Plaintiff in the Accident. While the Defendant concedes that the Plaintiff may have suffered some mood disruptions and irritability following the Accident, the Defendant submits that these symptoms were also affected by the birth of the Plaintiff's son and the ill health and eventual passing of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only medical evidence in support of the Plaintiff's depression is Dr. Baird's diagnosis of mild-to-moderate clinical depression. However, as noted by the Defendant, Dr. Baird acknowledged his clinical notes did not include any notations regarding true depressive symptoms. In addition, no standardized testing for depression was administered to the Plaintiff, and no referral for any type of counselling or other psychological treatment was recommended, which one would have expected had the Plaintiff's depressive symptoms approached a level significantly concerned Dr. Baird. While I am satisfied that the Plaintiff's mood was altered as a result of the Accident and corresponding injuries, I am not satisfied on a balance of probabilities that the Accident has caused clinical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also challenged Dr. Baird's conclusion that the Plaintiff suffered a concussion from the Accident. The report Dr. Baird relied on of the Plaintiff's condition immediately after the Accident differed from the description noted by another physician, Dr. Bhola-Reebye who examined the Plaintiff three days after the Accident. In my view, the evidence to support Dr. Baird's conclusion of a concussion is scant, and wholly dependent on the Plaintiff's subjective reporting of his symptoms. The Plaintiff's evidence was different at trial, as he did not describe the same feeling of disorientation after the Accident, and therefore, in my view, there is insufficient evidence to establish on a balance of probabilities that the Plaintiff suffered a concussion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Finally, the Defendant acknowledges the Accident caused the Plaintiff to suffer lower back pain, but argues that this symptom substantially improved by mid-2016 and will continue to improve. While I agree that the Plaintiff's lower back pain has improved, and the Plaintiff conceded as much in his evidence, I am not satisfied that his condition will continue to improve. I find that the Plaintiff's lower back symptoms have plateaued and that it is more likely than not that his current condition will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Based on the evidence, I find on a balance of probabilities that the Accident caused or contributed to the following injuries suffered by the Plaintiff:</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altered mood and sleep patterns;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the right side of his neck, which resolved within six months of the Accident;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associated with the pain in his neck, both of which have mostly resolved;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triggering of his pre-existing degenerative spine condition;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his left lower back, with occasional radiation into his legs;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 pain, which has improved since the time of the Accident but nonetheless has not fully resolved and will likely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have found that the Plaintiff's injuries were caused by the Accident. However, as set out by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 In the cases referred to above, the intervening event was unrelated to the tort and therefore affected the plaintiff's "original position". The net loss was therefore not as great as it might have otherwise seemed, so damages were reduced to reflect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Once causation has been established, it falls to the Defendant to persuade the court "that some or all of the injury claimed would have happened in any event, or that the plaintiff would not have earned as much as he or she claims had no injury occurred": </w:t>
      </w:r>
      <w:r>
        <w:rPr>
          <w:rFonts w:ascii="arial" w:eastAsia="arial" w:hAnsi="arial" w:cs="arial"/>
          <w:i/>
          <w:color w:val="000000"/>
          <w:sz w:val="20"/>
          <w:lang w:val="en-US" w:eastAsia="en-US" w:bidi="ar-SA"/>
        </w:rPr>
        <w:t>Webster v. Ernst &amp; Young</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2000 BCCA 229</w:t>
        </w:r>
      </w:hyperlink>
      <w:r>
        <w:rPr>
          <w:rFonts w:ascii="arial" w:eastAsia="arial" w:hAnsi="arial" w:cs="arial"/>
          <w:color w:val="000000"/>
          <w:sz w:val="20"/>
          <w:lang w:val="en-US" w:eastAsia="en-US" w:bidi="ar-SA"/>
        </w:rPr>
        <w:t xml:space="preserve"> at para. 15. Such a hypothetical will be taken into account if the defendant establishes it is a "real and substantial possibility" and not merely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the Defendant submits that the Plaintiffs pre-existing's spondylosis and spondylolisthesis were weaknesses inherent in the Plaintiff's original position that must be considered. The Defendant argues there was a "measurable risk" that these pre-existing degenerative changes would have detrimentally affected the plaintiff in the future, regardless of the Accident: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cited with approval in </w:t>
      </w:r>
      <w:r>
        <w:rPr>
          <w:rFonts w:ascii="arial" w:eastAsia="arial" w:hAnsi="arial" w:cs="arial"/>
          <w:i/>
          <w:color w:val="000000"/>
          <w:sz w:val="20"/>
          <w:lang w:val="en-US" w:eastAsia="en-US" w:bidi="ar-SA"/>
        </w:rPr>
        <w:t>Pike v. Kasiri</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2016 BCSC 555</w:t>
        </w:r>
      </w:hyperlink>
      <w:r>
        <w:rPr>
          <w:rFonts w:ascii="arial" w:eastAsia="arial" w:hAnsi="arial" w:cs="arial"/>
          <w:color w:val="000000"/>
          <w:sz w:val="20"/>
          <w:lang w:val="en-US" w:eastAsia="en-US" w:bidi="ar-SA"/>
        </w:rPr>
        <w:t xml:space="preserve"> at para. 271. The Defendant submits a 25% reduction of damages would be reasonable in the circumstances: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Defendant points out that Dr. O'Sullivan opined it was more likely than not the Plaintiff "would have developed low back pain </w:t>
      </w:r>
      <w:r>
        <w:rPr>
          <w:rFonts w:ascii="arial" w:eastAsia="arial" w:hAnsi="arial" w:cs="arial"/>
          <w:color w:val="000000"/>
          <w:sz w:val="20"/>
          <w:u w:val="single"/>
          <w:lang w:val="en-US" w:eastAsia="en-US" w:bidi="ar-SA"/>
        </w:rPr>
        <w:t>to some degree</w:t>
      </w:r>
      <w:r>
        <w:rPr>
          <w:rFonts w:ascii="arial" w:eastAsia="arial" w:hAnsi="arial" w:cs="arial"/>
          <w:color w:val="000000"/>
          <w:sz w:val="20"/>
          <w:lang w:val="en-US" w:eastAsia="en-US" w:bidi="ar-SA"/>
        </w:rPr>
        <w:t xml:space="preserve"> at some point in any event" (emphasis added). However, Dr. O'Sullivan did not expand on the meaning of "to some degree". In my view, Dr. O'Sullivan's statement, unaccompanied by any quantifiable assessment, does not establish a "measurable risk" that warrants a reduction in damages for the Plaintiff's pre-existing conditions. I agree with the Plaintiff's submission that Dr. O'Sullivan's evidence on this point is of no assistance because it provides no meaningful measure by which I can determine any material risk. I therefore reject the Defendant's argument on the issue of the Plaintiff's pre-existing spondylosis and spondylolisthesis.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seeks to recover under the following heads of damages: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and future loss of earning capacity;</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 The compensation awarded should be fair and reasonable to both parties: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While fairness is measured against awards made in comparable cases, each case depends on its unique set of facts and surrounding circumstances: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at para.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parties agree that non-pecuniary damages are to be assessed in accordance with the non-exhaustive list of factors articulated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28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xml:space="preserve"> (CanLII)).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As articulated in </w:t>
      </w:r>
      <w:r>
        <w:rPr>
          <w:rFonts w:ascii="arial" w:eastAsia="arial" w:hAnsi="arial" w:cs="arial"/>
          <w:i/>
          <w:color w:val="000000"/>
          <w:sz w:val="20"/>
          <w:lang w:val="en-US" w:eastAsia="en-US" w:bidi="ar-SA"/>
        </w:rPr>
        <w:t>Unger v. Singh</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2000 BCCA 94</w:t>
        </w:r>
      </w:hyperlink>
      <w:r>
        <w:rPr>
          <w:rFonts w:ascii="arial" w:eastAsia="arial" w:hAnsi="arial" w:cs="arial"/>
          <w:color w:val="000000"/>
          <w:sz w:val="20"/>
          <w:lang w:val="en-US" w:eastAsia="en-US" w:bidi="ar-SA"/>
        </w:rPr>
        <w:t xml:space="preserve">, for cases involving primarily soft tissue injuries and some emotional problems including sleep disruption, nervousness, depression, the awards range from $35,000 to $125,000. The Plaintiff submits the range of awards set out in the </w:t>
      </w:r>
      <w:r>
        <w:rPr>
          <w:rFonts w:ascii="arial" w:eastAsia="arial" w:hAnsi="arial" w:cs="arial"/>
          <w:i/>
          <w:color w:val="000000"/>
          <w:sz w:val="20"/>
          <w:lang w:val="en-US" w:eastAsia="en-US" w:bidi="ar-SA"/>
        </w:rPr>
        <w:t>Unger</w:t>
      </w:r>
      <w:r>
        <w:rPr>
          <w:rFonts w:ascii="arial" w:eastAsia="arial" w:hAnsi="arial" w:cs="arial"/>
          <w:color w:val="000000"/>
          <w:sz w:val="20"/>
          <w:lang w:val="en-US" w:eastAsia="en-US" w:bidi="ar-SA"/>
        </w:rPr>
        <w:t xml:space="preserve"> and other decisions ought to be adjusted for inflation in order to have a meaningful understanding of the precedential value of the quantum aspect of the courts' decisions: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641. With regards to inflation, the Plaintiff provided expert opinion evidence from economist Robert Carson. Adjusted for inflation, the </w:t>
      </w:r>
      <w:r>
        <w:rPr>
          <w:rFonts w:ascii="arial" w:eastAsia="arial" w:hAnsi="arial" w:cs="arial"/>
          <w:i/>
          <w:color w:val="000000"/>
          <w:sz w:val="20"/>
          <w:lang w:val="en-US" w:eastAsia="en-US" w:bidi="ar-SA"/>
        </w:rPr>
        <w:t>Unger</w:t>
      </w:r>
      <w:r>
        <w:rPr>
          <w:rFonts w:ascii="arial" w:eastAsia="arial" w:hAnsi="arial" w:cs="arial"/>
          <w:color w:val="000000"/>
          <w:sz w:val="20"/>
          <w:lang w:val="en-US" w:eastAsia="en-US" w:bidi="ar-SA"/>
        </w:rPr>
        <w:t xml:space="preserve"> range is $49,492.61 to $176,755.76.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his submissions regarding where within the </w:t>
      </w:r>
      <w:r>
        <w:rPr>
          <w:rFonts w:ascii="arial" w:eastAsia="arial" w:hAnsi="arial" w:cs="arial"/>
          <w:i/>
          <w:color w:val="000000"/>
          <w:sz w:val="20"/>
          <w:lang w:val="en-US" w:eastAsia="en-US" w:bidi="ar-SA"/>
        </w:rPr>
        <w:t>Unger</w:t>
      </w:r>
      <w:r>
        <w:rPr>
          <w:rFonts w:ascii="arial" w:eastAsia="arial" w:hAnsi="arial" w:cs="arial"/>
          <w:color w:val="000000"/>
          <w:sz w:val="20"/>
          <w:lang w:val="en-US" w:eastAsia="en-US" w:bidi="ar-SA"/>
        </w:rPr>
        <w:t xml:space="preserve"> range the appropriate award of non-pecuniary damages lies, the Plaintiff relies on the following cases: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Grigor v. Johal</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2008 BCSC 1823</w:t>
        </w:r>
      </w:hyperlink>
      <w:r>
        <w:rPr>
          <w:rFonts w:ascii="arial" w:eastAsia="arial" w:hAnsi="arial" w:cs="arial"/>
          <w:color w:val="000000"/>
          <w:sz w:val="20"/>
          <w:lang w:val="en-US" w:eastAsia="en-US" w:bidi="ar-SA"/>
        </w:rPr>
        <w:t xml:space="preserve"> - the plaintiff was awarded $90,000 (adjusted for inflation to $106,406);</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 the plaintiff was awarded $85,000 (adjusted for inflation to $91,585);</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Gossellin v. Neal</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2010 BCSC 456</w:t>
        </w:r>
      </w:hyperlink>
      <w:r>
        <w:rPr>
          <w:rFonts w:ascii="arial" w:eastAsia="arial" w:hAnsi="arial" w:cs="arial"/>
          <w:color w:val="000000"/>
          <w:sz w:val="20"/>
          <w:lang w:val="en-US" w:eastAsia="en-US" w:bidi="ar-SA"/>
        </w:rPr>
        <w:t xml:space="preserve"> - the plaintiff was awarded $100,000 (adjusted for inflation to $115,794); and</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Noon v. Lawlor</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2012 BCSC 545</w:t>
        </w:r>
      </w:hyperlink>
      <w:r>
        <w:rPr>
          <w:rFonts w:ascii="arial" w:eastAsia="arial" w:hAnsi="arial" w:cs="arial"/>
          <w:color w:val="000000"/>
          <w:sz w:val="20"/>
          <w:lang w:val="en-US" w:eastAsia="en-US" w:bidi="ar-SA"/>
        </w:rPr>
        <w:t xml:space="preserve"> - the plaintiff was awarded $60,000 (adjusted for inflation to $66,507).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submits that the appropriate award for non-pecuniary damages in this case is between $30,000 and $35,000, relying on the following cases:</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Misraeidi v. Coleman</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2014 BCSC 415</w:t>
        </w:r>
      </w:hyperlink>
      <w:r>
        <w:rPr>
          <w:rFonts w:ascii="arial" w:eastAsia="arial" w:hAnsi="arial" w:cs="arial"/>
          <w:color w:val="000000"/>
          <w:sz w:val="20"/>
          <w:lang w:val="en-US" w:eastAsia="en-US" w:bidi="ar-SA"/>
        </w:rPr>
        <w:t xml:space="preserve"> - the plaintiff was awarded $25,000 (adjusted for inflation to $26,936); and</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Hunter v. Yuan</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2010 BCSC 1526</w:t>
        </w:r>
      </w:hyperlink>
      <w:r>
        <w:rPr>
          <w:rFonts w:ascii="arial" w:eastAsia="arial" w:hAnsi="arial" w:cs="arial"/>
          <w:color w:val="000000"/>
          <w:sz w:val="20"/>
          <w:lang w:val="en-US" w:eastAsia="en-US" w:bidi="ar-SA"/>
        </w:rPr>
        <w:t xml:space="preserve"> - the plaintiff was awarded $35,000 (adjusted for inflation to $40,527).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 argues that taking into account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in particular the disruption of the Plaintiff's family life owing to the proximity of the Accident to the birth of his son, and the fact that four years post-Accident the Plaintiff's lower back pain continues, an award of $90,000 in non-pecuniary damages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my view, taking into account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the Plaintiff's circumstances lie somewhere between those in </w:t>
      </w:r>
      <w:r>
        <w:rPr>
          <w:rFonts w:ascii="arial" w:eastAsia="arial" w:hAnsi="arial" w:cs="arial"/>
          <w:i/>
          <w:color w:val="000000"/>
          <w:sz w:val="20"/>
          <w:lang w:val="en-US" w:eastAsia="en-US" w:bidi="ar-SA"/>
        </w:rPr>
        <w:t>Grigor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Noon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Grigor</w:t>
      </w:r>
      <w:r>
        <w:rPr>
          <w:rFonts w:ascii="arial" w:eastAsia="arial" w:hAnsi="arial" w:cs="arial"/>
          <w:color w:val="000000"/>
          <w:sz w:val="20"/>
          <w:lang w:val="en-US" w:eastAsia="en-US" w:bidi="ar-SA"/>
        </w:rPr>
        <w:t>, the plaintiff was 49 years old and suffered soft tissue injuries that resolved within 18 months to two years. He also suffered a low back injury leaving him with chronic pain that was found by the trial judge unlikely to resolve. He was off work for two and a half years, and the trial judge noted that his injuries have changed his employability, which caused him stress and loss of enjoyment of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Noon</w:t>
      </w:r>
      <w:r>
        <w:rPr>
          <w:rFonts w:ascii="arial" w:eastAsia="arial" w:hAnsi="arial" w:cs="arial"/>
          <w:color w:val="000000"/>
          <w:sz w:val="20"/>
          <w:lang w:val="en-US" w:eastAsia="en-US" w:bidi="ar-SA"/>
        </w:rPr>
        <w:t>, the plaintiff was 34 years old and suffered soft tissue injuries to his neck and upper back as a result of the collision. He also experienced headache associated with a neck injury, but the trial judge found these not to be "disabling". While temporarily restricted to working part time, the plaintiff eventually returned to working full time. The trial judge also noted that the plaintiff's symptoms did not limit his engagement in recreational activities and had diminished to the point of being "minimal": at para. 221.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this case, the Plaintiff continues to experience pain in his lower left back and hip with less frequent headaches. His neck pain had subsided within six months of the Accident. After considering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inflation, and the cases provided by both parties, in the circumstances of this case, I find that a non-pecuniary award in the amount of $86,000 is appropriate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Assessing of damages for past loss of income is properly characterized assessing the loss of past earning capacity: </w:t>
      </w:r>
      <w:r>
        <w:rPr>
          <w:rFonts w:ascii="arial" w:eastAsia="arial" w:hAnsi="arial" w:cs="arial"/>
          <w:i/>
          <w:color w:val="000000"/>
          <w:sz w:val="20"/>
          <w:lang w:val="en-US" w:eastAsia="en-US" w:bidi="ar-SA"/>
        </w:rPr>
        <w:t>Piper v. Hassan</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2012 BCSC 189</w:t>
        </w:r>
      </w:hyperlink>
      <w:r>
        <w:rPr>
          <w:rFonts w:ascii="arial" w:eastAsia="arial" w:hAnsi="arial" w:cs="arial"/>
          <w:color w:val="000000"/>
          <w:sz w:val="20"/>
          <w:lang w:val="en-US" w:eastAsia="en-US" w:bidi="ar-SA"/>
        </w:rPr>
        <w:t xml:space="preserve"> at para. 153 citing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153; leave to appeal ref'd </w:t>
      </w:r>
      <w:hyperlink r:id="rId736"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 xml:space="preserve">. If the Plaintiff establishes the Accident caused him to suffer loss of his past earning capacity, that loss is recoverable in damages: </w:t>
      </w:r>
      <w:r>
        <w:rPr>
          <w:rFonts w:ascii="arial" w:eastAsia="arial" w:hAnsi="arial" w:cs="arial"/>
          <w:i/>
          <w:color w:val="000000"/>
          <w:sz w:val="20"/>
          <w:lang w:val="en-US" w:eastAsia="en-US" w:bidi="ar-SA"/>
        </w:rPr>
        <w:t>Reynolds v. M. Sanghera &amp; Sons Trucking Ltd.</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2015 BCCA 232</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As noted by Justice Pearlman in </w:t>
      </w:r>
      <w:r>
        <w:rPr>
          <w:rFonts w:ascii="arial" w:eastAsia="arial" w:hAnsi="arial" w:cs="arial"/>
          <w:i/>
          <w:color w:val="000000"/>
          <w:sz w:val="20"/>
          <w:lang w:val="en-US" w:eastAsia="en-US" w:bidi="ar-SA"/>
        </w:rPr>
        <w:t>Piper</w:t>
      </w:r>
      <w:r>
        <w:rPr>
          <w:rFonts w:ascii="arial" w:eastAsia="arial" w:hAnsi="arial" w:cs="arial"/>
          <w:color w:val="000000"/>
          <w:sz w:val="20"/>
          <w:lang w:val="en-US" w:eastAsia="en-US" w:bidi="ar-SA"/>
        </w:rPr>
        <w:t xml:space="preserve"> at para. 156: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this case, the Plaintiff testified that the Accident caused him to:</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 the number of hours he taught at Hollyburn and the TCC;</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 and eventually eliminate his lifeguarding hours;</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turn clients away; and</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prevented him from teaching additional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first three of these involve actual past events and thus, the burden is on the Plaintiff to prove them on a balance of probabilities standard. The last one involves a past hypothetical event, and if the Plaintiff is to recover that loss, he must establish that there was a real and substantial possibility, not mere speculation, that he would have taught additional classes: </w:t>
      </w:r>
      <w:r>
        <w:rPr>
          <w:rFonts w:ascii="arial" w:eastAsia="arial" w:hAnsi="arial" w:cs="arial"/>
          <w:i/>
          <w:color w:val="000000"/>
          <w:sz w:val="20"/>
          <w:lang w:val="en-US" w:eastAsia="en-US" w:bidi="ar-SA"/>
        </w:rPr>
        <w:t>Lo v. Vos</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2019 BCSC 1306</w:t>
        </w:r>
      </w:hyperlink>
      <w:r>
        <w:rPr>
          <w:rFonts w:ascii="arial" w:eastAsia="arial" w:hAnsi="arial" w:cs="arial"/>
          <w:color w:val="000000"/>
          <w:sz w:val="20"/>
          <w:lang w:val="en-US" w:eastAsia="en-US" w:bidi="ar-SA"/>
        </w:rPr>
        <w:t xml:space="preserve"> at para. 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Based on the totality of the evidence, I am not satisfied on a balance of probabilities that the Plaintiff reduced the number of hours he taught, either as a result of the Accident or at all. The Plaintiff continues to be able to do all the tasks involved in teaching swimming lessons and masters coaching. While I accept his evidence that he tires more easily and sometimes experiences pain at work, the Plaintiff did not provide evidence, nor were there any records, of any specific occasions where he was unable to work as a result of the Accident. His emails with Hollyburn setting out the hours worked in the pay period before and after the Accident do not reflect a decrease in the number of hours he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Similarly, I am not satisfied on a balance of probabilities that the Plaintiff reduced his lifeguarding hours at Hollyburn as a result of the Accident. Prior to the Accident, the Plaintiff had already relinquished his lifeguarding duties at another facility and replaced them with coaching, which is more profitable. I find the reduction and eventual elimination of his lifeguarding hours at Hollyburn was simply a continuation of that trend as part of his career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also not satisfied, even on a real and substantial possibility standard, that the Plaintiff turned clients away because of his condition following the Accident. There was no evidence to support Ms. Schieweck's testimony regarding an unmet demand for lessons. In addition, there was no evidence of a demand for lessons during times the Plaintiff was not otherwise teaching and willing to work, nor was there an explanation as to why such demand could not be met by sub-contractors. The Plaintiff's evidence was that he elected not to teach on Sundays. For the same reasons, I am not satisfied that there was a real and substantial possibility the Plaintiff could teach additional lessons.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Therefore, I make no award under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Establishing a claim for loss of future earning capacity typically involves a forecast based on hypotheticals. The test to be applied for establishing such a claim is that articulated by Justice Garson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always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Court of Appeal has also cautioned that it is insufficient for the plaintiff to only establish that he or she "may" be less capable of employment, since that word connotes speculation and does not constitute a real possibility: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With respect to future earning capacity, as noted by Justice Willock, then of this Court, in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[147] The factors that ought to be used to measure the loss or impairment of a capital asset have been regularly described as: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of earning income from all types of employment;</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3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her had she not been injured;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herself as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Williamson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Damages under this head must be assessed and not calculated. The standard of proof to be applied when evaluating hypothetical events that may affect an award is simple probability, not the balance of probabilities. In addressing claims under this head of damages, either on an earnings approach or a capital asset approach, the court should consider whether there is evidence of a real and substantial possibility of a future event leading to an income loss: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and see also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169 D.L.R. (4th) 661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64 B.C.L.R. (4th) 152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Collyer v. Boon</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2008 BCSC 1745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Madill v. Sithivong</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2010 BCSC 1848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[149] A plaintiff's past earnings are a significant factor that must at law be considered in assessing a loss of income earning capacity. Past income earning is but a starting point in the assessment of the loss, but it is a key element.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Vaillancourt v. Molnar</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2002 BCCA 685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Aligned with his claim for loss of past income earning capacity, the Plaintiff also claims his ability to teach additional classes in the future will be impacted as a result of the injuries arising from the Accident. It follows from my finding that the Plaintiff has not established a real and substantial possibility that he was unable to provide additional lessons in the past that I also find he has not established that as a real and substantial possibility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also find the Plaintiff's physical symptoms caused by the Accident have not rendered him less capable overall of earning income from all types of employment, less marketable or attractive as an employee to potential employers, or caused him to lose the ability to take advantage of all job opportunities which might otherwise have been open to him had he not been injured. Prior to the Accident, his long-term career plan was to become a manager in aquatics or a similar position within the sports recreation industry, which he recognizes is a field with limited opportunities. In addition, there was no evidence demonstrating that his ability to compete successfully for, or to fulfil the requirement of, a management position would be impacted by his residual lower back pain or injuries resulting from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Warick v. Diwell</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2017 BCSC 68</w:t>
        </w:r>
      </w:hyperlink>
      <w:r>
        <w:rPr>
          <w:rFonts w:ascii="arial" w:eastAsia="arial" w:hAnsi="arial" w:cs="arial"/>
          <w:color w:val="000000"/>
          <w:sz w:val="20"/>
          <w:lang w:val="en-US" w:eastAsia="en-US" w:bidi="ar-SA"/>
        </w:rPr>
        <w:t xml:space="preserve">, aff'd </w:t>
      </w:r>
      <w:hyperlink r:id="rId746" w:history="1">
        <w:r>
          <w:rPr>
            <w:rFonts w:ascii="arial" w:eastAsia="arial" w:hAnsi="arial" w:cs="arial"/>
            <w:i/>
            <w:color w:val="0077CC"/>
            <w:sz w:val="20"/>
            <w:u w:val="single"/>
            <w:shd w:val="clear" w:color="auto" w:fill="FFFFFF"/>
            <w:lang w:val="en-US" w:eastAsia="en-US" w:bidi="ar-SA"/>
          </w:rPr>
          <w:t>2018 BCCA 53</w:t>
        </w:r>
      </w:hyperlink>
      <w:r>
        <w:rPr>
          <w:rFonts w:ascii="arial" w:eastAsia="arial" w:hAnsi="arial" w:cs="arial"/>
          <w:color w:val="000000"/>
          <w:sz w:val="20"/>
          <w:lang w:val="en-US" w:eastAsia="en-US" w:bidi="ar-SA"/>
        </w:rPr>
        <w:t>, Justice Schultes set out the legal principles that determine an award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 With respect to the standard of proof to be met, "[a] plaintiff who seeks compensation for future pecuniary loss need not prove on a balance of probabilities ... that she will require future care because of the wrong done to her. If the plaintiff establishes a real and substantial risk of future pecuniary loss, she is entitled to compensation...":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(Ont.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[203] Claims made for future care must be both medically justified and reasonable. An award "should reflect what the evidence establishes is reasonably necessary to preserve the plaintiff's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paras. 199 and 201; aff'd </w:t>
      </w:r>
      <w:hyperlink r:id="rId74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[204] This requirement of medical justification, as opposed to medical necessity "requires only some evidence that the expense claimed is directly related to the disability arising out of the accident, and is incurred with a view toward ameliorating its impact":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 at para. 151.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[205] The question has often been framed as being whether a reasonably-minded person of ample means would be ready to incur a particular expense: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p. 245.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[206] The evidence with respect to the specific care required does not need to be provided by a medical doctor: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(S.C.) at para. 182. However, there must be some evidentiary link drawn between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[207] Damages for the cost of future care are assessed, not mathematically calculated: </w:t>
      </w:r>
      <w:r>
        <w:rPr>
          <w:rFonts w:ascii="arial" w:eastAsia="arial" w:hAnsi="arial" w:cs="arial"/>
          <w:i/>
          <w:color w:val="000000"/>
          <w:sz w:val="20"/>
          <w:lang w:val="en-US" w:eastAsia="en-US" w:bidi="ar-SA"/>
        </w:rPr>
        <w:t>Uhrovic v. Masjhuri</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2008 BCCA 462</w:t>
        </w:r>
      </w:hyperlink>
      <w:r>
        <w:rPr>
          <w:rFonts w:ascii="arial" w:eastAsia="arial" w:hAnsi="arial" w:cs="arial"/>
          <w:color w:val="000000"/>
          <w:sz w:val="20"/>
          <w:lang w:val="en-US" w:eastAsia="en-US" w:bidi="ar-SA"/>
        </w:rPr>
        <w:t xml:space="preserve"> at paras. 28-31. There is an inherent degree of uncertainty and discretion in making such awards. Because awards are made "once and for all" at the time of trial, judges must "peer into the future" and fix the damages "as best they can". This includes allowing contingencies for the possibility that the future may differ from what the evidence at trial indicates: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at para. 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[208] While no award should be made in relation to an expense that the plaintiff will not actually incur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the focus of inquiry when a justified item or service was previously unused, is whether it is "likely to be incurred on a going forward basis":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[209] A plaintiff is not entitled to an award for that portion of their costs of future care that will be publicly funded. However, the risk that access to public funds may be lost in future is a proper basis to provide a contingency in the award: </w:t>
      </w:r>
      <w:r>
        <w:rPr>
          <w:rFonts w:ascii="arial" w:eastAsia="arial" w:hAnsi="arial" w:cs="arial"/>
          <w:i/>
          <w:color w:val="000000"/>
          <w:sz w:val="20"/>
          <w:lang w:val="en-US" w:eastAsia="en-US" w:bidi="ar-SA"/>
        </w:rPr>
        <w:t>Boren v. Vancouver Resource Society for the Physically Disabled</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2003 BCCA 388</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Justice Kelleher's decision in </w:t>
      </w:r>
      <w:r>
        <w:rPr>
          <w:rFonts w:ascii="arial" w:eastAsia="arial" w:hAnsi="arial" w:cs="arial"/>
          <w:i/>
          <w:color w:val="000000"/>
          <w:sz w:val="20"/>
          <w:lang w:val="en-US" w:eastAsia="en-US" w:bidi="ar-SA"/>
        </w:rPr>
        <w:t>Maltese v. Pratap</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2014 BCSC 18</w:t>
        </w:r>
      </w:hyperlink>
      <w:r>
        <w:rPr>
          <w:rFonts w:ascii="arial" w:eastAsia="arial" w:hAnsi="arial" w:cs="arial"/>
          <w:color w:val="000000"/>
          <w:sz w:val="20"/>
          <w:lang w:val="en-US" w:eastAsia="en-US" w:bidi="ar-SA"/>
        </w:rPr>
        <w:t xml:space="preserve"> is further authority for the application of these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claims the evidence establishes a real and substantial risk that he will incur the following future care costs:</w:t>
      </w:r>
      <w:r>
        <w:rPr>
          <w:rFonts w:ascii="arial" w:eastAsia="arial" w:hAnsi="arial" w:cs="arial"/>
          <w:sz w:val="20"/>
          <w:lang w:val="en-US" w:eastAsia="en-US" w:bidi="ar-SA"/>
        </w:rPr>
        <w:cr/>
      </w:r>
    </w:p>
    <w:p>
      <w:pPr>
        <w:numPr>
          <w:numId w:val="50"/>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over-the-counter pain relief, muscle relaxers, topical analgesic cream, and anti-inflammatories;</w:t>
      </w:r>
    </w:p>
    <w:p>
      <w:pPr>
        <w:numPr>
          <w:numId w:val="51"/>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prescription topical analgesic cream (as recommended by Dr. Reebye);</w:t>
      </w:r>
    </w:p>
    <w:p>
      <w:pPr>
        <w:numPr>
          <w:numId w:val="52"/>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Lyrica (as recommended by Dr. Reebye);</w:t>
      </w:r>
    </w:p>
    <w:p>
      <w:pPr>
        <w:numPr>
          <w:numId w:val="53"/>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(as recommended by Dr. Reebye);</w:t>
      </w:r>
    </w:p>
    <w:p>
      <w:pPr>
        <w:numPr>
          <w:numId w:val="54"/>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nerve root block treatment (as recommended by Dr. Reebye); and</w:t>
      </w:r>
    </w:p>
    <w:p>
      <w:pPr>
        <w:numPr>
          <w:numId w:val="55"/>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(as recommended by Dr. Reebye).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However, the Defendant argues the evidence establishes that the Plaintiff is resistant to taking anti-depression medication or obtaining psychological counselling. The Defendant also points to the fact that the Plaintiff has not attended physiotherapy since February 2017 as being indicative of it being unlikely he will return to that modality of treatment. Therefore, the Defendant submits a damage award for those two categories of future care costs should be denied: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agree with the Defendant. Although the Plaintiff testified he would be willing to undertake such treatments, I find the Plaintiff is not likely to return to physiotherapy, to take Lyrica, or receive the nerve root block treatment, based on his past reluctance and failure to take those steps to date. None of those treatments were predicated on a worsening of the Plaintiff's condition. With respect to the psychological counselling, I am also not satisfied there is a real and substantial possibility the Plaintiff will engage in such treatment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agree with the Defendant's submission that $500 as a total award under this head of damages is appropriate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Plaintiff seeks to recover damages for loss of housekeeping capacity. It is now well established that domestic services have a monetary value and a plaintiff may claim for loss of housekeeping capacity, even where the services are provided gratuitously by family members: </w:t>
      </w:r>
      <w:r>
        <w:rPr>
          <w:rFonts w:ascii="arial" w:eastAsia="arial" w:hAnsi="arial" w:cs="arial"/>
          <w:i/>
          <w:color w:val="000000"/>
          <w:sz w:val="20"/>
          <w:lang w:val="en-US" w:eastAsia="en-US" w:bidi="ar-SA"/>
        </w:rPr>
        <w:t>Liu v. Bains</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2016 BCCA 374</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As noted by Justice Milman in </w:t>
      </w:r>
      <w:r>
        <w:rPr>
          <w:rFonts w:ascii="arial" w:eastAsia="arial" w:hAnsi="arial" w:cs="arial"/>
          <w:i/>
          <w:color w:val="000000"/>
          <w:sz w:val="20"/>
          <w:lang w:val="en-US" w:eastAsia="en-US" w:bidi="ar-SA"/>
        </w:rPr>
        <w:t>Wolford v. Shlakoff</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2017 BCSC 2043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[181] A plaintiff who has suffered a reduction in her ability to perform household duties is in principle entitled to be compensated for that loss: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 63; </w:t>
      </w:r>
      <w:r>
        <w:rPr>
          <w:rFonts w:ascii="arial" w:eastAsia="arial" w:hAnsi="arial" w:cs="arial"/>
          <w:i/>
          <w:color w:val="000000"/>
          <w:sz w:val="20"/>
          <w:lang w:val="en-US" w:eastAsia="en-US" w:bidi="ar-SA"/>
        </w:rPr>
        <w:t>Hart v. Hansma</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2014 BCSC 518</w:t>
        </w:r>
      </w:hyperlink>
      <w:r>
        <w:rPr>
          <w:rFonts w:ascii="arial" w:eastAsia="arial" w:hAnsi="arial" w:cs="arial"/>
          <w:color w:val="000000"/>
          <w:sz w:val="20"/>
          <w:lang w:val="en-US" w:eastAsia="en-US" w:bidi="ar-SA"/>
        </w:rPr>
        <w:t xml:space="preserve"> at para. 160. Where work is performed by others, even if gratuitously, that provides evidence that the loss has value: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at para. 63. The loss for services that are gratuitously performed remain with the plaintiff: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at para. 63. The courts may recognize a loss under this head where the plaintiff is able to carry on with her domestic duties, but does so less efficiently: </w:t>
      </w:r>
      <w:r>
        <w:rPr>
          <w:rFonts w:ascii="arial" w:eastAsia="arial" w:hAnsi="arial" w:cs="arial"/>
          <w:i/>
          <w:color w:val="000000"/>
          <w:sz w:val="20"/>
          <w:lang w:val="en-US" w:eastAsia="en-US" w:bidi="ar-SA"/>
        </w:rPr>
        <w:t>McIntrye v. Docherty</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2009 ONCA 448</w:t>
        </w:r>
      </w:hyperlink>
      <w:r>
        <w:rPr>
          <w:rFonts w:ascii="arial" w:eastAsia="arial" w:hAnsi="arial" w:cs="arial"/>
          <w:color w:val="000000"/>
          <w:sz w:val="20"/>
          <w:lang w:val="en-US" w:eastAsia="en-US" w:bidi="ar-SA"/>
        </w:rPr>
        <w:t xml:space="preserve"> at paras. 73 and 74.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[184] The claim for compensation under this head of damage must be scrutinized carefully. A relatively minor adjustment of duties within a household will not justify a discrete award under this head of damages. The court should ask whether the services went above and beyond the ordinary give and take to be expected in a home and were required by the plaintiff's injuries or would have been performed in any event: </w:t>
      </w:r>
      <w:r>
        <w:rPr>
          <w:rFonts w:ascii="arial" w:eastAsia="arial" w:hAnsi="arial" w:cs="arial"/>
          <w:i/>
          <w:color w:val="000000"/>
          <w:sz w:val="20"/>
          <w:lang w:val="en-US" w:eastAsia="en-US" w:bidi="ar-SA"/>
        </w:rPr>
        <w:t>Tabet v. Hatzis</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2013 BCSC 1167</w:t>
        </w:r>
      </w:hyperlink>
      <w:r>
        <w:rPr>
          <w:rFonts w:ascii="arial" w:eastAsia="arial" w:hAnsi="arial" w:cs="arial"/>
          <w:color w:val="000000"/>
          <w:sz w:val="20"/>
          <w:lang w:val="en-US" w:eastAsia="en-US" w:bidi="ar-SA"/>
        </w:rPr>
        <w:t xml:space="preserve">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points out that Ms. Schieweck did 70% of the household work prior to the Accident. The Plaintiff does not have difficulty completing most of the types of tasks he was responsible for before the Accident, such as laundry, grocery shopping, and some cooking. According to the Plaintiff, it may take slightly longer to do those tasks but the main impact is in the area of heavy lifting and "fix-it" types of chores, although he conceded those are not tasks he is called upon to undertake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Defendant submits that the appropriate approach to this aspect of the Plaintiff's loss, is to factor it in to the assessment of a plaintiffs non-pecuniary award as was done by Justice Joyce in </w:t>
      </w:r>
      <w:r>
        <w:rPr>
          <w:rFonts w:ascii="arial" w:eastAsia="arial" w:hAnsi="arial" w:cs="arial"/>
          <w:i/>
          <w:color w:val="000000"/>
          <w:sz w:val="20"/>
          <w:lang w:val="en-US" w:eastAsia="en-US" w:bidi="ar-SA"/>
        </w:rPr>
        <w:t>Eaton v. Regan</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2005 BCSC 3</w:t>
        </w:r>
      </w:hyperlink>
      <w:r>
        <w:rPr>
          <w:rFonts w:ascii="arial" w:eastAsia="arial" w:hAnsi="arial" w:cs="arial"/>
          <w:color w:val="000000"/>
          <w:sz w:val="20"/>
          <w:lang w:val="en-US" w:eastAsia="en-US" w:bidi="ar-SA"/>
        </w:rPr>
        <w:t xml:space="preserve"> at para. 46 and </w:t>
      </w:r>
      <w:r>
        <w:rPr>
          <w:rFonts w:ascii="arial" w:eastAsia="arial" w:hAnsi="arial" w:cs="arial"/>
          <w:i/>
          <w:color w:val="000000"/>
          <w:sz w:val="20"/>
          <w:lang w:val="en-US" w:eastAsia="en-US" w:bidi="ar-SA"/>
        </w:rPr>
        <w:t>Bains v. Park</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2014 BCSC 1818</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agree with the Defendant's submission on this point and therefore, I do not make an additional award for 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parties agree on special damages payable in the amount of $1,034 for costs incurred by the Plaintiff for 22 physiotherapy treatments. However, the Defendant disputes the Plaintiff's claim for reimbursement of the $300 deductible paid to secure the repair of the Plaintiff's vehicle, because evidence was not led establishing the Plaintiff's vehicle was repaired. Further, the Defendant disputes the claim for reimbursement of the cost to fill two prescriptions during the course of the trial, in an amount totaling $124.34.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find the prescription costs were incurred for the purposes of establishing a future care cost. I agree those costs are not properly included as recoverable special damages. In my view, the $300 deductible paid by the Plaintiff is properly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DID THE PLAINTIFF FAIL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Plaintiffs in personal injury actions have a positive duty to limit their losses and where a defendant proves the plaintiff unreasonably failed to do so, the plaintiff's damages will be reduced accordingly: </w:t>
      </w:r>
      <w:r>
        <w:rPr>
          <w:rFonts w:ascii="arial" w:eastAsia="arial" w:hAnsi="arial" w:cs="arial"/>
          <w:i/>
          <w:color w:val="000000"/>
          <w:sz w:val="20"/>
          <w:lang w:val="en-US" w:eastAsia="en-US" w:bidi="ar-SA"/>
        </w:rPr>
        <w:t>Paschalidis v. Stutely</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2013 BCSC 1611</w:t>
        </w:r>
      </w:hyperlink>
      <w:r>
        <w:rPr>
          <w:rFonts w:ascii="arial" w:eastAsia="arial" w:hAnsi="arial" w:cs="arial"/>
          <w:color w:val="000000"/>
          <w:sz w:val="20"/>
          <w:lang w:val="en-US" w:eastAsia="en-US" w:bidi="ar-SA"/>
        </w:rPr>
        <w:t xml:space="preserve"> at para. 130, citing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leave to appeal to S.C.C. ref'd, </w:t>
      </w:r>
      <w:hyperlink r:id="rId766"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parties agree the test for whether a damage award should be reduced due to the Plaintiff's failure to mitigate is that set out by Justice Low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 submits the evidence establishes that the Plaintiff failed to mitigate his damages in two ways: by delaying physiotherapy treatment and by failing to perform the exercises recommended to him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However, the Defendant failed to lead medical evidence to establish the delay in starting physiotherapy treatment would have led to a decrease in the Plaintiff's injuries or symptoms. The evidence of both Dr. Baird and Dr. Reebye was that a delay in the physiotherapy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have affected the Plaintiff's recovery. As such, I have nothing but speculation upon which to find the extent, if any, to which the Plaintiff's damages would have been reduced if he had attended physiotherapy sooner, which is insufficient: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reject the Defendant's claim that the Plaintiff failed to mitigate his loss and his corresponding argument that a reduction in the Plaintiff's damage award is warranted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conclusion, I award $86,000 in non-pecuniary damages. I include in my consideration of the appropriate quantum to award for non-pecuniary damages, the minor impact the Accident has had on the minimal housekeeping the Plaintiff undertook prior to the Accident, being some physical discomfort and a slightly longer time needed to complete some housekeeping tasks, but I make no pecuniary award specifically for loss of housekeeping capacity. I award $500 for the Plaintiff's contingent costs of future care and $1,334 in special damages. I make no award either for past or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find the Plaintiff was the substantially successful party and he would normally be entitled to his costs. Absent any further submissions from the parties respecting costs, costs will be awarded to the Plaintiff to be assessed under Scale B of Appendix B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Should either party wish to apply for a different disposition of costs, that party is at liberty to file and serve written submissions, limited to five pages, within 30 days of this judgment. The other party is entitled to respond by filing and serving written submissions, limited to two pages, within 15 days of receiving the other party's submissions.</w:t>
      </w:r>
      <w:r>
        <w:rPr>
          <w:rFonts w:ascii="arial" w:eastAsia="arial" w:hAnsi="arial" w:cs="arial"/>
          <w:sz w:val="20"/>
          <w:lang w:val="en-US" w:eastAsia="en-US" w:bidi="ar-SA"/>
        </w:rPr>
        <w:cr/>
      </w:r>
    </w:p>
    <w:p>
      <w:pPr>
        <w:numPr>
          <w:numId w:val="56"/>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JACKSON J.</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Salsman v. Planes, [2014] B.C.J. No. 2306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B.D. 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11-0260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2306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1726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Eric Salsman, Plaintiff, and John Doe, Jane Doe, David Leslie Planes, Insurance Corporation of British Columbia and David Planes Jr.,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0" w:name="Keywords_30"/>
      <w:bookmarkEnd w:id="200"/>
      <w:r>
        <w:rPr>
          <w:rFonts w:ascii="arial" w:eastAsia="arial" w:hAnsi="arial" w:cs="arial"/>
          <w:b/>
          <w:color w:val="000000"/>
          <w:sz w:val="20"/>
          <w:lang w:val="en-US" w:eastAsia="en-US" w:bidi="ar-SA"/>
        </w:rPr>
        <w:t>Civil litigation — Civil procedure — Costs — Assessment or fixing of costs — Appeal or review — Considerations — Particular items — Disbursements — Witness fees and expenses — Discretion — Appeal by plaintiff from Registrar's decision assessing costs dismissed — Parties to settled personal injury action disagreed as to necessity of medical and physiotherapy reports — Plaintiff did not show that Registrar was clearly wrong or erred in principle — Registrar adequately addressed issues, provided sufficient reasons, reasonably considered what other experts might have charged and was justified in reducing cost of reports by amount of administrative and overhead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Costs — Appeal by plaintiff from Registrar's decision assessing costs dismissed — Parties to settled personal injury action disagreed as to necessity of medical and physiotherapy reports — Plaintiff did not show that Registrar was clearly wrong or erred in principle — Registrar adequately addressed issues, provided sufficient reasons, reasonably considered what other experts might have charged and was justified in reducing cost of reports by amount of administrative and overhead costs.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1" w:name="Case Summary_27"/>
            <w:bookmarkEnd w:id="2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plaintiff from a Registrar's decision assessing costs. The parties to a settled personal injury action disagreed as to the necessity of various medical and physiotherapy reports. The Registrar disallowed some of the disbursements and reduced others. The plaintiff claimed that the Registrar was clearly wrong and erred in principal in doing so.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2" w:name="Holdings of Court_23"/>
            <w:bookmarkEnd w:id="202"/>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did not show that the Registrar was clearly wrong or erred in principle. The Registrar adequately addressed the issues and provided sufficient reasons for disallowing three physiotherapist's reports. She stated that the therapists' clinical records were sufficient to record the plaintiff's contemporaneous symptoms, treatment and outcome and that the plaintiff was seeing his family doctor, a rehabilitation consultant and various specialists. She noted that one of the reports was requested after the plaintiff returned to work and his symptoms largely resolved. She reasonably considered, in assessing a neuropsychologist's reports, what other local experts might have charged for similar reports. She was justified in reducing the cost of the reports by the amount of the administrative and overhead costs. She was not overwhelmed, in assessing a rehabilitation consultant's report referring to the cost of future care, by the final actual amount for cost of future care, as she also referred to the fact that the report was repetitive of others and considered the very modest recommendations for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3" w:name="Legislation Cited_23"/>
      <w:bookmarkEnd w:id="2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5"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1-3(2), Rule 11-6, Rule 14-1, Rule 14-1(5)</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a Supreme Court Master's decision, sitting as a Registrar, reasons dated January 14, 2014.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4" w:name="Counsel_30"/>
      <w:bookmarkEnd w:id="2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 Acheson,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David Planes Jr.: K.A. McCullagh.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5" w:name="Judgment_30"/>
      <w:bookmarkEnd w:id="205"/>
      <w:r>
        <w:pict>
          <v:line id="_x0000_s1177"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6" w:name="B.D. MacKENZIE J."/>
            <w:bookmarkEnd w:id="206"/>
            <w:r>
              <w:rPr>
                <w:rFonts w:ascii="arial" w:eastAsia="arial" w:hAnsi="arial" w:cs="arial"/>
                <w:b/>
                <w:color w:val="000000"/>
                <w:sz w:val="30"/>
                <w:lang w:val="en-US" w:eastAsia="en-US" w:bidi="ar-SA"/>
              </w:rPr>
              <w:t>B.D. 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by the plaintiff from a Master's decision, sitting as a Registrar, involving a costs assessment in a personal injury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the Registrar noted, the action was settled about 10 days before the commencement of the trial, after the plaintiff accepted a defence offer of approximately $155,265, plus costs and disbursements "to be assessed". Following settlement, the plaintiff presented a bill of costs in the sum of $52,674.36. In due course, the parties reached agreement on "most of the disbursements" while some were abandoned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however, challenged the necessity or the reasonableness of several remaining disbursements, the nature of which are outlined at para. 5 of the Registrar's reasons. They involve reports from various medical or physiotherapy personnel as well as photocopy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Of the 10 discrete items that were in issue at the assessment, the Registrar allowed two in their entirety, reduced four and disallowed five, one of which was for $60 for 6 CDs. From the total amount in dispute of approximately $27,200, the Registrar in her discretion, allowed approximately $16,200.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has now appealed to this court each disbursement that was either disallowed or was reduced in amount by the Registrar. At the commencement of the appeal, the plaintiff abandoned the claim of $60 for media duplication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As in all appeals, the appropriate standard of review is of crucial significance. Both parties acknowledge that the present appeal is not in the nature of a hearing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xml:space="preserve">, and agree the appropriate standard of review is whether the Registrar was clearly or plainly wrong or her assessment was based on an error in principle. If the appellant is unable to establish that the Registrar was clearly wrong or erred in principle, then an appellate court should not interfere with the proper exercise of the Registrar's decision: see </w:t>
      </w:r>
      <w:r>
        <w:rPr>
          <w:rFonts w:ascii="arial" w:eastAsia="arial" w:hAnsi="arial" w:cs="arial"/>
          <w:i/>
          <w:color w:val="000000"/>
          <w:sz w:val="20"/>
          <w:lang w:val="en-US" w:eastAsia="en-US" w:bidi="ar-SA"/>
        </w:rPr>
        <w:t>Fairchild v. British Columbia (Vancouver Coastal Health Authority</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2012 BCSC 1207</w:t>
        </w:r>
      </w:hyperlink>
      <w:r>
        <w:rPr>
          <w:rFonts w:ascii="arial" w:eastAsia="arial" w:hAnsi="arial" w:cs="arial"/>
          <w:color w:val="000000"/>
          <w:sz w:val="20"/>
          <w:lang w:val="en-US" w:eastAsia="en-US" w:bidi="ar-SA"/>
        </w:rPr>
        <w:t xml:space="preserve"> at paras.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addition, as the defendant has pointed out, Rule 14-1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is instructive. Subsection (5) states:</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assessing costs under subrule (2) or (3) of this rule, a registrar must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which disbursements have been necessarily or properly incurred in the conduct of the proceeding,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 reasonable amount for those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Moreover, Rule 1-3(2) is relevant with respect to the discretion to be judicially exercised by a Registrar when determining what is a reasonable amount for disbursements in any proceeding. This section states: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Securing the just, speedy and inexpensive determination of a proceeding on its merits includes, so far as is practicable, conducting the proceeding in ways that are proportionate to</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issues in dispute,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parties provided many authorities dealing with the issue of a Registrar's assessment and what is a reasonable cost for a disbursement, having regard to the particular circumstances of each case. I have considered the facts and principles in these various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test for determining whether a disbursement is to be allowed was set out by our Court of Appeal in </w:t>
      </w:r>
      <w:r>
        <w:rPr>
          <w:rFonts w:ascii="arial" w:eastAsia="arial" w:hAnsi="arial" w:cs="arial"/>
          <w:i/>
          <w:color w:val="000000"/>
          <w:sz w:val="20"/>
          <w:lang w:val="en-US" w:eastAsia="en-US" w:bidi="ar-SA"/>
        </w:rPr>
        <w:t>Van Daele v. Van Daele</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(1983), 56 B.C.L.R. 178</w:t>
        </w:r>
      </w:hyperlink>
      <w:r>
        <w:rPr>
          <w:rFonts w:ascii="arial" w:eastAsia="arial" w:hAnsi="arial" w:cs="arial"/>
          <w:color w:val="000000"/>
          <w:sz w:val="20"/>
          <w:lang w:val="en-US" w:eastAsia="en-US" w:bidi="ar-SA"/>
        </w:rPr>
        <w:t xml:space="preserve"> (C.A.). At 180,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proper test, it seems to me, from a number of authorities referred to us this morning is whether at the time the disbursement or expense was incurred it was a proper disbursement in the sense of not being extravagant, negligent, mistaken or a result of excessive caution or excessive zeal, judged by the situation at the time when the disbursement or expense was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When applying this test, the role of the Registrar was described in </w:t>
      </w:r>
      <w:r>
        <w:rPr>
          <w:rFonts w:ascii="arial" w:eastAsia="arial" w:hAnsi="arial" w:cs="arial"/>
          <w:i/>
          <w:color w:val="000000"/>
          <w:sz w:val="20"/>
          <w:lang w:val="en-US" w:eastAsia="en-US" w:bidi="ar-SA"/>
        </w:rPr>
        <w:t>Bell v. Fantini</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(1981), 32 B.C.L.R. 322</w:t>
        </w:r>
      </w:hyperlink>
      <w:r>
        <w:rPr>
          <w:rFonts w:ascii="arial" w:eastAsia="arial" w:hAnsi="arial" w:cs="arial"/>
          <w:color w:val="000000"/>
          <w:sz w:val="20"/>
          <w:lang w:val="en-US" w:eastAsia="en-US" w:bidi="ar-SA"/>
        </w:rPr>
        <w:t xml:space="preserve"> (S.C.). The court had this to say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 consider that Rule 57(4) entitles the Registrar to exercise a wide discretion to disallow disbursements in whole or in part where the disbursements appear to him to have been incurred or increased through extravagance,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mistake or by payment of unjustified charges or expenses. The Registrar must consider all the circumstances of each case and determine whether the disbursements were reasonably incurred and were justified. He must be careful to balance his duty to disallow expenses incurred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mistake, or which are extravagant, with his duty to recognize that a carefully prepared case requires that counsel use care in the choice of expert witnesses and examine all sources of information and possible evidence which may be of advantage to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Moreover, in </w:t>
      </w:r>
      <w:r>
        <w:rPr>
          <w:rFonts w:ascii="arial" w:eastAsia="arial" w:hAnsi="arial" w:cs="arial"/>
          <w:i/>
          <w:color w:val="000000"/>
          <w:sz w:val="20"/>
          <w:lang w:val="en-US" w:eastAsia="en-US" w:bidi="ar-SA"/>
        </w:rPr>
        <w:t>Hall v. Strocel</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(1983), 34 C.P.C. 170</w:t>
        </w:r>
      </w:hyperlink>
      <w:r>
        <w:rPr>
          <w:rFonts w:ascii="arial" w:eastAsia="arial" w:hAnsi="arial" w:cs="arial"/>
          <w:color w:val="000000"/>
          <w:sz w:val="20"/>
          <w:lang w:val="en-US" w:eastAsia="en-US" w:bidi="ar-SA"/>
        </w:rPr>
        <w:t xml:space="preserve"> at para. 10 (B.C.S.C.), the court concluded that when dealing with disbursements for expert reports, "the unsuccessful party should only be responsible for a reasonable fee," not unlimited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the plaintiff has noted, the court in </w:t>
      </w:r>
      <w:r>
        <w:rPr>
          <w:rFonts w:ascii="arial" w:eastAsia="arial" w:hAnsi="arial" w:cs="arial"/>
          <w:i/>
          <w:color w:val="000000"/>
          <w:sz w:val="20"/>
          <w:lang w:val="en-US" w:eastAsia="en-US" w:bidi="ar-SA"/>
        </w:rPr>
        <w:t>Zaenker v. Kirk</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2008 BCSC 1460</w:t>
        </w:r>
      </w:hyperlink>
      <w:r>
        <w:rPr>
          <w:rFonts w:ascii="arial" w:eastAsia="arial" w:hAnsi="arial" w:cs="arial"/>
          <w:color w:val="000000"/>
          <w:sz w:val="20"/>
          <w:lang w:val="en-US" w:eastAsia="en-US" w:bidi="ar-SA"/>
        </w:rPr>
        <w:t>, outlined the distinction between necessary disbursements and proper disbursements. At para. 24,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On the other hand, "necessary" disbursements are essential disbursements, which means that they are outlays that could not be avoided in the conduct of the proceeding, whereas "proper" disbursements are those reasonably incurred in the conduct of the proceeding but are, strictly speaking, avoidable: </w:t>
      </w:r>
      <w:r>
        <w:rPr>
          <w:rFonts w:ascii="arial" w:eastAsia="arial" w:hAnsi="arial" w:cs="arial"/>
          <w:i/>
          <w:color w:val="000000"/>
          <w:sz w:val="20"/>
          <w:lang w:val="en-US" w:eastAsia="en-US" w:bidi="ar-SA"/>
        </w:rPr>
        <w:t>McKenzie v. Darke</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(2003), 120 A.C.W.S. (3d) 380</w:t>
        </w:r>
      </w:hyperlink>
      <w:r>
        <w:rPr>
          <w:rFonts w:ascii="arial" w:eastAsia="arial" w:hAnsi="arial" w:cs="arial"/>
          <w:color w:val="000000"/>
          <w:sz w:val="20"/>
          <w:lang w:val="en-US" w:eastAsia="en-US" w:bidi="ar-SA"/>
        </w:rPr>
        <w:t xml:space="preserve"> (BCSC Registrar)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well, proportionality does not overwhelm the analysis of what would otherwise be a proper expense. See </w:t>
      </w:r>
      <w:r>
        <w:rPr>
          <w:rFonts w:ascii="arial" w:eastAsia="arial" w:hAnsi="arial" w:cs="arial"/>
          <w:i/>
          <w:color w:val="000000"/>
          <w:sz w:val="20"/>
          <w:lang w:val="en-US" w:eastAsia="en-US" w:bidi="ar-SA"/>
        </w:rPr>
        <w:t>Gill v. Widjaja</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2011 BCSC 1822</w:t>
        </w:r>
      </w:hyperlink>
      <w:r>
        <w:rPr>
          <w:rFonts w:ascii="arial" w:eastAsia="arial" w:hAnsi="arial" w:cs="arial"/>
          <w:color w:val="000000"/>
          <w:sz w:val="20"/>
          <w:lang w:val="en-US" w:eastAsia="en-US" w:bidi="ar-SA"/>
        </w:rPr>
        <w:t>,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Leverman v. Prince George (City)</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2000 BCSC 697</w:t>
        </w:r>
      </w:hyperlink>
      <w:r>
        <w:rPr>
          <w:rFonts w:ascii="arial" w:eastAsia="arial" w:hAnsi="arial" w:cs="arial"/>
          <w:color w:val="000000"/>
          <w:sz w:val="20"/>
          <w:lang w:val="en-US" w:eastAsia="en-US" w:bidi="ar-SA"/>
        </w:rPr>
        <w:t>, the court reiterated at para. 26 that "the germane time to consider is the time of the reports' preparation and the status of litigation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these principles in mind, I turn to the specific disbursements that are the subject matter of this appeal and in the order the Registrar dealt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Physiotherapy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obtained three physiotherapists' reports. The first was Ms. Cuttiford's report of September 23, 2010, approximately five weeks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second report was a neuro-physiotherapy report prepared on September 25, 2010, by Ms. Koshman, a vestibular physiotherapist. A third report was prepared by Ms. Koshman in December 2012, approximately 18 months after the plaintiff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noting the position of both the plaintiff and defendant, the Registrar observed that plaintiff's counsel acknowledged the reports of Ms. Koshman could not be relied on to provide an opinion on causation, prognosis or treatment, thereby necessitating a report from another expert, a Dr. Longridge. It is to be noted that the defendant also contested the necessity of Dr. Longridge's report. The Registrar, however, agreed with the plaintiff that this report was necessary and allowed this disbursement in its entirety. On the other hand, the Registrar concluded the reports of Ms. Koshman were not necessary. In addition, the Registrar noted the defendant's argument that as the plaintiff had returned to work and counsel was aware the plaintiff's symptoms had largely resolved by the time the second report was requested, this report from Ms. Koshman was not necessary or proper. The Registrar agreed with the defendant on this point and disallowed the cost of Ms. Koshman's second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addition, as far as all three reports are concerned, the Registrar stated at para. 39 of her decision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However, in my respectful view, these reports are an example of the plaintiff purchasing the Cadillac when the so-called Buick would serve the required purpose. The Buick in this case is the therapists' clinical records. It is those documents which record the contemporaneous symptoms during assessment and provide records of treatment and outcome. Given that the plaintiff was being followed by a family doctor, a rehabilitation consultant and eventually various specialists, I see no need or propriety in commissioning reports from the physiotherapists. Accordingly, these disbursements are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a result, the disbursements for these three reports were disallowed. The plaintiff says the Registrar erred in principle in so doing. I take it from plaintiff's counsel's oral submissions that the principles to which he is referring are:</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Registrar must not second guess competent counsel doing a competent job"; and</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Registrar must not focus on the usefulness of the report to a trier of fact but whether, in the circumstances, it was a proper expenditure to fully and properly prepare the case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this latter point, the Registrar stated she did not reach her decision merely on the basis that the trier of fact could not consider the opinions contained in Ms. Koshman's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also says the Registrar erred in principle and was wrong when she concluded plaintiff's counsel acknowledged Ms. Koshman's initial report was unreliable and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regard, counsel on appeal submits that trial counsel deposed that "Ms. Koshman's report provided an objective measure of the plaintiff's vestibular difficulties" and that "evidence of objective injury, both early and following a course of treatment was very useful in this case," a case in which at that time, even liability was not being admitted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Trial counsel also deposed that "the services rendered were in my judgment as counsel necessary and proper for the conduct of the proceeding." While I accept the plaintiff's submission that counsel did not depose that Ms. Koshman's report was unnecessary, the Registrar also concluded that the therapist's clinical records were sufficient to record the plaintiff's "contemporaneous symptoms during assessment and provide records of treatment and outcome," and when coupled with the fact that the plaintiff was seeing his family doctor, a rehabilitation consultant and eventually various specialists, the Registrar concluded the reports were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response, the plaintiff submits that clinical records have a limited use, and it was an error in principle for the Registrar to conclude the physiotherapist reports were extravagant or overzealous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main argument the plaintiff makes is that the physiotherapists were material witnesses that would provide opinion evidence at trial and therefore Rule 11-6 requires that their opinion be contained in an expert report. Connected to this is an argument that only limited use can be made of clinical records because any opinions they contain are not admissible for their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 also submits that there was a risk that "an adverse inference could be drawn" in the absence of this evidence. This argument appears to be at odds with the comments of our Court of Appeal 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where it was noted that "in today's patchwork of medical services" the fear that an adverse inference will be drawn is inappropriate because it "raises the likelihood of increased litigation costs attendant upon more medical reports from physicians or additional attendances of physicians at court, with little added to the trial process but time and expense, and nothing added to the knowledge of counsel"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addition, the defendant also submits that Ms. Cuttiford provided opinions which exceeded her expertise and that it was the general physician who would provide the best evidence in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the Registrar adequately addressed these issues and provided sufficient reasons when exercising her discretion to disallow these very early physiotherapy reports. I am unable to say she was clearly wrong or erred in principle in reaching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Given the relevant circumstances, the second Koshman report of December 29, 2012 is even more problematic for the plaintiff. In this report, Ms. Koshman states that she saw the plaintiff for 14 treatment sessions between September of 2010 and March 24, 2011, before he returned to work in April of 2011. For the purposes of preparing the December of 2012 report, she reassessed the plaintiff on November 30, 2012, some 20 months after the plaintiff's last treatment. Trial counsel deposed as to why these reports were ordered. However, it is not sufficient for the plaintiff to merely demonstrate that these reports and expenses were "very useful in this case". As such, I do not find that the Registrar was merely second-guessing competent counsel. Given all of her reasons, I find the Registrar turned her mind to all the relevant factors and principles in reaching 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result, I am not satisfied the plaintiff has established that the Registrar was clearly wrong or erred in principle in concluding that Ms. Koshman's second report was unnecessary and extravagant. This aspect of the plaintiff's appeal is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Corney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Corney prepared a neuropsychological report. The Registrar observed that the defendant acknowledged that such an investigation and report was necessary and proper. What the defendant did object to was the commission of a second assessment and report by Dr. Corney, once the plaintiff had largely recovered from his injuries and had returned to full-time work. The defendant submitted this second report was also an example of "excessive zeal."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Registrar disagreed and concluded the second report was justified, given the plaintiff's family doctor suggested that the plaintiff had cognitive problems that "might limit the plaintiff's aspirations in life," coupled with counsel's view as to the necessity of providing the court with current evidence concerning the plaintiff's condition, by way of Dr. Corney's second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However, while the Registrar concluded both reports were justified, she was of the view the "charges" for the reports ought to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primary reasons for this conclusion are twofold. First, the charges included the cost of "propriety tests" which the defendant submitted were basically an overhead cost and as such should not be borne by the defendant. In addition, both reports included office "administration" costs associated with preparing each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Second, the Registrar was provided with "some evidence" of "the alternative costs of a neuropsychological assessment and report" and concluded "it would appear" the cost of these reports exceeded "those typically seen in the local market." The "hearsay" evidence introduced by the defendant (to which no objection was taken by counsel for the plaintiff at the assessment hearing) suggested a range from $2,500 to $4,000 for an assessment and report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the Registrar briefly referred to "much duplication" in the two reports and "boilerplate" information, in my view it is clear that the primary reasons for reducing the costs of these reports were the administrative costs and the local "market rate" of charges from other similarly qualified medical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Turning to the issue of what four other local experts might have charged for similar reports, I am of the view it was reasonable and appropriate for the Registrar to consider this information as a factor in determining whether the cost of the reports, beyond the administrative costs Dr. Corney included in his invoice, was reasonable. On this point, I appreciate counsel for the plaintiff on the appeal made submissions as to the differences between Dr. Corney's practice and the different practices of the other doctors and whether or not some of these other experts would deal with all of the matters at issue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However, given the totality of the circumstances, I agree with the defendant that this "evidence" of the "going rate" or "market rate" was an appropriate factor for the experienced Registrar to consider in assessing the reasonableness of Dr. Corney's charges. I am not satisfied this information overwhelmed her assessment but rather was only one factor the Registrar considered. In my view, she was entitled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also says the Registrar erred "by allowing proportionality to again overwhelm the question of whether the costs of the disbursements were reasonable, when she considered these charges" in proportion to the amount involved. The Registrar, however, stated she also took into consideration, in addition to the evidence presented and the other factors I have already noted, the "complexity and importance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Finally, I am satisfied the Registrar was justified in reducing the cost of these two reports by the amount represented as administrative or overhead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a result, I find the Registrar was justified in exercising her discretion in reducing the cost of these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Filbey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Filbey is a physiatrist, retained by the plaintiff. He prepared two reports, the first in October 2011, and the second in April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Registrar concluded that the first report in 2011 was justified and the cost was reasonable but that the second assessment and report from Dr. Filbey was not "necessary or proper for the conduct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her decision, the learned Registrar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Dr. Filbey's first report confirms that balance issues and neurocognitive symptoms had resolved to near "100%" at the time of the first assessment. The prognosis was very favourable, albeit any ongoing problems were suggested to be in the cognitive area. The only recommendation with respect to physical symptoms was access to therapy for acute on [sic] chronic exacerbations. In particular, there is no recommendation for a follow up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To commission a second report from this expert reflects excessive zeal or, in the vernacular, overkill. The plaintiff was justified in obtaining opinions to address cognitive symptoms from the neuropsychologist, but there was no need for Dr. Filbey to simply re-visit his earlier recommendations for treatment. Indeed, the second report is largely duplicative of the first report in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submitting the Registrar was wrong or erred in principle in not allowing the cost of Dr. Filbey's second report, the plaintiff understandably referred to the affidavit evidence of experienced trial counsel which emphasized counsel's view that an updated report from Dr. Filbey was indeed necessary and the obtaining of two reports from specialists was his practice "and the practice of other lawyers in my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a result, the plaintiff submits the Registrar was merely second-guessing competent counsel and erred in so doing, especially when at the time of requesting the second reports, "all aspects of damages were denied by the defendant and the defendant would not admit that the plaintiff sustained a brain injury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On this point, the defendant recognizes the direction contained in </w:t>
      </w:r>
      <w:r>
        <w:rPr>
          <w:rFonts w:ascii="arial" w:eastAsia="arial" w:hAnsi="arial" w:cs="arial"/>
          <w:i/>
          <w:color w:val="000000"/>
          <w:sz w:val="20"/>
          <w:lang w:val="en-US" w:eastAsia="en-US" w:bidi="ar-SA"/>
        </w:rPr>
        <w:t>McKenzie v. Darke</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2003 BCSC 138</w:t>
        </w:r>
      </w:hyperlink>
      <w:r>
        <w:rPr>
          <w:rFonts w:ascii="arial" w:eastAsia="arial" w:hAnsi="arial" w:cs="arial"/>
          <w:color w:val="000000"/>
          <w:sz w:val="20"/>
          <w:lang w:val="en-US" w:eastAsia="en-US" w:bidi="ar-SA"/>
        </w:rPr>
        <w:t>. At para. 21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Taxing officers ought not to second guess a competent counsel doing a competent job, solely on the grounds that other counsel might have been more sanguine or less cautious in determining how the job should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however, submits that the Registrar disallowed the cost of the second report not "solely" because other counsel might have been more sanguine, but because there was ample other evidence to support the Registrar's decision that to commission the second report reflected excessive zeal in properly preparing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Moreover, the defendant submits the Registrar was at liberty not to accept trial counsel's evidence of necessity and refers to the statement of Legg J. in </w:t>
      </w:r>
      <w:r>
        <w:rPr>
          <w:rFonts w:ascii="arial" w:eastAsia="arial" w:hAnsi="arial" w:cs="arial"/>
          <w:i/>
          <w:color w:val="000000"/>
          <w:sz w:val="20"/>
          <w:lang w:val="en-US" w:eastAsia="en-US" w:bidi="ar-SA"/>
        </w:rPr>
        <w:t>Bell</w:t>
      </w:r>
      <w:r>
        <w:rPr>
          <w:rFonts w:ascii="arial" w:eastAsia="arial" w:hAnsi="arial" w:cs="arial"/>
          <w:color w:val="000000"/>
          <w:sz w:val="20"/>
          <w:lang w:val="en-US" w:eastAsia="en-US" w:bidi="ar-SA"/>
        </w:rPr>
        <w:t xml:space="preserve"> at para. 24, where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Registrar is not bound to accept an affidavit of counsel that in counsel's opinion the employment of the expert or the incurring of the expense was justified or that it was necessary for the attainment of justice when the Registrar is considering allowing or disallowing the disbursement under this rule. He should give careful consideration to any such affidavit and he must weigh what is deposed to against any affidavit that deposes to the opposite effect. His duty under the rule is to determine whether the expense is a reasonable and justifiable expense which </w:t>
      </w:r>
      <w:r>
        <w:rPr>
          <w:rFonts w:ascii="arial" w:eastAsia="arial" w:hAnsi="arial" w:cs="arial"/>
          <w:i/>
          <w:color w:val="000000"/>
          <w:sz w:val="20"/>
          <w:lang w:val="en-US" w:eastAsia="en-US" w:bidi="ar-SA"/>
        </w:rPr>
        <w:t>should be borne by the unsuccessful litigant</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defendant submits the Registrar "expressly considered the evidence of trial counsel" as to the necessity of Dr. Filbey's second report, but clearly rejected this evidence in favour of other evidence, which she was entitled to do, as the Registrar "must consider all of the circumstances of each case and determine whether the disbursements were reasonably incurred and were justified." See </w:t>
      </w:r>
      <w:r>
        <w:rPr>
          <w:rFonts w:ascii="arial" w:eastAsia="arial" w:hAnsi="arial" w:cs="arial"/>
          <w:i/>
          <w:color w:val="000000"/>
          <w:sz w:val="20"/>
          <w:lang w:val="en-US" w:eastAsia="en-US" w:bidi="ar-SA"/>
        </w:rPr>
        <w:t>Bell</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says this evidence included both the fact that a neuropsychological assessment was commissioned in 2013 as well as a report from the plaintiff's general physician, thus undermining any reasonable suggestion that the plaintiff would have proceeded to trial without current reports as to his condition and symptoms, or lack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addition, the plaintiff had not received any treatment since Dr. Filbey first assessed him in October 2011. At the time the second report was commissioned, the plaintiff was back to work full-time and actively engaged in pre-accident activities, as confirmed by the plaintiff in his examination for discovery on January 14,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there is no question that updated reports have been found proper in many cases, I am satisfied there was again a sufficient evidentiary foundation for the Registrar to exercise her discretion and to find it was not reasonable or proper and reflected excessive zeal, when the plaintiff ordered a second report from Dr. Filbey.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Given all of the circumstances, I am not satisfied the appellant has established that the Registrar was clearly wrong or erred in principle when she concluded Dr. Filbey's second report was not necessary or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Barbara Phillips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Phillips is a rehabilitation consultant who prepared two reports for the plaintiff. The first report was issued on October 18, 2010, and cost $800; the second report was issued in May 2013 and referred to the cost of future care. This report cost $2,480. The defendant accepted the first report was necessary but submitted to the Registrar that the second report was improper, unnecessary and the product of overzealous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Registrar disagreed with the defendant's submission and found it was necessary and proper to obtain the 2013 report, given the plaintiff's family doctor recommended "some future care" for the plaintiff. She concluded, "I find that it was proper to commission a report from Ms. Phillips to provide evidence and an opinion on these potential costs"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the Registrar reduced the amount charged for the second report to $1,200 (inclusive of taxes). As was the case with Dr. Corney's charges, the Registrar referred to a charge or fee included by Ms. Phillips of $350 for what the Registrar deemed "equivalent to office overhead," an expense she determined should not be borne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Registrar then stated at para.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In terms of proportionality, the actual amount of future care costs which the plaintiff agreed to accept in settlement is $1,500. That sum is not, of course, the only measure of what is reasonable for this report on a proportionality basis, but it is one fact that ought to be considered in assessing reasonableness. In addition, the actual future care costs are rather simple relative to such costs in more complex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 submits that the Registrar fell into error by considering the settlement of $1,500 agreed to by the plaintiff for "the actual amount of future care costs" and gave inappropriate weight to this ultimate actual cost when assessing whether the cost of Ms. Phillips' second report was reasonable. On this point, there is no doubt, as I have noted, that second-guessing counsel solely on the basis of a final actual settlement figure is clearly wrong. Indeed, it appears the learned Registrar acknowledged this to a certain degree in </w:t>
      </w:r>
      <w:r>
        <w:rPr>
          <w:rFonts w:ascii="arial" w:eastAsia="arial" w:hAnsi="arial" w:cs="arial"/>
          <w:i/>
          <w:color w:val="000000"/>
          <w:sz w:val="20"/>
          <w:lang w:val="en-US" w:eastAsia="en-US" w:bidi="ar-SA"/>
        </w:rPr>
        <w:t>Harvey v. Tooshley</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2014 BCSC 433</w:t>
        </w:r>
      </w:hyperlink>
      <w:r>
        <w:rPr>
          <w:rFonts w:ascii="arial" w:eastAsia="arial" w:hAnsi="arial" w:cs="arial"/>
          <w:color w:val="000000"/>
          <w:sz w:val="20"/>
          <w:lang w:val="en-US" w:eastAsia="en-US" w:bidi="ar-SA"/>
        </w:rPr>
        <w:t xml:space="preserve"> at para. 40, a taxation assessment heard after the </w:t>
      </w:r>
      <w:r>
        <w:rPr>
          <w:rFonts w:ascii="arial" w:eastAsia="arial" w:hAnsi="arial" w:cs="arial"/>
          <w:i/>
          <w:color w:val="000000"/>
          <w:sz w:val="20"/>
          <w:lang w:val="en-US" w:eastAsia="en-US" w:bidi="ar-SA"/>
        </w:rPr>
        <w:t>Salsman</w:t>
      </w:r>
      <w:r>
        <w:rPr>
          <w:rFonts w:ascii="arial" w:eastAsia="arial" w:hAnsi="arial" w:cs="arial"/>
          <w:color w:val="000000"/>
          <w:sz w:val="20"/>
          <w:lang w:val="en-US" w:eastAsia="en-US" w:bidi="ar-SA"/>
        </w:rPr>
        <w:t xml:space="preserve"> taxation assessment, when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Second, the amount of settlement or judgment should not play any part in the costs assessment process. To the extent that any decisions rendered by me unintentionally suggest otherwise, I stand corrected. Proportionality is a broad concept and includes a consideration of the importance of the matter and the amount involved in a proceeding. The most that an assessing officer could consider is whether the cost of the disbursement, </w:t>
      </w:r>
      <w:r>
        <w:rPr>
          <w:rFonts w:ascii="arial" w:eastAsia="arial" w:hAnsi="arial" w:cs="arial"/>
          <w:i/>
          <w:color w:val="000000"/>
          <w:sz w:val="20"/>
          <w:lang w:val="en-US" w:eastAsia="en-US" w:bidi="ar-SA"/>
        </w:rPr>
        <w:t>when incurred</w:t>
      </w:r>
      <w:r>
        <w:rPr>
          <w:rFonts w:ascii="arial" w:eastAsia="arial" w:hAnsi="arial" w:cs="arial"/>
          <w:color w:val="000000"/>
          <w:sz w:val="20"/>
          <w:lang w:val="en-US" w:eastAsia="en-US" w:bidi="ar-SA"/>
        </w:rPr>
        <w:t>, was proportionate to the reasonably anticipated loss or damages. The concept of proportionality as it relates to the amount involved should not be applied retrospectively once judgment is rendered or settlement accomplished.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for the defendant acknowledged that the concept of proportionality was of concern when she submitted in written submissions that "arguably the future care settlement amount should not have been taken into account because the relevant time for the analysis is when the expert is retained to prepare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Nevertheless, the defendant says that proportionality is a relevant consideration and given Dr. Filbey's 2011 report and Dr. Grimwood's report of April 2013, as well as the plaintiff's own evidence, at the time Ms. Phillips' second report was ordered, "it was readily apparent that future care costs would be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her reasons in the present case, the Registrar also referred to the fact that "a fair portion" of the second report is "mere repetition of information" in the first report and the two cited medical reports. She considered as well the very modest recommendations for costs of future care. These factors were all relevant in her assessment as to whether the total cost of the second report was reasonable. That is, she did not restrict her analysis to the actual cost of future care in the final settlement. Even though there was a reference to the actual final settlement for the cost of future care, the Registrar identified these other factors when concluding what would be a reasonable charge for Ms. Phillips' second bill. In my view, it cannot be said that the Registrar was overwhelmed in her analysis by the final actual cost of care, nor was it the sole reason she reduced the charge for Ms. Phillips' second report. As a result, once again her overall analysis should be given deference.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Upon reviewing the Registrar's decision in its entirety, I am of the view that the Registrar was applying the relevant principles appropriately throughout her assessment, as proportionality is a relevant factor when determining whether a disbursement is reasonable at the time the expense was incurred: see </w:t>
      </w:r>
      <w:r>
        <w:rPr>
          <w:rFonts w:ascii="arial" w:eastAsia="arial" w:hAnsi="arial" w:cs="arial"/>
          <w:i/>
          <w:color w:val="000000"/>
          <w:sz w:val="20"/>
          <w:lang w:val="en-US" w:eastAsia="en-US" w:bidi="ar-SA"/>
        </w:rPr>
        <w:t>Luo v. De Chavez</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2013 BCSC 1635</w:t>
        </w:r>
      </w:hyperlink>
      <w:r>
        <w:rPr>
          <w:rFonts w:ascii="arial" w:eastAsia="arial" w:hAnsi="arial" w:cs="arial"/>
          <w:color w:val="000000"/>
          <w:sz w:val="20"/>
          <w:lang w:val="en-US" w:eastAsia="en-US" w:bidi="ar-SA"/>
        </w:rPr>
        <w:t xml:space="preserve"> at para. 2; </w:t>
      </w:r>
      <w:r>
        <w:rPr>
          <w:rFonts w:ascii="arial" w:eastAsia="arial" w:hAnsi="arial" w:cs="arial"/>
          <w:i/>
          <w:color w:val="000000"/>
          <w:sz w:val="20"/>
          <w:lang w:val="en-US" w:eastAsia="en-US" w:bidi="ar-SA"/>
        </w:rPr>
        <w:t>Turner v. Whittaker</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2013 BCSC 712</w:t>
        </w:r>
      </w:hyperlink>
      <w:r>
        <w:rPr>
          <w:rFonts w:ascii="arial" w:eastAsia="arial" w:hAnsi="arial" w:cs="arial"/>
          <w:color w:val="000000"/>
          <w:sz w:val="20"/>
          <w:lang w:val="en-US" w:eastAsia="en-US" w:bidi="ar-SA"/>
        </w:rPr>
        <w:t xml:space="preserve"> at para. 5. Moreover, I note the following guidance from Legg J. in </w:t>
      </w:r>
      <w:r>
        <w:rPr>
          <w:rFonts w:ascii="arial" w:eastAsia="arial" w:hAnsi="arial" w:cs="arial"/>
          <w:i/>
          <w:color w:val="000000"/>
          <w:sz w:val="20"/>
          <w:lang w:val="en-US" w:eastAsia="en-US" w:bidi="ar-SA"/>
        </w:rPr>
        <w:t>Bell</w:t>
      </w:r>
      <w:r>
        <w:rPr>
          <w:rFonts w:ascii="arial" w:eastAsia="arial" w:hAnsi="arial" w:cs="arial"/>
          <w:color w:val="000000"/>
          <w:sz w:val="20"/>
          <w:lang w:val="en-US" w:eastAsia="en-US" w:bidi="ar-SA"/>
        </w:rPr>
        <w:t xml:space="preserve">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 have examined the Registrar's decisions on the basis that the Court should rarely interfere with a taxing officer's ruling if it appears that he understood the governing principle in reaching his conclusions. (See </w:t>
      </w:r>
      <w:r>
        <w:rPr>
          <w:rFonts w:ascii="arial" w:eastAsia="arial" w:hAnsi="arial" w:cs="arial"/>
          <w:i/>
          <w:color w:val="000000"/>
          <w:sz w:val="20"/>
          <w:lang w:val="en-US" w:eastAsia="en-US" w:bidi="ar-SA"/>
        </w:rPr>
        <w:t>Bowers v. White</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(1977), 2 B.C.L.R. 355</w:t>
        </w:r>
      </w:hyperlink>
      <w:r>
        <w:rPr>
          <w:rFonts w:ascii="arial" w:eastAsia="arial" w:hAnsi="arial" w:cs="arial"/>
          <w:color w:val="000000"/>
          <w:sz w:val="20"/>
          <w:lang w:val="en-US" w:eastAsia="en-US" w:bidi="ar-SA"/>
        </w:rPr>
        <w:t xml:space="preserve">, per Craig J. (as he then was); </w:t>
      </w:r>
      <w:r>
        <w:rPr>
          <w:rFonts w:ascii="arial" w:eastAsia="arial" w:hAnsi="arial" w:cs="arial"/>
          <w:i/>
          <w:color w:val="000000"/>
          <w:sz w:val="20"/>
          <w:lang w:val="en-US" w:eastAsia="en-US" w:bidi="ar-SA"/>
        </w:rPr>
        <w:t>Frost v. Frost</w:t>
      </w:r>
      <w:r>
        <w:rPr>
          <w:rFonts w:ascii="arial" w:eastAsia="arial" w:hAnsi="arial" w:cs="arial"/>
          <w:color w:val="000000"/>
          <w:sz w:val="20"/>
          <w:lang w:val="en-US" w:eastAsia="en-US" w:bidi="ar-SA"/>
        </w:rPr>
        <w:t xml:space="preserve"> [1941) </w:t>
      </w:r>
      <w:hyperlink r:id="rId790" w:history="1">
        <w:r>
          <w:rPr>
            <w:rFonts w:ascii="arial" w:eastAsia="arial" w:hAnsi="arial" w:cs="arial"/>
            <w:i/>
            <w:color w:val="0077CC"/>
            <w:sz w:val="20"/>
            <w:u w:val="single"/>
            <w:shd w:val="clear" w:color="auto" w:fill="FFFFFF"/>
            <w:lang w:val="en-US" w:eastAsia="en-US" w:bidi="ar-SA"/>
          </w:rPr>
          <w:t>3 W.W.R. 273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Bereti v. Schuette et al</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[1980] B.C.J. No. 802</w:t>
        </w:r>
      </w:hyperlink>
      <w:r>
        <w:rPr>
          <w:rFonts w:ascii="arial" w:eastAsia="arial" w:hAnsi="arial" w:cs="arial"/>
          <w:color w:val="000000"/>
          <w:sz w:val="20"/>
          <w:lang w:val="en-US" w:eastAsia="en-US" w:bidi="ar-SA"/>
        </w:rPr>
        <w:t>, Vancouver Registry No. B790519, July 22, 1980, unreported, per Fulton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Given these principles, I am unable to conclude the plaintiff has established that I should interfere with the exercise of the Registrar's discretion when assessing the reasonableness of the charges for Ms. Phillips' second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Photocopying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now turn to the challenging issue of whether the Registrar was clearly wrong or erred in principle when she reduced the plaintiff's claim for photocopying charges from $3,445 to $1,750.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When dealing with the question of what are reasonable photocopying costs, it is instructive to refer to the comments of two experienced Registrars in past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the decision of </w:t>
      </w:r>
      <w:r>
        <w:rPr>
          <w:rFonts w:ascii="arial" w:eastAsia="arial" w:hAnsi="arial" w:cs="arial"/>
          <w:i/>
          <w:color w:val="000000"/>
          <w:sz w:val="20"/>
          <w:lang w:val="en-US" w:eastAsia="en-US" w:bidi="ar-SA"/>
        </w:rPr>
        <w:t>Fairchild v. Vancouver Coastal Health Authority</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2011 BCSC 616</w:t>
        </w:r>
      </w:hyperlink>
      <w:r>
        <w:rPr>
          <w:rFonts w:ascii="arial" w:eastAsia="arial" w:hAnsi="arial" w:cs="arial"/>
          <w:color w:val="000000"/>
          <w:sz w:val="20"/>
          <w:lang w:val="en-US" w:eastAsia="en-US" w:bidi="ar-SA"/>
        </w:rPr>
        <w:t>, Registrar Sainty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The issue of the appropriate number of photocopies to allow on assessments of costs has been termed a "perennial, never-ending and vexing question" and a "rough and ready exercise" (see </w:t>
      </w:r>
      <w:r>
        <w:rPr>
          <w:rFonts w:ascii="arial" w:eastAsia="arial" w:hAnsi="arial" w:cs="arial"/>
          <w:i/>
          <w:color w:val="000000"/>
          <w:sz w:val="20"/>
          <w:lang w:val="en-US" w:eastAsia="en-US" w:bidi="ar-SA"/>
        </w:rPr>
        <w:t>Sovani v. Jin</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2006 BCSC 855</w:t>
        </w:r>
      </w:hyperlink>
      <w:r>
        <w:rPr>
          <w:rFonts w:ascii="arial" w:eastAsia="arial" w:hAnsi="arial" w:cs="arial"/>
          <w:color w:val="000000"/>
          <w:sz w:val="20"/>
          <w:lang w:val="en-US" w:eastAsia="en-US" w:bidi="ar-SA"/>
        </w:rPr>
        <w:t xml:space="preserve"> (Registrar)). In </w:t>
      </w:r>
      <w:r>
        <w:rPr>
          <w:rFonts w:ascii="arial" w:eastAsia="arial" w:hAnsi="arial" w:cs="arial"/>
          <w:i/>
          <w:color w:val="000000"/>
          <w:sz w:val="20"/>
          <w:lang w:val="en-US" w:eastAsia="en-US" w:bidi="ar-SA"/>
        </w:rPr>
        <w:t>Sovani v. Jin</w:t>
      </w:r>
      <w:r>
        <w:rPr>
          <w:rFonts w:ascii="arial" w:eastAsia="arial" w:hAnsi="arial" w:cs="arial"/>
          <w:color w:val="000000"/>
          <w:sz w:val="20"/>
          <w:lang w:val="en-US" w:eastAsia="en-US" w:bidi="ar-SA"/>
        </w:rPr>
        <w:t>, Registrar Blok (as he then was) said (at paragraph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photocopying costs is typically a rough-and-ready exercise, which is very much in accordance with the comments of the English Court of Appeal in a case called </w:t>
      </w:r>
      <w:r>
        <w:rPr>
          <w:rFonts w:ascii="arial" w:eastAsia="arial" w:hAnsi="arial" w:cs="arial"/>
          <w:i/>
          <w:color w:val="000000"/>
          <w:sz w:val="20"/>
          <w:lang w:val="en-US" w:eastAsia="en-US" w:bidi="ar-SA"/>
        </w:rPr>
        <w:t>Re Eastwood</w:t>
      </w:r>
      <w:r>
        <w:rPr>
          <w:rFonts w:ascii="arial" w:eastAsia="arial" w:hAnsi="arial" w:cs="arial"/>
          <w:color w:val="000000"/>
          <w:sz w:val="20"/>
          <w:lang w:val="en-US" w:eastAsia="en-US" w:bidi="ar-SA"/>
        </w:rPr>
        <w:t>, [1974] 3 All E.R. 603 (C.A.), where the Court said that the assessment of costs was a matter of rough justice insofar as it admitted of much sensible approximation, or words to that effect. That is exactly what registrars must apply when assessing photocopying expenses or considering the volume of photocopying claimed in a case. Thus it is not an exercise of arithmetic or math or the examining of photocopying machinery expenses or matters of that sort, but is often looking at an array of binders, a collection of banker's boxes, assessing what copies were needed for experts, what document discovery was involved, whether there was a jury such that they required individual copies, and all those sorts of matters, and applying experience gained from numerous other cases, to arrive at a sensible approximation of the volume of necessary copy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In Ontario, photocopying expenses have been held to be an item of overhead and thus not compensable on a bill of costs (see </w:t>
      </w:r>
      <w:r>
        <w:rPr>
          <w:rFonts w:ascii="arial" w:eastAsia="arial" w:hAnsi="arial" w:cs="arial"/>
          <w:i/>
          <w:color w:val="000000"/>
          <w:sz w:val="20"/>
          <w:lang w:val="en-US" w:eastAsia="en-US" w:bidi="ar-SA"/>
        </w:rPr>
        <w:t>Caressant Care Nursing Home of Canada Ltd. v. London &amp; District Service Workers' Union, Local 220</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207 O.A.C. 343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[87] The law in Ontario is not, currently, the law in this Province. Registrars in British Columbia are guided by an administrative notice issued by (then) Registrar McCallum which establishes the guideline amount that parties may claim on a bill of costs for photocopying and fax charges as $0.25 per page and $0.35 per page, respectively. Although the administrative notice confirms that those amounts are a guideline only, it seems to me that the fact that there is a guideline at all confirms that a party may claim an amount on a bill of costs for photocopying necessarily or properly incurred in the conduct of the proceeding, and the registrar is to allow a reasonable amount for those copies (see Rule 14-1(5)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Dhillon v. Bowering</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2013 BCSC 1178</w:t>
        </w:r>
      </w:hyperlink>
      <w:r>
        <w:rPr>
          <w:rFonts w:ascii="arial" w:eastAsia="arial" w:hAnsi="arial" w:cs="arial"/>
          <w:color w:val="000000"/>
          <w:sz w:val="20"/>
          <w:lang w:val="en-US" w:eastAsia="en-US" w:bidi="ar-SA"/>
        </w:rPr>
        <w:t>, Registrar Sainty again dealt with the reasonableness of charges for photocopying and again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[130] The issue of photocopies on assessments of costs has been said to be a "perennial, never-ending and vexing question" (Registrar Blok, as he then was, in </w:t>
      </w:r>
      <w:r>
        <w:rPr>
          <w:rFonts w:ascii="arial" w:eastAsia="arial" w:hAnsi="arial" w:cs="arial"/>
          <w:i/>
          <w:color w:val="000000"/>
          <w:sz w:val="20"/>
          <w:lang w:val="en-US" w:eastAsia="en-US" w:bidi="ar-SA"/>
        </w:rPr>
        <w:t>Sovani v. Jin</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2006 CarswellBC 1347</w:t>
        </w:r>
      </w:hyperlink>
      <w:r>
        <w:rPr>
          <w:rFonts w:ascii="arial" w:eastAsia="arial" w:hAnsi="arial" w:cs="arial"/>
          <w:color w:val="000000"/>
          <w:sz w:val="20"/>
          <w:lang w:val="en-US" w:eastAsia="en-US" w:bidi="ar-SA"/>
        </w:rPr>
        <w:t xml:space="preserve"> (B.C.S.C. [In Chambers])],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cannot agree more. That is why, as I noted earlier, some "rough and ready" justice must be brought to bear on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present case, another experienced Registrar dealt with this vexing question. In her reasons she had this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Photocopying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The photocopying charges of the plaintiff reflect reproduction of between 11,000 and 13,000 pages. In contrast, the defence records show that about 3,500 documents were reproduced in the conduct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The explanation or justification provided by the plaintiff is essentially threefold: the plaintiff was required to copy all medical records for the use by each of the experts; the "tricky liability" issue in this case required two defence counsel, each of whom would be copied various documents and correspondence; and ICBC's rehabilitation consultant requested copies of all medical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The plaintiff's file consisted of eight binders varying from one to three inches in width and four bucket files.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The assessment of photocopying charges is not a matter of page counting or simple reliance on the copying machine's records. Rather, the registrar's approach to this disbursement is a "rough and ready exercise": </w:t>
      </w:r>
      <w:r>
        <w:rPr>
          <w:rFonts w:ascii="arial" w:eastAsia="arial" w:hAnsi="arial" w:cs="arial"/>
          <w:i/>
          <w:color w:val="000000"/>
          <w:sz w:val="20"/>
          <w:lang w:val="en-US" w:eastAsia="en-US" w:bidi="ar-SA"/>
        </w:rPr>
        <w:t>Sovani v. Jin,</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2006 BCSC 855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Dhillon v. Bowering,</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2013 BCSC 1178</w:t>
        </w:r>
      </w:hyperlink>
      <w:r>
        <w:rPr>
          <w:rFonts w:ascii="arial" w:eastAsia="arial" w:hAnsi="arial" w:cs="arial"/>
          <w:color w:val="000000"/>
          <w:sz w:val="20"/>
          <w:lang w:val="en-US" w:eastAsia="en-US" w:bidi="ar-SA"/>
        </w:rPr>
        <w:t xml:space="preserve"> at paras. 130-132.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Here, I am not persuaded that the volume of copying presented by the plaintiff was necessary or proper for the conduct of this proceeding. Nor am I persuaded that all of the necessary or proper copying ought to have been done "in-house".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I allow the sum of $1,750 for this disbursement, inclusive of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says the Registrar was clearly wrong or erred in principle when she reduced the photocopying costs. On appeal the plaintiff advanced several reasons why the Registrar was wrong. They are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submits the Defendant's number of copies support his claim for photocopies as claimed, rather than a decreased amount. Using the Defendant's copies as a measuring stick, the Registrar ought to have considered there were two defense firms involved and the Plaintiff had to submit documents to each of them; the Plaintiff provided both defense firms with documents and they did not have to make their own copies. Thus, this is already two-thirds of the Plaintiffs claimed photocopies. It also fails to consider the Plaintiff also had to provide its experts with documents and some of those expenses were allowed or not challenged. Thus, the Plaintiff had more experts than the Defendants and also provided records to the Defendants' occupational therapist.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submits the copies made were reasonable. There were 1320 pages of documents in the Plaintiff's List of Documents. These included relevant documents that were sent to the Plaintiff's experts and copies requested by the Defendants. The Plaintiff obtained the records from various third parties and provided copies of those documents to ICBC. In addition, there were two defense firms involved in this matter, plus the case manager, Carol Talley. The Plaintiff also retained more experts than the Defendants. Given these facts, the case necessarily involved a large volume of documents copied by the Plaintiff.</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reasonable and proper for the Plaintiff to have the copies done in house. The documents were his medical and employment records; they contain sensitive information that ought not be jeopardized by sending them to a third party. In addition to copying, many documents also required organizing, which is not feasible to expect from a third party who has no legal skill or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my view, the Registrar was clearly alive to these submissions. In her reasons she referred specifically to the submissions the plaintiff made at the assessment as to why, in the plaintiff's view, the total cost was justified. Also, it is well established that there is no presumption that all photocopies are for the purpose of litigation and are necessary: </w:t>
      </w:r>
      <w:r>
        <w:rPr>
          <w:rFonts w:ascii="arial" w:eastAsia="arial" w:hAnsi="arial" w:cs="arial"/>
          <w:i/>
          <w:color w:val="000000"/>
          <w:sz w:val="20"/>
          <w:lang w:val="en-US" w:eastAsia="en-US" w:bidi="ar-SA"/>
        </w:rPr>
        <w:t>Turner v. Whittaker</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2013 BCSC 712</w:t>
        </w:r>
      </w:hyperlink>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Raju v. Bui</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2008 BCSC 1230</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Moreover, I am not satisfied it can be said that the Registrar simply "accepted the figure the defendant proposed", as the plaintiff has submitted, as the award of $1,750 equates to 7,000 pages at $.25 a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Once again, given the circumstances of this particular case and applying the proper test for appellate review, I am not persuaded the appellant has established the Registrar was clearly wrong or erred in principle when she reduced the cost of photocopying by the amount she did. In my view, this decision was a proper exercise of her discretion as mandated by the authorities and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has been successful on this appeal. Unless there is something I am unaware of, the defendant is entitled to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B.D. 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Trociuk v. British Columbia, [2008] B.C.J. No. 2355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A.H. Silverman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S045944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2355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1597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304 D.L.R. (4th) 699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172 A.C.W.S. (3d) 902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Darrell Wayne Trociuk,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31"/>
      <w:bookmarkEnd w:id="207"/>
      <w:r>
        <w:rPr>
          <w:rFonts w:ascii="arial" w:eastAsia="arial" w:hAnsi="arial" w:cs="arial"/>
          <w:b/>
          <w:color w:val="000000"/>
          <w:sz w:val="20"/>
          <w:lang w:val="en-US" w:eastAsia="en-US" w:bidi="ar-SA"/>
        </w:rPr>
        <w:t>Civil litigation — Civil procedure — Disposition without trial — Dismissal of action — Action unfounded in law — Judgments and orders — Summary judgments — To dismiss action — Application by British Columbia for a dismissal of the plaintiff's claim, for damages for breaches of his Charter rights and in tort for amendments to the Vital Statistics Act, dismissed — The plaintiff opposed the requirement he apply for a court order to have his children be given his surname — There was no evidence that could establish bad faith on the part of the defendant that could result in Charter damages — There was no basis fro drawing an inference that members of the government allied themselves with the mother of the plaintiff's children to defeat his rights — Supreme Court Civil Rules, Rule 18A, Rule 19(24), Rule 19(24)(a) — Vital Statistics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Constitutional law — Canadian Charter of Rights and Freedoms — Remedies for denial of rights — Procedural remedies — Damages — Application by British Columbia for a dismissal of the plaintiff's claim, for damages for breaches of his Charter rights and in tort for amendments to the Vital Statistics Act, dismissed — The plaintiff opposed the requirement he apply for a court order to have his children be given his surname — There was no evidence that could establish bad faith on the part of the defendant that could result in Charter damages — There was no basis fro drawing an inference that members of the government allied themselves with the mother of the plaintiff's children to defeat his rights — Supreme Court Civil Rules, Rule 18A, Rule 19(24), Rule 19(24)(a) — Vital Statistics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Family law — Parents and children — Vital statistics — Birth registration — Change of name — Constitutional issues — Canadian Charter of Rights and Freedoms — Application by British Columbia for a dismissal of the plaintiff's claim, for damages for breaches of his Charter rights and in tort for amendments to the Vital Statistics Act, dismissed — The plaintiff opposed the requirement he apply for a court order to have his children be given his surname — There was no evidence that could establish bad faith on the part of the defendant that could result in Charter damages — There was no basis fro drawing an inference that members of the government allied themselves with the mother of the plaintiff's children to defeat his rights — Supreme Court Civil Rules, Rule 18A, Rule 19(24), Rule 19(24)(a) — Vital Statistics 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8" w:name="Case Summary_28"/>
            <w:bookmarkEnd w:id="2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applied for a dismissal of the plaintiff's action, for damages for breaches of his Charter rights and in tort, on the grounds there was no cause of action disclosed or that it could be disposed of by way of summary trial. The plaintiff was a father of three triplets; the mother of the children had listed the father as "unacknowledged" on the "Registrations of Live Birth" and gave the children her surname, as was then permitted by the 1996 Vital Statistics Act (the 1996 Act). As a result of proceedings initiated by the plaintiff, the Supreme Court of Canada declared the relevant portions of the 1996 Act were unconstitutional. The Vital Statistics Act was subsequently amended (the Amended Act) to provide fathers with the right to apply for a court order naming a child's surname that of either parent, or both parents. The plaintiff claimed his rights to be acknowledged as a father were breached by virtue of the unconstitutional legislation, taking the position he was entitled to "symbolic damages" without the need to establish bad faith. The plaintiff also claimed damages in tort, on the basis the defendant colluded with the mother of his children in enacting legislation which denied him the rights he had obtained in the previous proceedings.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9" w:name="Holdings of Court_24"/>
            <w:bookmarkEnd w:id="209"/>
            <w:r>
              <w:rPr>
                <w:rFonts w:ascii="arial" w:eastAsia="arial" w:hAnsi="arial" w:cs="arial"/>
                <w:color w:val="000000"/>
                <w:sz w:val="20"/>
                <w:lang w:val="en-US" w:eastAsia="en-US" w:bidi="ar-SA"/>
              </w:rPr>
              <w:t>HELD: The plaintiff's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Evidence of bad faith needed to be established for Charter damages and there was no evidence that could establish bad faith on the part of the defendant. There was no basis for drawing an inference that members of the government allied themselves with the mother of the plaintiff's children to defeat his rights; even if there was such evidence the law did not provide a remedy to compensate an individual for the effects of constitutional legislation. If the court was wrong in dismissing the claims as showing no cause of action the matter would have been disposed of by granting summary judgment to the defendant.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0" w:name="Legislation Cited_24"/>
      <w:bookmarkEnd w:id="2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CHAPTER 241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18A, Rule 19(24), Rule 19(24)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Vital Statistics Act, </w:t>
      </w:r>
      <w:r>
        <w:rPr>
          <w:rFonts w:ascii="arial" w:eastAsia="arial" w:hAnsi="arial" w:cs="arial"/>
          <w:i/>
          <w:color w:val="000000"/>
          <w:sz w:val="20"/>
          <w:lang w:val="en-US" w:eastAsia="en-US" w:bidi="ar-SA"/>
        </w:rPr>
        <w:t>RSBC 1996, CHAPTER 479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1" w:name="Counsel_31"/>
      <w:bookmarkEnd w:id="2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Dairn O. Shane.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Karen Horsman.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31"/>
      <w:bookmarkEnd w:id="212"/>
      <w:r>
        <w:pict>
          <v:line id="_x0000_s1182"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A.H. SILVERMAN J."/>
            <w:bookmarkEnd w:id="213"/>
            <w:r>
              <w:rPr>
                <w:rFonts w:ascii="arial" w:eastAsia="arial" w:hAnsi="arial" w:cs="arial"/>
                <w:b/>
                <w:color w:val="000000"/>
                <w:sz w:val="30"/>
                <w:lang w:val="en-US" w:eastAsia="en-US" w:bidi="ar-SA"/>
              </w:rPr>
              <w:t>A.H. SILVERMAN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Amended Statement of Claim in this matter, the plaintiff seeks damages for two different types of claims, arising out of the same circumstances:</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for breach of a </w:t>
      </w:r>
      <w:r>
        <w:rPr>
          <w:rFonts w:ascii="arial" w:eastAsia="arial" w:hAnsi="arial" w:cs="arial"/>
          <w:b/>
          <w:i/>
          <w:color w:val="000000"/>
          <w:sz w:val="20"/>
          <w:lang w:val="en-US" w:eastAsia="en-US" w:bidi="ar-SA"/>
        </w:rPr>
        <w:t>Charter of Rights and Freedoms</w:t>
      </w:r>
      <w:r>
        <w:rPr>
          <w:rFonts w:ascii="arial" w:eastAsia="arial" w:hAnsi="arial" w:cs="arial"/>
          <w:color w:val="000000"/>
          <w:sz w:val="20"/>
          <w:lang w:val="en-US" w:eastAsia="en-US" w:bidi="ar-SA"/>
        </w:rPr>
        <w:t xml:space="preserve"> right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claim");</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 tort (the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applications before me are presented by competing Notices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seeks a dismissal of the action, including both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claim and the tort claim, on two alternate bases: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discloses no cause of action against the defendant pursuant to Rule 19(24)(a);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the issues raised are suitable for disposition by way of summary trial pursuant to Rule 18A, and the plaintiff's claims should be dismissed when the evidence is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argues that the Statement of Claim does disclose a sufficient cause of action to cause the application under Rule 19(24)(a) to be dismissed, and once that is done, the plaintiff argues that: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claim is appropriate for determination under Rule 18A, and when the evidence is considered, damages should be awarded;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claim is not suitable for determination under Rule 18A; it should remain on the trial list and be permitted to develop in the usual way involving pre-trial procedures such as document disclosure and examinations for discovery.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is the father of triplets born January 29, 1996. He was not married to the mother. As a result of the then provisions of the </w:t>
      </w:r>
      <w:r>
        <w:rPr>
          <w:rFonts w:ascii="arial" w:eastAsia="arial" w:hAnsi="arial" w:cs="arial"/>
          <w:b/>
          <w:i/>
          <w:color w:val="000000"/>
          <w:sz w:val="20"/>
          <w:lang w:val="en-US" w:eastAsia="en-US" w:bidi="ar-SA"/>
        </w:rPr>
        <w:t>Vital Statistics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479</w:t>
      </w:r>
      <w:r>
        <w:rPr>
          <w:rFonts w:ascii="arial" w:eastAsia="arial" w:hAnsi="arial" w:cs="arial"/>
          <w:color w:val="000000"/>
          <w:sz w:val="20"/>
          <w:lang w:val="en-US" w:eastAsia="en-US" w:bidi="ar-SA"/>
        </w:rPr>
        <w:t xml:space="preserve"> ("the 1996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mother of the children submitted "Registrations of Live Birth" listing the father as "unacknowledged", and listing her own surname as that of the children. The 1996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permitted this course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 result, the plaintiff commenced legal proceedings ("</w:t>
      </w:r>
      <w:r>
        <w:rPr>
          <w:rFonts w:ascii="arial" w:eastAsia="arial" w:hAnsi="arial" w:cs="arial"/>
          <w:b/>
          <w:i/>
          <w:color w:val="000000"/>
          <w:sz w:val="20"/>
          <w:lang w:val="en-US" w:eastAsia="en-US" w:bidi="ar-SA"/>
        </w:rPr>
        <w:t>Trociuk No. 1</w:t>
      </w:r>
      <w:r>
        <w:rPr>
          <w:rFonts w:ascii="arial" w:eastAsia="arial" w:hAnsi="arial" w:cs="arial"/>
          <w:color w:val="000000"/>
          <w:sz w:val="20"/>
          <w:lang w:val="en-US" w:eastAsia="en-US" w:bidi="ar-SA"/>
        </w:rPr>
        <w:t xml:space="preserve">")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seeking to have those provisions of the 1996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declared discriminatory and unconstitutional as a result of s. 15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Trociuk v. British Columbia (Attorney General)</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(1999), 67 B.C.L.R. (3d) 389</w:t>
        </w:r>
      </w:hyperlink>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47 R.F.L. (4th) 79</w:t>
        </w:r>
      </w:hyperlink>
      <w:r>
        <w:rPr>
          <w:rFonts w:ascii="arial" w:eastAsia="arial" w:hAnsi="arial" w:cs="arial"/>
          <w:color w:val="000000"/>
          <w:sz w:val="20"/>
          <w:lang w:val="en-US" w:eastAsia="en-US" w:bidi="ar-SA"/>
        </w:rPr>
        <w:t xml:space="preserve"> (S.C.), aff'd </w:t>
      </w:r>
      <w:hyperlink r:id="rId805" w:history="1">
        <w:r>
          <w:rPr>
            <w:rFonts w:ascii="arial" w:eastAsia="arial" w:hAnsi="arial" w:cs="arial"/>
            <w:i/>
            <w:color w:val="0077CC"/>
            <w:sz w:val="20"/>
            <w:u w:val="single"/>
            <w:shd w:val="clear" w:color="auto" w:fill="FFFFFF"/>
            <w:lang w:val="en-US" w:eastAsia="en-US" w:bidi="ar-SA"/>
          </w:rPr>
          <w:t>2001 BCCA 368</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 D.L.R. (4th) 685</w:t>
        </w:r>
      </w:hyperlink>
      <w:r>
        <w:rPr>
          <w:rFonts w:ascii="arial" w:eastAsia="arial" w:hAnsi="arial" w:cs="arial"/>
          <w:color w:val="000000"/>
          <w:sz w:val="20"/>
          <w:lang w:val="en-US" w:eastAsia="en-US" w:bidi="ar-SA"/>
        </w:rPr>
        <w:t xml:space="preserve">, rev'd </w:t>
      </w:r>
      <w:hyperlink r:id="rId806" w:history="1">
        <w:r>
          <w:rPr>
            <w:rFonts w:ascii="arial" w:eastAsia="arial" w:hAnsi="arial" w:cs="arial"/>
            <w:i/>
            <w:color w:val="0077CC"/>
            <w:sz w:val="20"/>
            <w:u w:val="single"/>
            <w:shd w:val="clear" w:color="auto" w:fill="FFFFFF"/>
            <w:lang w:val="en-US" w:eastAsia="en-US" w:bidi="ar-SA"/>
          </w:rPr>
          <w:t>2003 SCC 34</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[2003] 1 S.C.R. 835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 brief history of the proceedings in </w:t>
      </w:r>
      <w:r>
        <w:rPr>
          <w:rFonts w:ascii="arial" w:eastAsia="arial" w:hAnsi="arial" w:cs="arial"/>
          <w:b/>
          <w:i/>
          <w:color w:val="000000"/>
          <w:sz w:val="20"/>
          <w:lang w:val="en-US" w:eastAsia="en-US" w:bidi="ar-SA"/>
        </w:rPr>
        <w:t>Trociuk No. 1</w:t>
      </w:r>
      <w:r>
        <w:rPr>
          <w:rFonts w:ascii="arial" w:eastAsia="arial" w:hAnsi="arial" w:cs="arial"/>
          <w:color w:val="000000"/>
          <w:sz w:val="20"/>
          <w:lang w:val="en-US" w:eastAsia="en-US" w:bidi="ar-SA"/>
        </w:rPr>
        <w:t xml:space="preserve"> is as follows:</w:t>
      </w:r>
      <w:r>
        <w:rPr>
          <w:rFonts w:ascii="arial" w:eastAsia="arial" w:hAnsi="arial" w:cs="arial"/>
          <w:sz w:val="20"/>
          <w:lang w:val="en-US" w:eastAsia="en-US" w:bidi="ar-SA"/>
        </w:rPr>
        <w:cr/>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resisted the plaintiff's efforts and fought him in his quest to challenge the relevant provisions of the 1996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all the way to the Supreme Court of Canada.</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initial Chambers hearing, the judge dismissed the plaintiff's application concluding that, even if the impugned provisions were discriminatory, they were saved by s. 1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appeal to the British Columbia Court of Appeal was dismissed by a two-to-one majority. One of the majority decisions dismissed the appeal relying upon the same reasoning as the Chambers judge. The other dismissed the appeal on the basis that the provisions were not discriminatory at all within the meaning of s. 15 of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appealed to the Supreme Court of Canada. On June 6, 2003, the plaintiff s appeal was allowed.</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relevant provisions of the 1996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were unconstitutional, the decision did not provide the plaintiff, or other fathers in a similar situation, with an automatic and unfettered right to have input into the registration of birth documents or the last name of the children. The Court expressly refused the plaintiff's request for an Order changing the birth registration forms of his children.</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Rather, the Court delayed its declaration of invalidity for one year to permit the Legislature time to remedy the defect in a way that would balance the interests of the various parties, including mothers, fathers, and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relevant provisions of the 1996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were subsequently amended (the "amended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providing all fathers, including the plaintiff, with rights of participation in the birth registration process which did not exist under the 1996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In summary form, those rights include the following: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father's particulars are to be included with any application for live birth where it is accompanied by a paternity Order, unless there is a contrary Order of the court. (The plaintiff had a paternity Order in this case).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to apply to this court for an Order naming the child's surname as that of either parent, or both parents. In doing so, the court must consider the best interests of the child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views of the child" where the child is at least seven but less than 12;</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child's written consent to change the child's name" where the child is 12 years of age or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did write to the Vital Statistics Agency ("the Agency") seeking to have the birth registrations struck and replaced with registrations which included his and the mother's names in hyphenated form. The Agency responded that the new amendments required a court application, and that it had no authority to make the changes sought without a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has never made an application to the Court to take advantage of those provisions in the amended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nor does he do so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argues that he has never applied to have the names of the children altered under the new provisions because he objects to the requirement in the amended provisions that he must apply to court. Further, they require the court to take into account the views of the children. The plaintiff argues this is unfair to him, and unfair to the children and he will not risk the possibility that they might be required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has never sought a declaration that the provisions of the amended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are unconstitutional, nor does he do so now. His only claims are for damages under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and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Trociuk No. 1</w:t>
      </w:r>
      <w:r>
        <w:rPr>
          <w:rFonts w:ascii="arial" w:eastAsia="arial" w:hAnsi="arial" w:cs="arial"/>
          <w:color w:val="000000"/>
          <w:sz w:val="20"/>
          <w:lang w:val="en-US" w:eastAsia="en-US" w:bidi="ar-SA"/>
        </w:rPr>
        <w:t xml:space="preserve">, the mother was provided with legal funding by the Legal Services Society at every stage of the proceedings all the way to the Supreme Court of Canada, although she was never a party to the proceedings. The plaintiff has had to personally fund the entirety of his battle with the defendant at every stage, as well as funding the current proceedings, at his own expense. While he did receive an Order for costs after his victory in the Supreme Court of Canada, and those costs have been paid, he is apparently still out-of-pocket approximately $35,000. The evidence leaves me uncertain as to whether he is out-of-pocket that amount up to the end of </w:t>
      </w:r>
      <w:r>
        <w:rPr>
          <w:rFonts w:ascii="arial" w:eastAsia="arial" w:hAnsi="arial" w:cs="arial"/>
          <w:b/>
          <w:i/>
          <w:color w:val="000000"/>
          <w:sz w:val="20"/>
          <w:lang w:val="en-US" w:eastAsia="en-US" w:bidi="ar-SA"/>
        </w:rPr>
        <w:t>Trociuk No. 1</w:t>
      </w:r>
      <w:r>
        <w:rPr>
          <w:rFonts w:ascii="arial" w:eastAsia="arial" w:hAnsi="arial" w:cs="arial"/>
          <w:color w:val="000000"/>
          <w:sz w:val="20"/>
          <w:lang w:val="en-US" w:eastAsia="en-US" w:bidi="ar-SA"/>
        </w:rPr>
        <w:t>, or if that figure includes his legal expenses in the current proceedings as well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The </w:t>
      </w:r>
      <w:r>
        <w:rPr>
          <w:rFonts w:ascii="arial" w:eastAsia="arial" w:hAnsi="arial" w:cs="arial"/>
          <w:b/>
          <w:i/>
          <w:color w:val="000000"/>
          <w:sz w:val="20"/>
          <w:u w:val="single"/>
          <w:lang w:val="en-US" w:eastAsia="en-US" w:bidi="ar-SA"/>
        </w:rPr>
        <w:t>Charter</w:t>
      </w:r>
      <w:r>
        <w:rPr>
          <w:rFonts w:ascii="arial" w:eastAsia="arial" w:hAnsi="arial" w:cs="arial"/>
          <w:color w:val="000000"/>
          <w:sz w:val="20"/>
          <w:u w:val="single"/>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facts which form the basis of this claim occurred during the time period up to and including the Supreme Court of Canada decision in </w:t>
      </w:r>
      <w:r>
        <w:rPr>
          <w:rFonts w:ascii="arial" w:eastAsia="arial" w:hAnsi="arial" w:cs="arial"/>
          <w:b/>
          <w:i/>
          <w:color w:val="000000"/>
          <w:sz w:val="20"/>
          <w:lang w:val="en-US" w:eastAsia="en-US" w:bidi="ar-SA"/>
        </w:rPr>
        <w:t>Trociuk</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No. 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argues that his right to be acknowledged as a father were breached by virtue of the unconstitutional legislation, and that this conclusion flows inevitably from the decision in </w:t>
      </w:r>
      <w:r>
        <w:rPr>
          <w:rFonts w:ascii="arial" w:eastAsia="arial" w:hAnsi="arial" w:cs="arial"/>
          <w:b/>
          <w:i/>
          <w:color w:val="000000"/>
          <w:sz w:val="20"/>
          <w:lang w:val="en-US" w:eastAsia="en-US" w:bidi="ar-SA"/>
        </w:rPr>
        <w:t>Trociuk No. 1</w:t>
      </w:r>
      <w:r>
        <w:rPr>
          <w:rFonts w:ascii="arial" w:eastAsia="arial" w:hAnsi="arial" w:cs="arial"/>
          <w:color w:val="000000"/>
          <w:sz w:val="20"/>
          <w:lang w:val="en-US" w:eastAsia="en-US" w:bidi="ar-SA"/>
        </w:rPr>
        <w:t xml:space="preserve">. This action seeks damages for the breach established in that case. The plaintiff argues that it is no bar to his claim for damages that they were not asked for in </w:t>
      </w:r>
      <w:r>
        <w:rPr>
          <w:rFonts w:ascii="arial" w:eastAsia="arial" w:hAnsi="arial" w:cs="arial"/>
          <w:b/>
          <w:i/>
          <w:color w:val="000000"/>
          <w:sz w:val="20"/>
          <w:lang w:val="en-US" w:eastAsia="en-US" w:bidi="ar-SA"/>
        </w:rPr>
        <w:t>Trociuk</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No. 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does not accept that proposition and argues that:</w:t>
      </w:r>
      <w:r>
        <w:rPr>
          <w:rFonts w:ascii="arial" w:eastAsia="arial" w:hAnsi="arial" w:cs="arial"/>
          <w:sz w:val="20"/>
          <w:lang w:val="en-US" w:eastAsia="en-US" w:bidi="ar-SA"/>
        </w:rPr>
        <w:cr/>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Trociuk No. 1</w:t>
      </w:r>
      <w:r>
        <w:rPr>
          <w:rFonts w:ascii="arial" w:eastAsia="arial" w:hAnsi="arial" w:cs="arial"/>
          <w:color w:val="000000"/>
          <w:sz w:val="20"/>
          <w:lang w:val="en-US" w:eastAsia="en-US" w:bidi="ar-SA"/>
        </w:rPr>
        <w:t xml:space="preserve"> concluded that the legislation infringed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by failing to allow for any procedure enabling fathers to participate in the birth registration process. However, the court expressly denied the plaintiff's request for a personal remedy.</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while the amended legislation provides the plaintiff with the right to now make application, he has refrained from doing so. How then, the defendant argues, can he assert that his rights have been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further argues that there is an established rule of law that damages are not available to individuals for the effects of an unconstitutional law. Therefore, even if the plaintiff is successful in proving that he has been injured, he is not entitled to an award for damages: </w:t>
      </w:r>
      <w:r>
        <w:rPr>
          <w:rFonts w:ascii="arial" w:eastAsia="arial" w:hAnsi="arial" w:cs="arial"/>
          <w:b/>
          <w:i/>
          <w:color w:val="000000"/>
          <w:sz w:val="20"/>
          <w:lang w:val="en-US" w:eastAsia="en-US" w:bidi="ar-SA"/>
        </w:rPr>
        <w:t>Guimond v. Quebec (Attorney General)</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[1996] 3 S.C.R. 347</w:t>
        </w:r>
      </w:hyperlink>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138 D.L.R. (4th) 647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Crown Trust Co. v. The Queen in Right of Ontario</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(1986), 54 O.R. (2d) 79</w:t>
        </w:r>
      </w:hyperlink>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26 D.L.R. (4th) 41</w:t>
        </w:r>
      </w:hyperlink>
      <w:r>
        <w:rPr>
          <w:rFonts w:ascii="arial" w:eastAsia="arial" w:hAnsi="arial" w:cs="arial"/>
          <w:color w:val="000000"/>
          <w:sz w:val="20"/>
          <w:lang w:val="en-US" w:eastAsia="en-US" w:bidi="ar-SA"/>
        </w:rPr>
        <w:t xml:space="preserve"> (Div.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Mackin v. New Brunswick (Minister of Finance)</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2002 SCC 13</w:t>
        </w:r>
      </w:hyperlink>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[2002] 1 S.C.R. 405</w:t>
        </w:r>
      </w:hyperlink>
      <w:r>
        <w:rPr>
          <w:rFonts w:ascii="arial" w:eastAsia="arial" w:hAnsi="arial" w:cs="arial"/>
          <w:color w:val="000000"/>
          <w:sz w:val="20"/>
          <w:lang w:val="en-US" w:eastAsia="en-US" w:bidi="ar-SA"/>
        </w:rPr>
        <w:t xml:space="preserve"> at para. 79, the Supreme Court of Canada notes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 However, if they act in good faith and without abusing their power under prevailing law and only subsequently are their acts found to be unconstitutional, they will not be liable. Otherwise, the effectiveness and efficiency of government action would be excessively constrained. Laws must be given their full force and effect as long as they are not declared invalid. Thus it is only in the event of conduct that is clearly wrong, in bad faith or an abuse of power that damages may be awarded (</w:t>
      </w:r>
      <w:r>
        <w:rPr>
          <w:rFonts w:ascii="arial" w:eastAsia="arial" w:hAnsi="arial" w:cs="arial"/>
          <w:b/>
          <w:i/>
          <w:color w:val="000000"/>
          <w:sz w:val="20"/>
          <w:lang w:val="en-US" w:eastAsia="en-US" w:bidi="ar-SA"/>
        </w:rPr>
        <w:t>Crown Trust Co. v. The Queen in Right of Ontario</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(1986), 26 D.L.R. (4th) 41</w:t>
        </w:r>
      </w:hyperlink>
      <w:r>
        <w:rPr>
          <w:rFonts w:ascii="arial" w:eastAsia="arial" w:hAnsi="arial" w:cs="arial"/>
          <w:color w:val="000000"/>
          <w:sz w:val="20"/>
          <w:lang w:val="en-US" w:eastAsia="en-US" w:bidi="ar-SA"/>
        </w:rPr>
        <w:t xml:space="preserve"> (Ont. Div.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argues that, if it is necessary for him to establish bad faith, the evidence does establish that in this case. It is established by the evidence which suggests that the defendant colluded with the mother in preparing its case in order to defeat the plaintiff's course in seeking to have his constitutional rights properly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the plaintiff argues that it is not necessary to establish bad faith in order to succeed, and the court can award what has been referred as "symbolic damages". This is particularly so where, as in this case, the person who has suffered the damages is not simply relying upon the fact of constitutional invalidity of a statute. Rather, the plaintiff relies upon the fact that he spearheaded the claim for a correct statement with respect to the constitutionality of the statute. In doing so, he suffered damages including the expense of the litigation, the emotional expense of the litigation, the cost to his relationships with the children and their mother, and the fact that his life has been consumed with pursuing the objective for which the Supreme Court of Canada ultimately vindicated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also argues that his damages include loss of work and business as a landscaper and opportunities for further expansion and additional contracts. He estimates this loss to be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He relies upon </w:t>
      </w:r>
      <w:r>
        <w:rPr>
          <w:rFonts w:ascii="arial" w:eastAsia="arial" w:hAnsi="arial" w:cs="arial"/>
          <w:b/>
          <w:i/>
          <w:color w:val="000000"/>
          <w:sz w:val="20"/>
          <w:lang w:val="en-US" w:eastAsia="en-US" w:bidi="ar-SA"/>
        </w:rPr>
        <w:t>Auton (Guardian ad litem of) v. British Columbia (Attorney General)</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2001 BCSC 220</w:t>
        </w:r>
      </w:hyperlink>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84 B.C.L.R. (3d) 259</w:t>
        </w:r>
      </w:hyperlink>
      <w:r>
        <w:rPr>
          <w:rFonts w:ascii="arial" w:eastAsia="arial" w:hAnsi="arial" w:cs="arial"/>
          <w:color w:val="000000"/>
          <w:sz w:val="20"/>
          <w:lang w:val="en-US" w:eastAsia="en-US" w:bidi="ar-SA"/>
        </w:rPr>
        <w:t xml:space="preserve"> at para. 64, where the trial judge notes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While each case must be determined individually, I see no reason in principle why an award of damages cannot be made in an appropriate case to advance the twin remedial purposes of governmental behaviour modification and compensation for an applicant whose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rights have been breached. I conclude that it is appropriate and just to award a symbolic sum of damages of $20,000 to each of the four adult petitioners who have shouldered the financial and emotional burdens of litigation on behalf of, and for the benefit of, a wider community of autistic families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the Court of Appeal decision in </w:t>
      </w:r>
      <w:r>
        <w:rPr>
          <w:rFonts w:ascii="arial" w:eastAsia="arial" w:hAnsi="arial" w:cs="arial"/>
          <w:b/>
          <w:i/>
          <w:color w:val="000000"/>
          <w:sz w:val="20"/>
          <w:lang w:val="en-US" w:eastAsia="en-US" w:bidi="ar-SA"/>
        </w:rPr>
        <w:t>Auton</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2002 BCCA 538</w:t>
        </w:r>
      </w:hyperlink>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220 D.L.R. (4th) 411</w:t>
        </w:r>
      </w:hyperlink>
      <w:r>
        <w:rPr>
          <w:rFonts w:ascii="arial" w:eastAsia="arial" w:hAnsi="arial" w:cs="arial"/>
          <w:color w:val="000000"/>
          <w:sz w:val="20"/>
          <w:lang w:val="en-US" w:eastAsia="en-US" w:bidi="ar-SA"/>
        </w:rPr>
        <w:t>, Saunders J.A. says the following at para. 98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[98] Madam Justice Allan chose to describe the damages awarded as "symbolic". A similar lack of specificity is found in the term "moral damages" awarded in </w:t>
      </w:r>
      <w:r>
        <w:rPr>
          <w:rFonts w:ascii="arial" w:eastAsia="arial" w:hAnsi="arial" w:cs="arial"/>
          <w:b/>
          <w:i/>
          <w:color w:val="000000"/>
          <w:sz w:val="20"/>
          <w:lang w:val="en-US" w:eastAsia="en-US" w:bidi="ar-SA"/>
        </w:rPr>
        <w:t>Du-Lude v. Canada</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[2000] F.C.J. No. 1454</w:t>
        </w:r>
      </w:hyperlink>
      <w:r>
        <w:rPr>
          <w:rFonts w:ascii="arial" w:eastAsia="arial" w:hAnsi="arial" w:cs="arial"/>
          <w:color w:val="000000"/>
          <w:sz w:val="20"/>
          <w:lang w:val="en-US" w:eastAsia="en-US" w:bidi="ar-SA"/>
        </w:rPr>
        <w:t xml:space="preserve">. While the term "symbolic damages" indicates a lack of definitive criteria for assessment of the quantum of damages, I do not consider that the generality of the term establishes an error in law entitling the petitioners to additional damages. A modest sum is, perhaps, an adequate way to recognize the breach of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rights, treating the petitioners alike, partially offsetting the out of pocket costs of the adult petitioners, and recognizing the policy reasons that often negate any award of damages for a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breach and which may have supported an order dismissing the entire claim for damages, an issue which is not before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Based on the foregoing, the plaintiff argues that he is entitled to "symbolic damages" without the need to establish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Further, the plaintiff argues that the damages should also include his legal expenses. While this aspect of his damages should arguably be reduced by the costs which were awarded to him in the Supreme Court of Canada, there is still a balance for which he is out-of-pocket.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 argues that the comments in </w:t>
      </w:r>
      <w:r>
        <w:rPr>
          <w:rFonts w:ascii="arial" w:eastAsia="arial" w:hAnsi="arial" w:cs="arial"/>
          <w:b/>
          <w:i/>
          <w:color w:val="000000"/>
          <w:sz w:val="20"/>
          <w:lang w:val="en-US" w:eastAsia="en-US" w:bidi="ar-SA"/>
        </w:rPr>
        <w:t>Auton</w:t>
      </w:r>
      <w:r>
        <w:rPr>
          <w:rFonts w:ascii="arial" w:eastAsia="arial" w:hAnsi="arial" w:cs="arial"/>
          <w:color w:val="000000"/>
          <w:sz w:val="20"/>
          <w:lang w:val="en-US" w:eastAsia="en-US" w:bidi="ar-SA"/>
        </w:rPr>
        <w:t xml:space="preserve"> at both the trial and appeal levels are inconsistent with the comments of the Supreme Court of Canada in </w:t>
      </w:r>
      <w:r>
        <w:rPr>
          <w:rFonts w:ascii="arial" w:eastAsia="arial" w:hAnsi="arial" w:cs="arial"/>
          <w:b/>
          <w:i/>
          <w:color w:val="000000"/>
          <w:sz w:val="20"/>
          <w:lang w:val="en-US" w:eastAsia="en-US" w:bidi="ar-SA"/>
        </w:rPr>
        <w:t>Mackin</w:t>
      </w:r>
      <w:r>
        <w:rPr>
          <w:rFonts w:ascii="arial" w:eastAsia="arial" w:hAnsi="arial" w:cs="arial"/>
          <w:color w:val="000000"/>
          <w:sz w:val="20"/>
          <w:lang w:val="en-US" w:eastAsia="en-US" w:bidi="ar-SA"/>
        </w:rPr>
        <w:t xml:space="preserve">, and earlier cases including </w:t>
      </w:r>
      <w:r>
        <w:rPr>
          <w:rFonts w:ascii="arial" w:eastAsia="arial" w:hAnsi="arial" w:cs="arial"/>
          <w:b/>
          <w:i/>
          <w:color w:val="000000"/>
          <w:sz w:val="20"/>
          <w:lang w:val="en-US" w:eastAsia="en-US" w:bidi="ar-SA"/>
        </w:rPr>
        <w:t>Guimond</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Crown Trust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When considering the defendant's application under Rule 19(24)(a), the law requires me to assume that the facts alleged in the Statement of Claim can be proven. In other words, the Statement of Claim cannot be struck out on the basis that the evidence is not sufficiently strong to prove the case. It can only be struck out if no cause of action exists, even if the plaintiff can prove all that he alleges: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am satisfied that, even if the plaintiff were successful in proving everything that he alleges, he would not be entitled to an award for damages for a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breach. I arrive at this conclusion for the following reasons:</w:t>
      </w:r>
      <w:r>
        <w:rPr>
          <w:rFonts w:ascii="arial" w:eastAsia="arial" w:hAnsi="arial" w:cs="arial"/>
          <w:sz w:val="20"/>
          <w:lang w:val="en-US" w:eastAsia="en-US" w:bidi="ar-SA"/>
        </w:rPr>
        <w:cr/>
      </w:r>
    </w:p>
    <w:p>
      <w:pPr>
        <w:numPr>
          <w:numId w:val="1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consider myself bound by the comments of the Supreme Court of Canada in </w:t>
      </w:r>
      <w:r>
        <w:rPr>
          <w:rFonts w:ascii="arial" w:eastAsia="arial" w:hAnsi="arial" w:cs="arial"/>
          <w:b/>
          <w:i/>
          <w:color w:val="000000"/>
          <w:sz w:val="20"/>
          <w:lang w:val="en-US" w:eastAsia="en-US" w:bidi="ar-SA"/>
        </w:rPr>
        <w:t>Mackin</w:t>
      </w:r>
      <w:r>
        <w:rPr>
          <w:rFonts w:ascii="arial" w:eastAsia="arial" w:hAnsi="arial" w:cs="arial"/>
          <w:color w:val="000000"/>
          <w:sz w:val="20"/>
          <w:lang w:val="en-US" w:eastAsia="en-US" w:bidi="ar-SA"/>
        </w:rPr>
        <w:t xml:space="preserve">. A cause of action does not exist, nor a right to a compensatory remedy, in the absence of wrongful conduct, bad faith,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collateral purpose.</w:t>
      </w:r>
    </w:p>
    <w:p>
      <w:pPr>
        <w:numPr>
          <w:numId w:val="1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it is necessary for the plaintiff to establish bad faith, in order to succeed. There is no evidence which, even if believed, can establish bad faith on the part of the defendant. It may be (I do not say that it necessarily is the case) that there is some evidence that the mother has not acted in good faith, but I see no evidence which potentially links the mother to the defendant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Therefore, the defendant's application under Rule 19(24)(a) to strike out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claim succeeds and that aspect of the plaintiff's claim is dismissed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argues that the Statement of Claim discloses no cause of action entitling it to damages for tort, and therefore should be summarily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argues as follows:</w:t>
      </w:r>
      <w:r>
        <w:rPr>
          <w:rFonts w:ascii="arial" w:eastAsia="arial" w:hAnsi="arial" w:cs="arial"/>
          <w:sz w:val="20"/>
          <w:lang w:val="en-US" w:eastAsia="en-US" w:bidi="ar-SA"/>
        </w:rPr>
        <w:cr/>
      </w:r>
    </w:p>
    <w:p>
      <w:pPr>
        <w:numPr>
          <w:numId w:val="1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Statement of Claim seeks general, aggravated, and punitive damages for malice, bad faith, improper motive, breach of fiduciary duty, discrimination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wrongful actions occurred after the Supreme Court of Canada decision in </w:t>
      </w:r>
      <w:r>
        <w:rPr>
          <w:rFonts w:ascii="arial" w:eastAsia="arial" w:hAnsi="arial" w:cs="arial"/>
          <w:b/>
          <w:i/>
          <w:color w:val="000000"/>
          <w:sz w:val="20"/>
          <w:lang w:val="en-US" w:eastAsia="en-US" w:bidi="ar-SA"/>
        </w:rPr>
        <w:t>Trociuk</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No. 1</w:t>
      </w:r>
      <w:r>
        <w:rPr>
          <w:rFonts w:ascii="arial" w:eastAsia="arial" w:hAnsi="arial" w:cs="arial"/>
          <w:color w:val="000000"/>
          <w:sz w:val="20"/>
          <w:lang w:val="en-US" w:eastAsia="en-US" w:bidi="ar-SA"/>
        </w:rPr>
        <w:t>.</w:t>
      </w:r>
    </w:p>
    <w:p>
      <w:pPr>
        <w:numPr>
          <w:numId w:val="1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colluded with the mother of the children in arranging for, and ultimately enacting, legislation which denies him the rights that he had obtained for other fathers in </w:t>
      </w:r>
      <w:r>
        <w:rPr>
          <w:rFonts w:ascii="arial" w:eastAsia="arial" w:hAnsi="arial" w:cs="arial"/>
          <w:b/>
          <w:i/>
          <w:color w:val="000000"/>
          <w:sz w:val="20"/>
          <w:lang w:val="en-US" w:eastAsia="en-US" w:bidi="ar-SA"/>
        </w:rPr>
        <w:t>Trociuk</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No. 1</w:t>
      </w:r>
      <w:r>
        <w:rPr>
          <w:rFonts w:ascii="arial" w:eastAsia="arial" w:hAnsi="arial" w:cs="arial"/>
          <w:color w:val="000000"/>
          <w:sz w:val="20"/>
          <w:lang w:val="en-US" w:eastAsia="en-US" w:bidi="ar-SA"/>
        </w:rPr>
        <w:t>. The difference between him and every other father is that his children were, by the time of the amendments, too old to permit him to make an application to the court without the children being involved.</w:t>
      </w:r>
    </w:p>
    <w:p>
      <w:pPr>
        <w:numPr>
          <w:numId w:val="1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changes in the amended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were predicated on ensuring that he could not, without further litigation, be acknowledged on the birth registration forms, this could lead to a finding of malice, bad faith, abuse of power, or abuse of process. This is so because the Legislature cannot, in good faith, expressly design a law against one individual.</w:t>
      </w:r>
    </w:p>
    <w:p>
      <w:pPr>
        <w:numPr>
          <w:numId w:val="1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"overall issue, put simply, is whether the changes were expressly designed and/or "aimed" at the plaintiff." The plaintiff concedes that he can only succeed in this claim if he can prove at trial that the defendant deliberately and expressly set out to cause him damage.</w:t>
      </w:r>
    </w:p>
    <w:p>
      <w:pPr>
        <w:numPr>
          <w:numId w:val="1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theorizes that the defendant's lawyers and the mother's lawyers strategized together at all stages prior to and including the Supreme Court of Canada, and during the pre-amendment process after </w:t>
      </w:r>
      <w:r>
        <w:rPr>
          <w:rFonts w:ascii="arial" w:eastAsia="arial" w:hAnsi="arial" w:cs="arial"/>
          <w:b/>
          <w:i/>
          <w:color w:val="000000"/>
          <w:sz w:val="20"/>
          <w:lang w:val="en-US" w:eastAsia="en-US" w:bidi="ar-SA"/>
        </w:rPr>
        <w:t>Trociuk No. 1</w:t>
      </w:r>
      <w:r>
        <w:rPr>
          <w:rFonts w:ascii="arial" w:eastAsia="arial" w:hAnsi="arial" w:cs="arial"/>
          <w:color w:val="000000"/>
          <w:sz w:val="20"/>
          <w:lang w:val="en-US" w:eastAsia="en-US" w:bidi="ar-SA"/>
        </w:rPr>
        <w:t>, in order to defeat his rights.</w:t>
      </w:r>
    </w:p>
    <w:p>
      <w:pPr>
        <w:numPr>
          <w:numId w:val="1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concedes that there is no direct evidence of that theory, but argues that there is sufficient evidence from which the necessary inferences can be made. That evidence is:</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various lawyers were seen speaking together throughout the process leading up to </w:t>
      </w:r>
      <w:r>
        <w:rPr>
          <w:rFonts w:ascii="arial" w:eastAsia="arial" w:hAnsi="arial" w:cs="arial"/>
          <w:b/>
          <w:i/>
          <w:color w:val="000000"/>
          <w:sz w:val="20"/>
          <w:lang w:val="en-US" w:eastAsia="en-US" w:bidi="ar-SA"/>
        </w:rPr>
        <w:t>Trociuk No. 1</w:t>
      </w:r>
      <w:r>
        <w:rPr>
          <w:rFonts w:ascii="arial" w:eastAsia="arial" w:hAnsi="arial" w:cs="arial"/>
          <w:color w:val="000000"/>
          <w:sz w:val="20"/>
          <w:lang w:val="en-US" w:eastAsia="en-US" w:bidi="ar-SA"/>
        </w:rPr>
        <w:t>.</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would stretch the limit of credulity to believe that the plaintiff's personal situation was not discussed during the debates in the Legislature regarding changes to the 1996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plaintiff was the person who had "led the charge" to have the 1996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declared unconstitutional, and had received considerable media coverage at the time.</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never submitted an affidavit by anyone expressly denying any of the following:</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changes to the 1996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had been predicated on ensuring that the plaintiff would have to be involved in further litigation and could not easily be acknowledged and have the surnames of the children changed;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personal situation of the plaintiff had been discussed during the debates over the amendments;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defendant had discussed with the children's mother any potential changes to the 1996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personal situation of the plaintiff and the children's mother had been taken into account when drafting the revisions to the 1996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date, the defendant has never produced any document denying any of the foregoing. The plaintiff requires disclosure of documents, and possibly examinations for discovery. Such documents will be of assistance in determining whether any bad faith has been present.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purposes of this application, the facts as stated in the Statement of Claim must be taken as proven: </w:t>
      </w:r>
      <w:r>
        <w:rPr>
          <w:rFonts w:ascii="arial" w:eastAsia="arial" w:hAnsi="arial" w:cs="arial"/>
          <w:b/>
          <w:i/>
          <w:color w:val="000000"/>
          <w:sz w:val="20"/>
          <w:lang w:val="en-US" w:eastAsia="en-US" w:bidi="ar-SA"/>
        </w:rPr>
        <w:t>Odhavji Estate</w:t>
      </w: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evidence does establish the foregoing, then a finding of malice, bad faith, abuse of process or abuse of power will follow, resulting in an award for damages.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cumulative actions of the defendant, the plaintiff has suffered the various types of damages referred to earlier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view, the defendant's application under Rule 19(24) with respect to the tort claim must succeed at this stage for the following reasons: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plaintiff correctly states the law as noted above, this does not mean that the Court must assume that completely unsubstantiated allegations are true. There must be at least some basis upon which the case can be considered, even at a low threshold level, as capable of being proven.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required to raise the plaintiff's case to such a minimal threshold level is not present in this case. It is no more than a theory. In my view, if the evidence is capable of substantiating any theory at all, it is not the one which the plaintiff hypothesizes. In fact, based on the evidence before me, I see no basis for drawing an inference, even at the lowest possible threshold, that members of the government, and/or members of the Legislature, or any of their employees, allied themselves with the mother in order to defeat the plaintiff's rights. I do not see how the defendant can be tied to the mother, in terms of motive or action, on the basis of the evidence before me.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even if it could be proven that there is some basis for concluding that some members of the government, or employees or representatives of the government, or members of the Legislature, had set out to deliberately injure the plaintiff through the amendments, this would still not result in a judgment favourable to the plaintiff. The law does not provide a personal remedy to compensate an individual for the effects of constitutional legislation. The Legislature does not owe any duty, whether in tort, equity or otherwise, to serve the interests of any one individual in enacting or amending legislation, or to consult with any individual in the course of considering legislative change: </w:t>
      </w:r>
      <w:r>
        <w:rPr>
          <w:rFonts w:ascii="arial" w:eastAsia="arial" w:hAnsi="arial" w:cs="arial"/>
          <w:b/>
          <w:i/>
          <w:color w:val="000000"/>
          <w:sz w:val="20"/>
          <w:lang w:val="en-US" w:eastAsia="en-US" w:bidi="ar-SA"/>
        </w:rPr>
        <w:t>Club Pro Adult Entertainment Inc. v. Ontario</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(2006), 27 B.L.R. (4th) 227</w:t>
        </w:r>
      </w:hyperlink>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150 C.R.R. (2d) 1</w:t>
        </w:r>
      </w:hyperlink>
      <w:r>
        <w:rPr>
          <w:rFonts w:ascii="arial" w:eastAsia="arial" w:hAnsi="arial" w:cs="arial"/>
          <w:color w:val="000000"/>
          <w:sz w:val="20"/>
          <w:lang w:val="en-US" w:eastAsia="en-US" w:bidi="ar-SA"/>
        </w:rPr>
        <w:t xml:space="preserve"> (Ont. S.C.J.), varied on other grounds </w:t>
      </w:r>
      <w:hyperlink r:id="rId814" w:history="1">
        <w:r>
          <w:rPr>
            <w:rFonts w:ascii="arial" w:eastAsia="arial" w:hAnsi="arial" w:cs="arial"/>
            <w:i/>
            <w:color w:val="0077CC"/>
            <w:sz w:val="20"/>
            <w:u w:val="single"/>
            <w:shd w:val="clear" w:color="auto" w:fill="FFFFFF"/>
            <w:lang w:val="en-US" w:eastAsia="en-US" w:bidi="ar-SA"/>
          </w:rPr>
          <w:t>2008 ONCA 158</w:t>
        </w:r>
      </w:hyperlink>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233 O.A.C. 355</w:t>
        </w:r>
      </w:hyperlink>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Wells v. Newfoundland</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[1999] 3 S.C.R. 199</w:t>
        </w:r>
      </w:hyperlink>
      <w:r>
        <w:rPr>
          <w:rFonts w:ascii="arial" w:eastAsia="arial" w:hAnsi="arial" w:cs="arial"/>
          <w:color w:val="000000"/>
          <w:sz w:val="20"/>
          <w:lang w:val="en-US" w:eastAsia="en-US" w:bidi="ar-SA"/>
        </w:rPr>
        <w:t xml:space="preserve"> at para. 59, </w:t>
      </w:r>
      <w:hyperlink r:id="rId815" w:history="1">
        <w:r>
          <w:rPr>
            <w:rFonts w:ascii="arial" w:eastAsia="arial" w:hAnsi="arial" w:cs="arial"/>
            <w:i/>
            <w:color w:val="0077CC"/>
            <w:sz w:val="20"/>
            <w:u w:val="single"/>
            <w:shd w:val="clear" w:color="auto" w:fill="FFFFFF"/>
            <w:lang w:val="en-US" w:eastAsia="en-US" w:bidi="ar-SA"/>
          </w:rPr>
          <w:t>177 D.L.R. (4th) 73</w:t>
        </w:r>
      </w:hyperlink>
      <w:r>
        <w:rPr>
          <w:rFonts w:ascii="arial" w:eastAsia="arial" w:hAnsi="arial" w:cs="arial"/>
          <w:color w:val="000000"/>
          <w:sz w:val="20"/>
          <w:lang w:val="en-US" w:eastAsia="en-US" w:bidi="ar-SA"/>
        </w:rPr>
        <w:t>, the Court says the following: "Legislatures are subject to constitutional requirements for valid law-making, but within their constitutional boundaries, they can do as they see fit."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lang w:val="en-US" w:eastAsia="en-US" w:bidi="ar-SA"/>
        </w:rPr>
        <w:t>Trociuk No. 1</w:t>
      </w:r>
      <w:r>
        <w:rPr>
          <w:rFonts w:ascii="arial" w:eastAsia="arial" w:hAnsi="arial" w:cs="arial"/>
          <w:color w:val="000000"/>
          <w:sz w:val="20"/>
          <w:lang w:val="en-US" w:eastAsia="en-US" w:bidi="ar-SA"/>
        </w:rPr>
        <w:t>, the Legislature responded by attempting to follow the guidelines of the Supreme Court of Canada. The application process may or may not meet the plaintiff's personal objectives. We are not able to know this because the plaintiff has not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Consequently, the defendant's application under Rule 19(24)(a) to strike out the tort claim succeeds and that aspect of the plaintiff's claim is dismissed accordingly.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TRIAL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Since I have already dismissed both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and the tort claims pursuant to the defendant's application under Rule 19(24)(a), it is not necessary to proceed to consider either claim under Rule 18A. However, if I have erred in dismissing those claims under Rule 19(24)(a), it will be useful to consider them under Rule 18A as well, and I now proceed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the purposes of assessing the evidence in this context, I will consider the following legal issues to be correctly stated by the plaintiff:</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not necessary to establish bad faith in order to recover damages.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 have the authority to award "symbolic damages" as noted in </w:t>
      </w:r>
      <w:r>
        <w:rPr>
          <w:rFonts w:ascii="arial" w:eastAsia="arial" w:hAnsi="arial" w:cs="arial"/>
          <w:b/>
          <w:i/>
          <w:color w:val="000000"/>
          <w:sz w:val="20"/>
          <w:lang w:val="en-US" w:eastAsia="en-US" w:bidi="ar-SA"/>
        </w:rPr>
        <w:t>Auton</w:t>
      </w: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Supreme Court of Canada in </w:t>
      </w:r>
      <w:r>
        <w:rPr>
          <w:rFonts w:ascii="arial" w:eastAsia="arial" w:hAnsi="arial" w:cs="arial"/>
          <w:b/>
          <w:i/>
          <w:color w:val="000000"/>
          <w:sz w:val="20"/>
          <w:lang w:val="en-US" w:eastAsia="en-US" w:bidi="ar-SA"/>
        </w:rPr>
        <w:t>Trociuk No. 1</w:t>
      </w:r>
      <w:r>
        <w:rPr>
          <w:rFonts w:ascii="arial" w:eastAsia="arial" w:hAnsi="arial" w:cs="arial"/>
          <w:color w:val="000000"/>
          <w:sz w:val="20"/>
          <w:lang w:val="en-US" w:eastAsia="en-US" w:bidi="ar-SA"/>
        </w:rPr>
        <w:t xml:space="preserve"> concluded that the defendant breached the plaintiff's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rights (as opposed to simply declaring aspects of a statute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 xml:space="preserve">The </w:t>
      </w:r>
      <w:r>
        <w:rPr>
          <w:rFonts w:ascii="arial" w:eastAsia="arial" w:hAnsi="arial" w:cs="arial"/>
          <w:b/>
          <w:i/>
          <w:color w:val="000000"/>
          <w:sz w:val="20"/>
          <w:u w:val="single"/>
          <w:lang w:val="en-US" w:eastAsia="en-US" w:bidi="ar-SA"/>
        </w:rPr>
        <w:t>Charter</w:t>
      </w:r>
      <w:r>
        <w:rPr>
          <w:rFonts w:ascii="arial" w:eastAsia="arial" w:hAnsi="arial" w:cs="arial"/>
          <w:color w:val="000000"/>
          <w:sz w:val="20"/>
          <w:u w:val="single"/>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agrees that this claim is suitable for disposition under Rule 18A. The defendant, as an alternative to its application under Rule 19(24)(a), also agrees that the matter is suitable for disposition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affidavit evidence shows that the plaintiff has suffered. However, I am not satisfied that he has suffered damages as a result of any actions taken (or not taken)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Auton</w:t>
      </w:r>
      <w:r>
        <w:rPr>
          <w:rFonts w:ascii="arial" w:eastAsia="arial" w:hAnsi="arial" w:cs="arial"/>
          <w:color w:val="000000"/>
          <w:sz w:val="20"/>
          <w:lang w:val="en-US" w:eastAsia="en-US" w:bidi="ar-SA"/>
        </w:rPr>
        <w:t xml:space="preserve">, the trial judge noted at para. 64 that "symbolic" damages could be made in "an appropriate case to advance the twin remedial purposes of governmental behaviour modification and compensation for an applicant whose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 xml:space="preserve"> rights have been breached." Surely, the defendant in this case did not act inappropriately or unreasonably in seeking a determination that the legislation in question was constitutional. This is particularly so when its position was confirmed as correct by the Chambers judge and by two of three Court of Appeal judges. Further, after the Supreme Court of Canada judgment, the defendant took the necessary action to amend the 1996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within the time constraints imposed upon it. In these circumstances, I see no issue with respect to the purpose of "governmental behaviour modification" and, in my view, that results in this case not being "an appropriate case" to advance the twin remedial purposes spoken of in </w:t>
      </w:r>
      <w:r>
        <w:rPr>
          <w:rFonts w:ascii="arial" w:eastAsia="arial" w:hAnsi="arial" w:cs="arial"/>
          <w:b/>
          <w:i/>
          <w:color w:val="000000"/>
          <w:sz w:val="20"/>
          <w:lang w:val="en-US" w:eastAsia="en-US" w:bidi="ar-SA"/>
        </w:rPr>
        <w:t>Auton</w:t>
      </w:r>
      <w:r>
        <w:rPr>
          <w:rFonts w:ascii="arial" w:eastAsia="arial" w:hAnsi="arial" w:cs="arial"/>
          <w:color w:val="000000"/>
          <w:sz w:val="20"/>
          <w:lang w:val="en-US" w:eastAsia="en-US" w:bidi="ar-SA"/>
        </w:rPr>
        <w:t>. In this case, "symbolic damages" are not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Consequently, if I was wrong in dismissing this claim under Rule 19(24)(a), I would dispose of the matter under Rule 18A by granting judgment to the defendant. I would allow its claim for judgment sought in its Notice of Motion, and I would dismiss the plaintiff's claim advanced in his Notice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the defendant considers this claim appropriate for an 18A determination, the plaintiff does not. Assuming the evidence in support of the plaintiff's case is sufficient to overcome the defendant's application under 19(24)(a), I am satisfied that the totality of the evidence would be conflicting and would require resolution in a way not appropriate for an 18A hearing. In that event, I would dismiss the defendant's application for judgment, and permit the matter to remain on, or be returned to, the trial list to develop in the usual way.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respect to the defendant's Notice of Motion, the application for dismissal of both claims under Rule 19(24)(a) is allowed. The plaintiff's Notice of Motion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If the plaintiff wishes to address the matter of costs, the parties may set the matter down before me at their convenience. Otherwise,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With respect to the plaintiff's out-of-pocket legal expenses incurred in </w:t>
      </w:r>
      <w:r>
        <w:rPr>
          <w:rFonts w:ascii="arial" w:eastAsia="arial" w:hAnsi="arial" w:cs="arial"/>
          <w:b/>
          <w:i/>
          <w:color w:val="000000"/>
          <w:sz w:val="20"/>
          <w:lang w:val="en-US" w:eastAsia="en-US" w:bidi="ar-SA"/>
        </w:rPr>
        <w:t>Trociuk No. 1</w:t>
      </w:r>
      <w:r>
        <w:rPr>
          <w:rFonts w:ascii="arial" w:eastAsia="arial" w:hAnsi="arial" w:cs="arial"/>
          <w:color w:val="000000"/>
          <w:sz w:val="20"/>
          <w:lang w:val="en-US" w:eastAsia="en-US" w:bidi="ar-SA"/>
        </w:rPr>
        <w:t xml:space="preserve">, I have already concluded that he has no legal right to be repaid by the defendant. Having said that, I wish to make the observation that in all the circumstances of </w:t>
      </w:r>
      <w:r>
        <w:rPr>
          <w:rFonts w:ascii="arial" w:eastAsia="arial" w:hAnsi="arial" w:cs="arial"/>
          <w:b/>
          <w:i/>
          <w:color w:val="000000"/>
          <w:sz w:val="20"/>
          <w:lang w:val="en-US" w:eastAsia="en-US" w:bidi="ar-SA"/>
        </w:rPr>
        <w:t>Trociuk No. 1</w:t>
      </w:r>
      <w:r>
        <w:rPr>
          <w:rFonts w:ascii="arial" w:eastAsia="arial" w:hAnsi="arial" w:cs="arial"/>
          <w:color w:val="000000"/>
          <w:sz w:val="20"/>
          <w:lang w:val="en-US" w:eastAsia="en-US" w:bidi="ar-SA"/>
        </w:rPr>
        <w:t>, the defendant might consider it fair and appropriate to review the question of whether or not it should reimburse the plaintiff for reasonable out-of-pocket legal expenses up to and including the litigation in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A.H. SILVERMAN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6"/>
          <w:headerReference w:type="default" r:id="rId817"/>
          <w:footerReference w:type="even" r:id="rId818"/>
          <w:footerReference w:type="default" r:id="rId819"/>
          <w:headerReference w:type="first" r:id="rId820"/>
          <w:footerReference w:type="first" r:id="rId8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2" w:history="1">
        <w:r>
          <w:rPr>
            <w:rFonts w:ascii="arial" w:eastAsia="arial" w:hAnsi="arial" w:cs="arial"/>
            <w:b/>
            <w:bCs/>
            <w:i/>
            <w:color w:val="0077CC"/>
            <w:kern w:val="32"/>
            <w:sz w:val="28"/>
            <w:szCs w:val="32"/>
            <w:u w:val="single"/>
            <w:shd w:val="clear" w:color="auto" w:fill="FFFFFF"/>
            <w:lang w:val="en-US" w:eastAsia="en-US" w:bidi="ar-SA"/>
          </w:rPr>
          <w:t>Vavra v. Victoria Ford Alliance Ltd., [2003] B.C.J. No. 1957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16 - 19,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01-4555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1957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1297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924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Cheryl Vavra, plaintiff, and Victoria Ford Alliance Ltd. and Ford Motor Company of Canada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4"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4" w:name="Keywords_32"/>
      <w:bookmarkEnd w:id="214"/>
      <w:r>
        <w:rPr>
          <w:rFonts w:ascii="arial" w:eastAsia="arial" w:hAnsi="arial" w:cs="arial"/>
          <w:b/>
          <w:color w:val="000000"/>
          <w:sz w:val="20"/>
          <w:lang w:val="en-US" w:eastAsia="en-US" w:bidi="ar-SA"/>
        </w:rPr>
        <w:t>Fraud and misrepresentation — Misrepresentation — Negligent misrepresentation — Elements — Reliance — Remedies for breach — Rescission — When available — Damages — Sale of goods, breach by seller — Breach of terms regarding quality or fitness.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5" w:name="Case Summary_29"/>
            <w:bookmarkEnd w:id="2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Vavra against the defendant Victoria Ford Alliance for rescission of a purchase contract or damages for breach of contract. Vavra wanted to purchase a towable trailer. She attended at Victoria to look at new vehicles. She was assured by a knowledgeable salesman three times during the meeting that a particular vehicle would have the towing capacity that she required. Vavra traded in her vehicle and bought the new vehicle. When she purchased the trailer she was informed that her vehicle lacked the capacity to tow it. This was even though the towing requirement for the trailer was within the capacity limit originally represented to her by Victoria. Victoria unsuccessfully attempted to rectify the towing capacity problem.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6" w:name="Holdings of Court_25"/>
            <w:bookmarkEnd w:id="21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Vavra was awarded damages of $20,000. Victoria's negligent misrepresentation regarding the towing capacity was fundamental to Vavra's purchase. Vavra would not have purchased the vehicle if she knew the truth. It was reasonable for her to rely upon this representation. The representations about the towing capacity constituted a warranty. Rescission was not granted. Her trade-in vehicle was no longer available. Vavra had the use of a new custom model vehicle. The lack of towing capacity affected only a portion of the utility of the vehicle. The damages award would allow Vavra to rectify her problem with the vehicle. She could sell it and use the proceeds with the damages award to purchase a vehicle with the proper towing capacity. Damages for negligent misrepresentation were set at $15,000. This was based on the current market value of the vehicle. Vavra was also awarded an additional $5,000 for frustration, anxiety and interference with the loss of the amenity that she sought.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7" w:name="Legislation Cited_25"/>
      <w:bookmarkEnd w:id="2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5"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Sale of Goods Act, s. 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8" w:name="Counsel_32"/>
      <w:bookmarkEnd w:id="2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6"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Peter W. Klassen, for the plaintiff. Rajiv K. Gandhi, for the defendants, Victoria Ford Alliance. Ian Giroday, for the defendants, Ford Motor Company of Canada.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9" w:name="Judgment_32"/>
      <w:bookmarkEnd w:id="219"/>
      <w:r>
        <w:pict>
          <v:line id="_x0000_s1187"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0" w:name="HOLMES J."/>
            <w:bookmarkEnd w:id="220"/>
            <w:r>
              <w:rPr>
                <w:rFonts w:ascii="arial" w:eastAsia="arial" w:hAnsi="arial" w:cs="arial"/>
                <w:b/>
                <w:color w:val="000000"/>
                <w:sz w:val="30"/>
                <w:lang w:val="en-US" w:eastAsia="en-US" w:bidi="ar-SA"/>
              </w:rPr>
              <w:t>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rescission of a contract of purchase of an Eddie Bauer model Ford Expedition from the defendant dealer Victoria Ford ("Suburban"), alternatively damages for breach of contract. The plaintiff also claims against the dealer Suburban, and the defendant Canadian Distributor, Ford Motor Co. ("Ford") for negligent misrepresentation and damages for mental distress and inconvenience.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wished to purchase a towable trailer which she would move throughout the province during the year for recreational use. In the course of her market research she learned that a heavy weight trailer was preferable but required a towing vehicle with a 7,800-7,900 pounds towing capacity. Her vehicle, a 1996 Ford Explorer, had a towing capacity of only 6,600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 salesperson who uses her vehicle to distribute product and promotional materials to customers in her sales area encompassing Vancouver Island and the Sechelt Peninsula. Her vehicle was well suited to her need and apart from an interest in having a vehicle with a greater towing capacity to accommodate a heavy weight recreational trailer she had no need or desire for a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March 2001 the plaintiff stopped at the dealer Suburban's showroom in Victoria to look at new vehicles. It was a spontaneous decision to stop and she had no plan to actively pursue a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greeted on her arrival by Mr. McDonald, a sales representative. In response to his inquiry as to her interest in a new vehicle she told him she was interested in purchasing a recreational trailer and she would want a vehicle with a greater towing capacity than her present Ford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McDonald referred to an Eddie Bauer Ford Expedition parked nearby as fulfilling her requirement with a towing capacity of 8,100 pounds. He went into the showroom and returned with the keys to the Eddie Bauer model and a brochure published by the defendant Ford. He confirmed what he had told her, read from the brochure, and handed it to her to see. The brochure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properly equipped, Expedition XLT can tow up to 2722 kgs. (6000 lbs.) while Eddie Bauer can haul over 3628 kgs. (8000 lbs.).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 8, Tab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McDonald and the plaintiff spoke for a considerable time and eventually they went for a test drive in the Eddie Bauer.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impressed with the vehicle and asked Mr. McDonald again on return to the lot if this vehicle had the 8000 pounds tow rating. He assured her again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decided to seriously consider purchasing the vehicle. She accompanied Mr. McDonald to a sales office where he "crunched" some numbers. This involved detailed pricing of the vehicle and its options, striking a trade in allowance for the plaintiff's Ford Explorer, and calculating taxes and charges to arrive at an acceptable sales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that during this process and before her agreement to a final price she again sought assurance as to the vehicle's towing capacity. She said Mr. McDonald left the room apparently to consult something or someone and returned to assure her the towing capacity was 8,100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then transferred to Mr. Brown, a Business Manager to "close" the contract. The description of the vehicle in the sales contract is only as to year, model, serial number, colour, stock number, number of cylinders and 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 section of the contract described as "optional equipment" the purchaser is asked to indicate: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 the salesperson or sales manager made any promise about this vehicle that is not written in the Bill or Sale? ____ Yes ____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checked "No" and signed. However there was written below a reference to "floormats from van" which were to be transferred from her trade in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total price for the new vehicle was $53,915.00, with a trade-in allowance of $18,401.79 for a net difference $35,513.21. After various fees, charges and taxes the net balance become $41,800.00. The plaintiff was financing the purchase which involved adding $9,896.40 in finance fees, resulting in a total cost of $51,743.40 payable at $862.39 per month over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continued her search for a trailer and ultimately located a model that satisfied her criteria. It required a towing vehicle with a rated towing capacity of 7,900 pounds. The trailer salesperson told her that her newly purchased vehicle was not capable of towing the trailer as it had a towing capacity of only 6,800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very upset and immediately phoned Mr. McDonald. He registered disbelief, told her there must be some error, tried to calm her and said he would look into the matter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Mr. McDonald called her back he confirmed that what the trailer company salesperson told her was correct. He said that with the wheels and axle ratio of her vehicle it would only tow 6,800 lbs, but assured her things could be done to upgrade the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had a tow and brake package installed on her vehicle to accommodate the trailer purchase and checked with Mr. McDonald as to what she should do as the trailer was a rare model that was hard to find on the market and it was selling for a very good price. He assure her that the problem would be put right, the deficient tow capacity remedied, and there was never a suggestion that was to be at her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completed the trailer purchase. The trailer has sat virtually unused since purchase because the towing capacity problem was not rectified by the defendant. The trailer was used on two occasions by moving it to a campsite located about 25 kilometres from the plaintiff's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accept that the plaintiff's evidence she was the subject of misleading and contradictory advice from various Suburban personnel regarding the towing capacity problem. She was told that changing the wheel size would increase the towing capacity. Mr. McDonald arranged to test new wheels and reported it was unsatisfactory as the speedometer calibration was effected.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one point the plaintiff was told not to proceed with a minor repair "..because it looked like she would be getting a new vehicle". Suburban service personnel advised her against changing axle ratio and wheel size as the vehicle would be less peppy and the warranty would be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tried communicating with the defendant Ford in regard to her problem and response was totally unsatisfactory.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matter culminated when the Sales Manager, who was designated to deal with her, made a proposal that the vehicle could be returned, she would pay an additional $10,000, and they would give her a new Ford Explorer with the proper wheel and axle ratio to provide a tow capacity of 8,000 pounds. The vehicle for which she was being asked to assume a $10,000 loss was within two months of its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evidence at trial from Suburban's sales manager was that sales representatives are trained in how a vehicle's towing capacity is ascertained. Ford supplied the proper reference manuals for that purpose to dealers, and they were available at Suburban. Sales brochures were not appropriate reference materials for obtaining the information. Mr. McDonald, an experienced sales representative, must have known the proper procedure and source of accurate information. There was no explanation in evidence as to why he failed completely to follow his training and standards for sales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do not accept that Suburban was not aware of the circumstances of the assurances made to the plaintiff regarding the towing capacity, the error that occurred, and responsibility on their part to see the matter put right. They simply chose to ignore the problem their misrepresentation of the towing capacity had created. Mr. McDonald I found an honest and honourable person, who tried to obtain a remedy for the plaintiff, but in some fashion by the time it was left to the sales manager to resolve the issue, the approach was to work proposals that maintained Suburban's profit and placed the entire burden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reject the suggestion the plaintiff had decided to buy a trailer and was just inquiring how she might improve the towing capacity, nor do I accept the suggestion that the plaintiff was only seeking remediation from the defendant Ford. Clearly she looked to Suburban and if they had an issue with the defendant Ford they could pursue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agree with the plaintiff's position that it was insulting to her that Suburban's method of helping was to require her pay another $10,000 to obtain what she had already contracted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the plaintiff's evidence that her purpose in buying a new vehicle was to permit her to tow a heavyweight trailer and that her present vehicle rated at 6,800 pounds was inadequate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Suburban's sales representative Mr. McDonald assured her on at least three separate occasions prior to her agreement to purchase that the Eddie Bauer Explorer had a towing capacity of 8,100 pounds. The plaintiff relied upon Mr. McDonald as a knowledgeable representative of the vendor. The assurance was given increased accuracy and trustworthiness by Mr. McDonald's use of the defendant Ford's brochure. The plaintiff's reliance was reasonable and she was entitled to accept what she was told. The evidence did not disclose any explanation for Mr. McDonald's complete failure to follow the established procedure to determine a vehicle's towing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of importance to note that towing capacity of a vehicle is not discernible by observation. It is the result primarily of the complex inter relationship of engine power, axle ration, and wheel diameters. The defendant Ford's pamphlet is ambiguous in that it suggests an Expedition XLT, properly equipped, can tow 6,000 pounds while an Eddie Bauer model, being a specialized custom model, may be taken to have the increased towing capacity of 8,100 pounds included within its customization. In my view, a customer might misinterpret that information but not a sales representative selling Ford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misrepresentation by Mr. McDonald regarding towing capacity was fundamental to the plaintiff purchasing the vehicle and the enhanced towing capacity was clearly a condition to purchase. The plaintiff would not have purchased had she known the truth as to the vehicle's actual towing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Queen v. Cognos Inc., </w:t>
      </w:r>
      <w:hyperlink r:id="rId823"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[paragraph] 33, Mr. Justice Iacobucci succinctly summarizes the essential requirements for a finding of negligent misrepresentation.</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Mr. Justice Laforest defined "special relationship", or proximity, in Hercules Managements Ltd. v. Ernst &amp; Young, </w:t>
      </w:r>
      <w:hyperlink r:id="rId824"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at [paragraph] 24 as existing when:</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ought reasonably to foresee that the plaintiff will rely on his or her representation;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reliance by the plaintiff would, in the particular circumstances of the case, be reasonable.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Gallen v. Allstate Grain Co., </w:t>
      </w:r>
      <w:hyperlink r:id="rId825" w:history="1">
        <w:r>
          <w:rPr>
            <w:rFonts w:ascii="arial" w:eastAsia="arial" w:hAnsi="arial" w:cs="arial"/>
            <w:i/>
            <w:color w:val="0077CC"/>
            <w:sz w:val="20"/>
            <w:u w:val="single"/>
            <w:shd w:val="clear" w:color="auto" w:fill="FFFFFF"/>
            <w:lang w:val="en-US" w:eastAsia="en-US" w:bidi="ar-SA"/>
          </w:rPr>
          <w:t>[1984] B.C.J. No. 1621</w:t>
        </w:r>
      </w:hyperlink>
      <w:r>
        <w:rPr>
          <w:rFonts w:ascii="arial" w:eastAsia="arial" w:hAnsi="arial" w:cs="arial"/>
          <w:color w:val="000000"/>
          <w:sz w:val="20"/>
          <w:lang w:val="en-US" w:eastAsia="en-US" w:bidi="ar-SA"/>
        </w:rPr>
        <w:t xml:space="preserve"> (C.A.) deals specifically with the effect of an oral representation of warranty when in apparent conflict with a written contract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Justice of Appeal Anderson at [paragraph] 76 quotes from Lord Denning M.R. in Mendelssohn v. Normand Ltd. (1970) 1 Q.B. 177 at 183. The quotation well expresses the principle involved in giving efficacy to the oral promise over contract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many cases in the books when a man has made, by word of mouth, a promise or a representation of fact, on which the other party acts by entering into the contract. In all such cases the man is not allowed to repudiate his representation by reference to a printed condition, see Couchman v. Hill [1974] K.B. 554; Curtis v. Chemical Cleaning and Dyeing Co. [1951] K.B. 805; and Harling v. Eddy [1951] 2 K.B. 739; nor is he allowed to go back on his promise by reliance on a written clause, see City and Westminster Properties (1934) Ltd. v. Mudd [1959] Ch. 129, 145 by Harman J. The reason is because the oral promise or representation has a decisive influence on the transaction -- it is the very thing which induces the other to contract -- and it would be most unjust to allow the maker to go back on it. The printed condition is rejected because it is repugnant to the express oral promise or representation. As Devlin J. said in Firestone Tyre and Rubber Co. Ltd. v. Vokins &amp; Co. Ltd [1951] 1 Lloyd's Rep. 32, 39: "It is illusory to say: 'We promise to do a thing, but we are not liable if we do not do it'." To avoid this illusion, the law gives the oral promise priority over the printed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considering whether an exemption clause excludes express warranty the appropriate course to follow "..is to determine as a matter of construction, having regard to all circumstances including the warranty, whether the exemption clause was, in fact, intended by the parties to exclude the express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the plaintiff has conclusively proven the ingredients for a finding of negligent misrepresentation by Suburban.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McDonald clearly was aware of the plaintiff's concern with towing capacity of any vehicle she might purchase and was looking to him for accurate advice. It was entirely appropriate for the plaintiff to rely upon Mr. McDonald in the circumstances as it was his job to provide information and answer questions regarding the product being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representations made as to towing capacity by Mr. McDonald were inaccurate, untrue, and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was entirely reasonable for the plaintiff to have relied on Mr. McDonald's assurances after she raised the issue at least three times during their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clear the plaintiff has suffered damages in buying a vehicle unsuited to the primary reason for the purchase in the first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Suburban's defence is essentially three-fold. The Sale of Goods Act has no application because the plaintiff uses the vehicle primarily for business; the contract expressly excludes any "promise" not contained in the Bill of Sale; and the only representation relied upon by the plaintiff was contained in the defendant Ford's brochure for which the plaintiff is not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Suburban is correct as to the inapplicability of the Section 18 fitness for the purpose provision of the Sale of Goods Act because of the Section 20 exclusion from that warranty in respect of goods intended for a business use. That however encompasses only a specific statutory warranty. The plaintiff does use her vehicle primarily for business purposes, although that was not the main purpose of her purchasing the vehicle. Her existing vehicle was well suited and entirely adequate for her business use. It is apparent however that as she had but one vehicle, she did intend its use for a business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McDonald's representations as to towing capacity constitute warranty as did pre-contract representations in issue in Gallen,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defence of exclusion of any promise not contained in the Bill of Sale is in present context the thinnest of gruel. The breach in issue here was of a fundamental condition inducing the contract itself. The misrepresentations involved essentially an assurance as to what the internal mechanical specifications were for this vehicle. It was not a matter of some optional equipment or extra service, such as "floormats from van", that appears was attributed to the clause in issue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Bill of Sale gives only a skeletal generic description of the vehicle being sold, it is obvious that the clause on which Suburban seeks to rely was never intended to cover the myriad of internal specifications of the manufacture of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Rescission is generally an appropriate remedy when a negligent misrepresentation has occurred in relation to a fundamental contractual term of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Ideally restitution in integrium is the goal sought to be achieved. The Court does have the power to make a monetary adjustment for use of property or other relevant matter so as to ensure, within the Court's capability, the parties are restored as closely as possible to their pre contractual positions. [G.H.L. Fridman, The Law of Contracts in Canada (Toronto, Carswell, 1976) p. 608].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consider however the evidence is too imprecise now fairly place the parties in their original positions, even with compensation for use. At date of trial the vehicle had been in the possession of the plaintiff for in excess of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used the vehicle primarily in her business and wrote off vehicle expenses and depreciation which impacted her income tax. No evidence was provided in regard to the financial advantage she obtained but it must have been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vehicle the plaintiff traded-in is gone, and cannot now be restored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has had the use of a new top custom model vehicle which the plaintiff has enjoyed driving. The lack of towing capacity was her sole concern and has affected only a portion of the utility of the vehicle. The plaintiff and has enjoyed some substantial benefits of new vehicle ownership.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An award of damages will allow the plaintiff a choice as to how she may resolve her problem. She might sell the Eddie Bauer at market and apply the proceeds together with damages award to buy either a new or used vehicle that provides proper towing capacity. There is nothing inherently wrong with the vehicle which will affect its market price or saleability. She might alternatively decide to have the vehicle modified, axle ratios changed, and smaller wheels fitted so as to achieve the required tow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fixing the appropriate damages I am cognizant of three pieces of relevant evidence related to value and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First, within two months of its purchase Suburban suggests the Eddie Bauer had depreciated $10,000. That was the amount they required to replace it with a less prestigious model with enhanced tow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Secondly, the Eddie Bauer has an appraised market value as of January 2003 of $39,500. Presumably as of the trial date it is somewhat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Thirdly, Suburban estimates they could convert the vehicle to enhance its towing capacity at a cost of approximately $7,500. This would however result in a unique vehicle altered to specifications unlike any Eddie Bauer sold in Canada. On the evidence I was not convinced these alterations could be effected without invalidating the manufacturer's warranty. The company altering the vehicle might be the only recourse if the alteration was not effective, or created other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would in my view be a practical and financial risk in converting the vehicle to enhance towing capacity and a fair award of damages must make provision for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assess the damages against Suburban for negligent misrepresentation, or alternatively breach of a fundamental condition inducing contract at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addition the plaintiff is entitled to an award for frustration, anxiety, and interference with, and loss of amenity, of her leisure lifestyle. The principles concerning this type of award are reviewed and summarized at [paragraph] 57 of Madam Justice Levine in Wharton v. Tom Harris Chevrolet Oldsmobile Cadillac Ltd. </w:t>
      </w:r>
      <w:hyperlink r:id="rId826" w:history="1">
        <w:r>
          <w:rPr>
            <w:rFonts w:ascii="arial" w:eastAsia="arial" w:hAnsi="arial" w:cs="arial"/>
            <w:i/>
            <w:color w:val="0077CC"/>
            <w:sz w:val="20"/>
            <w:u w:val="single"/>
            <w:shd w:val="clear" w:color="auto" w:fill="FFFFFF"/>
            <w:lang w:val="en-US" w:eastAsia="en-US" w:bidi="ar-SA"/>
          </w:rPr>
          <w:t>(2002), 97 B.C.L.R. (3d) 307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was induced to purchase an expensive vehicle only to find it was not capable of the towing capacity that induced her to buy it. She was upset, anxious and apprehensive when she discovered the vehicles inability to tow a heavyweight trailer as she was assured it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She then purchased an expensive trailer on the assurance of Suburban's sales representative and personnel that the problem would be remedied.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problem was not remedied. The dealer denied responsibility, and proposed only remedies providing full profit to Suburban with the total cost to the plaintiff. Her planned leisure life style has not been possible for more than two years. She has the expense of maintaining an expense trailer with virtually no ability to enjoy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award the plaintiff $5,000 on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claim against the defendant Ford, and the defendant Suburban's third party claim against the defendant are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reliance was clearly upon Suburban's sales representative Mr. McDonald. He introduced the defendant Ford's sales brochure to her in support of his misrepresentation. He misrepresented to her that the Ford brochure stated the Eddie Bauer had an 8,100 pounds towing capacity. He knew the proper source for information as to the specifications of towing capacity supplied by Ford and he did not look. He must certainly have known it was not appropriate to use the sales brochure for the purpose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regard to the argument that the brochure misled the sales representative I place little credence. Mr. McDonald was a senior, experienced sales representative. It was contrary to training and procedure for him to rely on anything in the sales brochure to ascertain towing capacity of a specific vehicle. If Mr. McDonald was in any manner misled by the sales brochure it was because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completely deviating from the proper source material to determine towing capacity. It could not be said his reliance in the circumstances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is entitled to her costs from the defendant Suburban on Scale 3, and any taxed costs of the defendant Ford payable by the plaintiff will instead be paid directly by Suburban to 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8"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Brinacomb v. British Columbia Transit, [2000] B.C.J. No. 389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Baker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10,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23, 2000.</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96 2549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389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331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95 A.C.W.S. (3d) 408</w:t>
      </w:r>
    </w:p>
    <w:p>
      <w:pPr>
        <w:spacing w:before="120" w:line="260" w:lineRule="atLeast"/>
        <w:rPr>
          <w:lang w:val="en-US" w:eastAsia="en-US" w:bidi="ar-SA"/>
        </w:rPr>
      </w:pPr>
      <w:r>
        <w:rPr>
          <w:rFonts w:ascii="arial" w:eastAsia="arial" w:hAnsi="arial" w:cs="arial"/>
          <w:color w:val="000000"/>
          <w:sz w:val="20"/>
          <w:lang w:val="en-US" w:eastAsia="en-US" w:bidi="ar-SA"/>
        </w:rPr>
        <w:t>Between Deborah May Brinacomb, plaintiff, and British Columbia Transit, Ron Swinney and Insurance Corporation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9" style="position:absolute;z-index:2516930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21" w:name="Keywords_33"/>
      <w:bookmarkEnd w:id="221"/>
      <w:r>
        <w:rPr>
          <w:rFonts w:ascii="arial" w:eastAsia="arial" w:hAnsi="arial" w:cs="arial"/>
          <w:b/>
          <w:color w:val="000000"/>
          <w:sz w:val="20"/>
          <w:lang w:val="en-US" w:eastAsia="en-US" w:bidi="ar-SA"/>
        </w:rPr>
        <w:t xml:space="preserve">Carriers — Liability to passengers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Boarding or departure — Standard of care — Of driver of bus.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22" w:name="Case Summary_30"/>
            <w:bookmarkEnd w:id="22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application by British Columbia Transit and the other defendants for dismissal of Brinacomb's action. Brinacomb was a passenger on Transit's bus when she slipped and fell in the aisle. She alleged that the driver was negligent in setting the bus in motion before she was seated. In her most recent affidavit, Brinacomb claimed that she lost her balance because the bus went around a sharp curve too quickly. During discoveries she had agreed that the movement of the bus was a normal movement and that she fell before the bus went around the curve. There was no evidence that the bus was travelling at an unsafe or excessive speed as it entered and rounded the curve. There was no evidence to indicate that Brinacomb was in poor health, was unsteady on her feet or had any problems with balance at the time of the fall. The evidence before the court included an affidavit by Leroux concerning his observations during a re-enactment, the transcripts of the examinations of discovery of two representatives of Transit and the others and the engineering opinion evidence put forward by Brinacomb. The date for service of notice of opinion evidence had passed. </w:t>
            </w:r>
            <w:r>
              <w:rPr>
                <w:lang w:val="en-US" w:eastAsia="en-US" w:bidi="ar-SA"/>
              </w:rPr>
              <w:cr/>
            </w:r>
          </w:p>
          <w:p>
            <w:pPr>
              <w:spacing w:before="120" w:line="260" w:lineRule="atLeast"/>
              <w:ind w:left="240"/>
              <w:jc w:val="both"/>
              <w:rPr>
                <w:lang w:val="en-US" w:eastAsia="en-US" w:bidi="ar-SA"/>
              </w:rPr>
            </w:pPr>
            <w:bookmarkStart w:id="223" w:name="Holdings of Court_26"/>
            <w:bookmarkEnd w:id="223"/>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action was dismissed. There were the necessary facts to resolve the issues of fact and law presented by this action. Brinacomb lost her balance, but there was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Transit or the others. The evidence did not demonstrate that the bus was improperly or negligently equipped, either in relation to the matting on the floor, or the location and availability of hand grips. The evidence did not establish that the action or movement of the bus fell outside the normal and expected range of movement passengers ought to expect on buses travelling in city traffic, or that the bus was travelling at an excessive rate of speed. There was no evidence to establish that the bus driver had been negligent in failing to wait until Brinacomb had reached the seat of her choice before putting the bus into motion. </w:t>
            </w:r>
            <w:r>
              <w:rPr>
                <w:lang w:val="en-US" w:eastAsia="en-US" w:bidi="ar-SA"/>
              </w:rPr>
              <w:cr/>
            </w:r>
          </w:p>
          <w:p>
            <w:pPr>
              <w:rPr>
                <w:lang w:val="en-US" w:eastAsia="en-US" w:bidi="ar-SA"/>
              </w:rPr>
            </w:pPr>
          </w:p>
        </w:tc>
      </w:tr>
    </w:tbl>
    <w:p>
      <w:pPr>
        <w:jc w:val="both"/>
        <w:rPr>
          <w:lang w:val="en-US" w:eastAsia="en-US" w:bidi="ar-SA"/>
        </w:rPr>
      </w:pPr>
      <w:bookmarkStart w:id="224" w:name="Counsel_33"/>
      <w:bookmarkEnd w:id="22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90" style="position:absolute;z-index:2517442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Diane E. Tourell, for the plaintiff. Carolyn P. Bouck, for the defendants.</w:t>
      </w:r>
      <w:r>
        <w:rPr>
          <w:lang w:val="en-US" w:eastAsia="en-US" w:bidi="ar-SA"/>
        </w:rPr>
        <w:cr/>
      </w:r>
    </w:p>
    <w:p>
      <w:pPr>
        <w:spacing w:after="240"/>
        <w:rPr>
          <w:lang w:val="en-US" w:eastAsia="en-US" w:bidi="ar-SA"/>
        </w:rPr>
      </w:pPr>
      <w:bookmarkStart w:id="225" w:name="Judgment_33"/>
      <w:bookmarkEnd w:id="225"/>
      <w:r>
        <w:pict>
          <v:line id="_x0000_s1191" style="position:absolute;z-index:25179545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26" w:name="BAKER J."/>
            <w:bookmarkEnd w:id="226"/>
            <w:r>
              <w:rPr>
                <w:rFonts w:ascii="arial" w:eastAsia="arial" w:hAnsi="arial" w:cs="arial"/>
                <w:b/>
                <w:color w:val="000000"/>
                <w:sz w:val="30"/>
                <w:lang w:val="en-US" w:eastAsia="en-US" w:bidi="ar-SA"/>
              </w:rPr>
              <w:t>BAKER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January 30, 1995, Deborah Brinacomb fell in the aisle of B.C. Transit bus 975, driven by the defendant Ron Swinney, on Esquimalt Road in Victoria, British Columbia. Ms. Brinacomb says her fall, and resulting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On this summary trial the defendants seek a dismissal of the plaintiff's claim. The plaintiff says the action cannot fairly be disposed of by summary trial.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around 8:10 a.m. on January 30, 1995, Ms. Brinacomb, who was 32 years old at the time, boarded the No. 975 bus at a bus stop on Esquimalt Road, heading to her job at the Canadian Armed Forces Base in Esquimalt.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Brinacomb waited for the bus at a stop on Esquimalt Road just east of a T-intersection where Dominion Road joins Esquimalt Road from the north. She had walked to the bus stop from her home on Connaught Street, a walk of about ten to fifteen minutes.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copy of a Scale Scene Plan was obtained from the Municipal Hall in Esquimalt, showing this portion of Esquimalt Road. A short distance west of the bus stop Esquimalt Road curves, at a slight upward incline, in a west/north/westerly direction and then continues in a west/south/westerly direction.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the stop at which Ms. Brinacomb boarded the bus, Esquimalt Road is joined by Dominion Road on the north, as I have said, and further west, just before the top of the curve, by Dunsmuir Street on the south.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engineering expert retained by the plaintiff described the site as follows in his report: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this area, Esquimalt Road is a four lane road with two lanes of travel in each direction. There is a bus stop located about 16 m east of the east curb of Dominion Road... This bus stop is for westbound buses. West of the bus stop, Esquimalt Road ascends slightly and curves to the left about 43 degrees... Based on the ... scene plan, the minimum radius of the curve in Esquimalt Road, determined at the westbound curb, is between 74 and 82 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area of Esquimalt Road relevant to this lawsuit has a posted speed limit of 30 kph, although most of the rest of Esquimalt Road is posted 50 kph. There is no evidence about why the lower speed limit applies in this area, but it seems likely that the reduced speed limit is because of the curve.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Beatson, the manager of accident prevention and security for B.C. Transit was examined for discovery by counsel for the plaintiff on January 18, 2000. He testified that although the Esquimalt Road route was considered to be a busy route during rush hour in 1995, rush hour on that route was usually over by about 7:45 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January 30, 1995, it had been raining heavily earlier, but it was not raining when Ms. Brinacomb walked from her home to the bus stop, or during the five minutes she waited for the bus. Ms. Brinacomb was wearing jeans, a sweater, ski jacket, and "relatively new hiking boots". She had a knapsack over her shoulder and was carrying a compact umbrella in her hand.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Brinacomb is, according to her doctor, 5 feet, 4 inches tall. She estimates her weight at the time to be about 240 pounds. Ms. Brinacomb's weight has been fairly stable at around that figure for the past seven years. There is no evidence that her weight was disabling in 1995; that she was in poor health; unsteady on her feet; or had any problems with balance.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Brinacomb had been on the bus before, but was not a frequent passenger. On January 30, she boarded the bus at the front, said hello to the driver and proceeded to walk towards the back of the bus, intending to take a seat located behind the rear entrance.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From photographs taken by the plaintiff's expert, it appears that the bus can seat about 44 passengers. Ms. Brinacomb believes there were about twenty people on board when she got on the bus. No passengers were standing. Ms. Brinacomb testified that most of the passengers were seated towards the front of the bus, but agreed on discovery that there probably were seats available at the front. Photographs of bus 975 illustrate that to reach a seat behind the rear entrance, Ms. Brinacomb would pass the "courtesy seats", which face each other across the aisle of the bus, and, according to the photograph, accommodate two passengers on one side, and four on the other. As well, she would proceed past four rows of front-facing seats and then the rear doorway on her left; and five rows of front facing seats on her right, before reaching the sixth row of front-facing seats, which is immediately behind the rear doorway.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are two sets of vertical poles, called "vertical stanchions" directly across from each other, adjacent to the courtesy seats, and another vertical stanchion on the left side immediately adjacent to the steps to the rear doorway. There is a horizontal bar running along the top of the bus above the seats on each side. In addition, each front-facing seat back has a horizontal metal grip bar attached to the top of the seat back, referred to as a horizontal stanchion. The rows of front-facing seats are staggered.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aisle of the bus is covered by a rubber mat, with grooves in it. Ms. Brinacomb says that on the morning in question the mat was wet the entire length of the aisle.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her affidavit Ms. Brinacomb deposed that she had taken approximately three to four steps down the aisle before the bus driver closed the doors and the bus started to move. Based on Ms. Brinacomb's description, by the time the bus driver closed the bus doors and started to pull away from the bus stop, she had passed by the courtesy seats and was walking between the rows of front-facing seats. Although she had her umbrella in one hand, she was still able to grasp the horizontal stanchions with that hand, and with her other hand, which was free.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Brinacomb described her fall somewhat differently in her affidavit and during her examination for discovery. In her affidavit, sworn December 8, 1999, she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whole aisle of the bus was wet. I grabbed onto the rail at the back of the seat beside me. I then took hold of the rail on the back of another seat on the other side of the aisle in order to stagger my way to my seat by holding the rails on each side of the aisle as I walked. I had my umbrella in my hand but I was able to grab the seat rail and hold on with my fingers. I then reached for the next seat rail on the other side with my free hand. Suddenly the bus went around a sharp turn and before I could grab the seat rail I was thrown backwards. Both my feet came up in front of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her examination for discovery, the following questions and answers were recorded: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179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As you started walking towards the back of the bus, did you hang on to any of those rails?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When the bus driver took off, started to move, I grabbed a hold of it -- of the back of the seat, and then I grabbed another one with my fingers. I remember grabbing it with my fingers because I had my umbrella in my hand. Then I went to grab again with my other free hand. Just as I was going to grab, he went around the corner, and my feet just came right out from under me.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183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 it was really when the bus went around the corner that caused you to slip?</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 I think it was just before the corner.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184 Q</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What do you think caused that slip?</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The wet on the rubber mat.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195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 your feet basically came out from under you? Is that what occurred?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Brinacomb's fall was observed by another passenger, Larry Miller, who provided a statement on February 29, 1995, and swore an affidavit attaching his statement, which was filed by the plaintiff. Mr. Miller's statement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On the morning of January 30, 1995, I was travelling on a bus proceeding along Esquimalt Road, when I witnessed another bus passenger slip and fall while walking down the aisle.</w:t>
      </w:r>
    </w:p>
    <w:p>
      <w:pPr>
        <w:spacing w:before="120" w:line="260" w:lineRule="atLeast"/>
        <w:ind w:left="720"/>
        <w:rPr>
          <w:lang w:val="en-US" w:eastAsia="en-US" w:bidi="ar-SA"/>
        </w:rPr>
      </w:pPr>
      <w:r>
        <w:rPr>
          <w:rFonts w:ascii="arial" w:eastAsia="arial" w:hAnsi="arial" w:cs="arial"/>
          <w:color w:val="000000"/>
          <w:sz w:val="20"/>
          <w:lang w:val="en-US" w:eastAsia="en-US" w:bidi="ar-SA"/>
        </w:rPr>
        <w:t>It was raining that day and I was seated on the driver's side of the bus, about mid-way down the aisle, near the rear exit.</w:t>
      </w:r>
    </w:p>
    <w:p>
      <w:pPr>
        <w:spacing w:before="120" w:line="260" w:lineRule="atLeast"/>
        <w:ind w:left="720"/>
        <w:rPr>
          <w:lang w:val="en-US" w:eastAsia="en-US" w:bidi="ar-SA"/>
        </w:rPr>
      </w:pPr>
      <w:r>
        <w:rPr>
          <w:rFonts w:ascii="arial" w:eastAsia="arial" w:hAnsi="arial" w:cs="arial"/>
          <w:color w:val="000000"/>
          <w:sz w:val="20"/>
          <w:lang w:val="en-US" w:eastAsia="en-US" w:bidi="ar-SA"/>
        </w:rPr>
        <w:t>I noticed a woman board the bus near Dominion Street and as she began to walk down the aisle to an empty seat, the bus driver accelerated and approximately one metre from where I was seated, the woman fell backwards, landing hard on her backside and sliding a further couple of feet down the aisle.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Ron Swinney had been driving the route for many years prior to January 30, 1995. Ms. Brinacomb did not report her fall to him at the time it occurred and he was unaware of the incident. She made a report to B.C. Transit later that day. The matter was brought to Mr. Swinney's attention at the end of his shift. Mr. Swinney has deposed that to the best of his recollection, there was nothing abnormal about traffic or his driving on that day.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SUITABILITY FOR SUMMARY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Counsel for Ms. Brinacomb submits that it is not possible for the court to find the facts necessary to decide this case on a summary trial, or, alternatively, that it would be unjust to do so. Both counsel rely on Inspiration Mgmt. Ltd. v. McDermid St. Lawrence Ltd., </w:t>
      </w:r>
      <w:hyperlink r:id="rId834"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that case the learned Chief Justice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test for R. 18A, in my view, is the same as on a trial. Upon the facts being found the chambers judge must apply the law and all appropriate legal principles. If then satisfied that the claim or defence has been established according to the appropriate onus of proof he must give judgment unless he has the opinion that it will be unjust to give such judgment. p. 215.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 earlier summary trial application brought by the defendants on January 24, 2000 was dismissed by Justice Wilson, with leave to reapply. Counsel for the plaintiff provided the court with a copy of the transcript of the hearing before Justice Wilson. The evidence before me has been supplemented in several ways. Since the January 24, 2000 hearing, the defendant has filed the affidavit of Mr. Leroux concerning his observations during a re-enactment utilizing bus 975 on the Esquimalt route on January 25, 2000. The transcripts of the examinations for discovery of Mr. Swinney and Mr. Beatson, representatives of the defendants, are now before the court. In addition, I have considered and taken into account the engineering opinion evidence put forward by the plaintiff, which Justice Wilson declined to consider, because the defendant objected to its admission without adequate notice. The plaintiff has also received additional information and documents requested on the examinations for discovery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application is being heard only a month before the scheduled trial date of March 13, 2000. The date for service of expert opinion evidence has passed. The trial is expected to take five days. Although it is to be a jury trial, the defendants filed the jury notice, and counsel for the plaintiff expressed a preference for a trial without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plaintiff says that there are credibility issues, and that the court cannot resolve the credibility issues on a summary trial. I do not agree. In Inspiration Management, cited earlier, Chief Justice McEachern pointed out that a judge is not obliged to remit a case to the trial list just because there are conflicting affidavits if other admissible evidence makes it possible to find the facts necessary for judgment to be given.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To the extent that there are conflicts in the evidence in this case, they arise from the plaintiff's own testimony, and not from conflicting affidavits filed by the opposing parties. The plaintiff has given different descriptions of the incident on examination for discovery and in her affidavit.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Plaintiff's counsel argued, and Justice Wilson made reference to the fact that Mr. Miller might have something more to say about what he meant when he used the word "accelerated" to describe the action of the bus in his statement. However, it is plaintiff's counsel who obtained an affidavit from Mr. Miller, in response to the defendant's application to dismiss the plaintiff's claim. He is a witness for the plaintiff. Presumably if Mr. Miller has any present recollection of the events in question, the plaintiff should have included further details in Mr. Miller's affidavit.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 explanation was given for the failure to clarify Mr. Miller's statement in response to the defendants' renewed application for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the plaintiff argued that some documents, having to do with maintenance records for the bus, requested from the defendant's representatives when they were examined for discovery on January 18, 2000 have recently been delivered, and that the plaintiff's engineer, who has yet to inspect the documents, might have something to say about them at trial, but this is merely speculation, and, as I have said, the date for service of notice of opinion evidence has passed.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satisfied that the court can find the facts necessary to resolve the issues of fact and law presented by this action, and that it would not be unjust to dispose of this matter on a summary trial. I am not satisfied there are issues of credibility that can only fairly be decided by allowing the trier of fact to observe the witnesses in cross-examination.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Counsel agree that the relevant authorities begin with the decision of the Supreme Court of Canada in Day v. Toronto Transportation Commission, </w:t>
      </w:r>
      <w:hyperlink r:id="rId835" w:history="1">
        <w:r>
          <w:rPr>
            <w:rFonts w:ascii="arial" w:eastAsia="arial" w:hAnsi="arial" w:cs="arial"/>
            <w:i/>
            <w:color w:val="0077CC"/>
            <w:sz w:val="20"/>
            <w:u w:val="single"/>
            <w:shd w:val="clear" w:color="auto" w:fill="FFFFFF"/>
            <w:lang w:val="en-US" w:eastAsia="en-US" w:bidi="ar-SA"/>
          </w:rPr>
          <w:t>[1940] 4 D.L.R. 484</w:t>
        </w:r>
      </w:hyperlink>
      <w:r>
        <w:rPr>
          <w:rFonts w:ascii="arial" w:eastAsia="arial" w:hAnsi="arial" w:cs="arial"/>
          <w:color w:val="000000"/>
          <w:sz w:val="20"/>
          <w:lang w:val="en-US" w:eastAsia="en-US" w:bidi="ar-SA"/>
        </w:rPr>
        <w:t>. At the trial a jury had held, on conflicting evidence involving the credibility of witnesses, that a street car passenger's injuries occurred because the street car driver suddenly applied his emergency brake to avoid an imminent collision caused by the driver's own failure to keep a proper look out. The Ontario Court of Appeal set aside the jury verdict. The Supreme Court of Canada held that the Court of Appeal's interference with the jury's findings was not warranted, and restored the jury verdict.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appeal was heard by five justices and the decision was unanimous. Justice Rinfret gave no reasons. Justices Crocket, Davis, Kerwin, and Hudson all wrote separate opinions.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Crocket, J. held that the Court of Appeal had completely reversed the findings of the jury upon the principal issue tried before them, and said that while the evidence might produce a contrary impression on the mind of a trained judge, that did not warrant the Court of Appeal interfering with the decision of the jury who had the advantage of observing the demeanour of the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Justice Davis held that the duty of the street car operator was to carry the passenger safely as far as reasonable care and forethought could attain that end, and that there was evidence upon which the jury could come to their conclusion that the street car driver had failed to exercise reasonable care and forethought.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Justice Kerwin pointed out that so far as the operator was concerned, the case was left to the jury as one in which the onus of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upon the passenger. He concluded that it was impossible to say that there was no evidence upon which a jury doing their duty could find the operator was negligent in not looking or observing the road ahead of him, thereby necessitating the application of the emergency brakes.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Justice Hudson also found that there was evidence on which the jury could have found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therefore, that the Court of Appeal ought not to have interfered with the verdict. However, he stated the burden resting on the defendant carrier somewhat differently from his colleagues. He said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Although the carrier of passengers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 4 Hals. (2nd ed.), p.60 paras. 92 and 95. In an old case of Jackson v. Tollette, 2 Stark. 37, 171 E.R. 564, the rule was stated by Lord Ellenborough, at p. 38, as follows:</w:t>
      </w:r>
    </w:p>
    <w:p>
      <w:pPr>
        <w:spacing w:before="120" w:line="260" w:lineRule="atLeast"/>
        <w:ind w:left="720"/>
        <w:rPr>
          <w:lang w:val="en-US" w:eastAsia="en-US" w:bidi="ar-SA"/>
        </w:rPr>
      </w:pPr>
      <w:r>
        <w:rPr>
          <w:rFonts w:ascii="arial" w:eastAsia="arial" w:hAnsi="arial" w:cs="arial"/>
          <w:color w:val="000000"/>
          <w:sz w:val="20"/>
          <w:lang w:val="en-US" w:eastAsia="en-US" w:bidi="ar-SA"/>
        </w:rPr>
        <w:t>"Every person who contracts for the conveyance of others, is bound to use the utmost care and skill, and if, through any erroneous judgment on his part, any mischief is occasioned, he must answer for the consequences."</w:t>
      </w:r>
    </w:p>
    <w:p>
      <w:pPr>
        <w:spacing w:before="120" w:line="260" w:lineRule="atLeast"/>
        <w:ind w:left="720"/>
        <w:rPr>
          <w:lang w:val="en-US" w:eastAsia="en-US" w:bidi="ar-SA"/>
        </w:rPr>
      </w:pPr>
      <w:r>
        <w:rPr>
          <w:rFonts w:ascii="arial" w:eastAsia="arial" w:hAnsi="arial" w:cs="arial"/>
          <w:color w:val="000000"/>
          <w:sz w:val="20"/>
          <w:lang w:val="en-US" w:eastAsia="en-US" w:bidi="ar-SA"/>
        </w:rPr>
        <w:t>The question then for the jury was whether the motorman had used in a high degree all due, proper and reasonable care and skill under the circumstances. On conflicting evidence the jury chose to accept that part which was favorable to the plaintiff. I am of opinion that there was some evidence on which they could properly decide that the motorman had failed in his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British Columbia Court of Appeal considered the standard of care required of a public carrier in Wang v. Horrod, </w:t>
      </w:r>
      <w:hyperlink r:id="rId836" w:history="1">
        <w:r>
          <w:rPr>
            <w:rFonts w:ascii="arial" w:eastAsia="arial" w:hAnsi="arial" w:cs="arial"/>
            <w:i/>
            <w:color w:val="0077CC"/>
            <w:sz w:val="20"/>
            <w:u w:val="single"/>
            <w:shd w:val="clear" w:color="auto" w:fill="FFFFFF"/>
            <w:lang w:val="en-US" w:eastAsia="en-US" w:bidi="ar-SA"/>
          </w:rPr>
          <w:t>[1998] B.C.J. No. 1288</w:t>
        </w:r>
      </w:hyperlink>
      <w:r>
        <w:rPr>
          <w:rFonts w:ascii="arial" w:eastAsia="arial" w:hAnsi="arial" w:cs="arial"/>
          <w:color w:val="000000"/>
          <w:sz w:val="20"/>
          <w:lang w:val="en-US" w:eastAsia="en-US" w:bidi="ar-SA"/>
        </w:rPr>
        <w:t xml:space="preserve">. In addition to quoting the passage from Hudson J. in Day, the trial judge had also relied on the oral Reasons of McLachlin, J., as she then was, in Planidin v. Dykes, </w:t>
      </w:r>
      <w:hyperlink r:id="rId837" w:history="1">
        <w:r>
          <w:rPr>
            <w:rFonts w:ascii="arial" w:eastAsia="arial" w:hAnsi="arial" w:cs="arial"/>
            <w:i/>
            <w:color w:val="0077CC"/>
            <w:sz w:val="20"/>
            <w:u w:val="single"/>
            <w:shd w:val="clear" w:color="auto" w:fill="FFFFFF"/>
            <w:lang w:val="en-US" w:eastAsia="en-US" w:bidi="ar-SA"/>
          </w:rPr>
          <w:t>[1984] B.C.J. No. 907</w:t>
        </w:r>
      </w:hyperlink>
      <w:r>
        <w:rPr>
          <w:rFonts w:ascii="arial" w:eastAsia="arial" w:hAnsi="arial" w:cs="arial"/>
          <w:color w:val="000000"/>
          <w:sz w:val="20"/>
          <w:lang w:val="en-US" w:eastAsia="en-US" w:bidi="ar-SA"/>
        </w:rPr>
        <w:t>, Vancouver Registry No. C822911, March 2, 1984, in which the court said, in reference to the decision in Day: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These, and other cases, establish that once an accident occurs, and a passenger is injured, a prima facie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raised and the onus shifts to the public carrier to establish that the passenger's injuries were occasioned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company's part.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noting these references in the trial judge's Reasons, the Court of Appeal stated its own view of the applicable standard of care. At page 8 of the decision in Wang v. Horrod, Justice Rowles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standard of care, unlike the duty of care and remoteness of damages, does not refer to what is reasonably foreseeable. Instead, it is based on what the reasonably prudent person would do in the circumstances.</w:t>
      </w:r>
    </w:p>
    <w:p>
      <w:pPr>
        <w:spacing w:before="120" w:line="260" w:lineRule="atLeast"/>
        <w:ind w:left="720"/>
        <w:rPr>
          <w:lang w:val="en-US" w:eastAsia="en-US" w:bidi="ar-SA"/>
        </w:rPr>
      </w:pPr>
      <w:r>
        <w:rPr>
          <w:rFonts w:ascii="arial" w:eastAsia="arial" w:hAnsi="arial" w:cs="arial"/>
          <w:color w:val="000000"/>
          <w:sz w:val="20"/>
          <w:lang w:val="en-US" w:eastAsia="en-US" w:bidi="ar-SA"/>
        </w:rPr>
        <w:t>In this case, the standard of care imposed on the bus driver is the conduct or behaviour that would be expected of the reasonably prudent bus driver in these circumstances. The test is an objective one and takes into consideration both the experience of the average bus driver and anything the driver knew or should have known. In this case, the driver knew or should have known that he had elderly and infirm passengers on his bus. The question is whether a reasonably prudent bus driver, aware that he has elderly and infirm passengers on his bus, would check his mirror immediately before starting forward after having stopped at a red light?</w:t>
      </w:r>
    </w:p>
    <w:p>
      <w:pPr>
        <w:spacing w:before="120" w:line="260" w:lineRule="atLeast"/>
        <w:ind w:left="720"/>
        <w:rPr>
          <w:lang w:val="en-US" w:eastAsia="en-US" w:bidi="ar-SA"/>
        </w:rPr>
      </w:pPr>
      <w:r>
        <w:rPr>
          <w:rFonts w:ascii="arial" w:eastAsia="arial" w:hAnsi="arial" w:cs="arial"/>
          <w:color w:val="000000"/>
          <w:sz w:val="20"/>
          <w:lang w:val="en-US" w:eastAsia="en-US" w:bidi="ar-SA"/>
        </w:rPr>
        <w:t>The basis for determining that question is whether there is a real risk of harm that could reasonably be avoided. The "real risk" test involves balancing the seriousness of the potential risk and the likelihood of its occurrence on one side with the ease and consequences of avoiding the risk on the other 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British Columbia courts have recognized the "reverse onus" applicable to a public carrier, these courts have also emphasized that the doctrine of res ipsa loquitur does not apply, and have noted Justice Hudson's prefacing statement that a public carrier is not an insurer.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Exshaw v. British Columbia Transit Authority, </w:t>
      </w:r>
      <w:hyperlink r:id="rId838" w:history="1">
        <w:r>
          <w:rPr>
            <w:rFonts w:ascii="arial" w:eastAsia="arial" w:hAnsi="arial" w:cs="arial"/>
            <w:i/>
            <w:color w:val="0077CC"/>
            <w:sz w:val="20"/>
            <w:u w:val="single"/>
            <w:shd w:val="clear" w:color="auto" w:fill="FFFFFF"/>
            <w:lang w:val="en-US" w:eastAsia="en-US" w:bidi="ar-SA"/>
          </w:rPr>
          <w:t>(1997), 38 B.C.L.R. (3d) 61</w:t>
        </w:r>
      </w:hyperlink>
      <w:r>
        <w:rPr>
          <w:rFonts w:ascii="arial" w:eastAsia="arial" w:hAnsi="arial" w:cs="arial"/>
          <w:color w:val="000000"/>
          <w:sz w:val="20"/>
          <w:lang w:val="en-US" w:eastAsia="en-US" w:bidi="ar-SA"/>
        </w:rPr>
        <w:t xml:space="preserve">, the Court of Appeal overturned the trial judge's finding, </w:t>
      </w:r>
      <w:hyperlink r:id="rId839" w:history="1">
        <w:r>
          <w:rPr>
            <w:rFonts w:ascii="arial" w:eastAsia="arial" w:hAnsi="arial" w:cs="arial"/>
            <w:i/>
            <w:color w:val="0077CC"/>
            <w:sz w:val="20"/>
            <w:u w:val="single"/>
            <w:shd w:val="clear" w:color="auto" w:fill="FFFFFF"/>
            <w:lang w:val="en-US" w:eastAsia="en-US" w:bidi="ar-SA"/>
          </w:rPr>
          <w:t>[1995] B.C.J. No. 1079</w:t>
        </w:r>
      </w:hyperlink>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case where an elderly plaintiff who had been seated on a forward-facing bus seat slid across the vinyl seat and fell into the aisle when the bus driver made a left turn. Although the trial judge found that the driver had not been speeding or driving in an unusual manner when he rounded the corner, and found that the use of vinyl on the bus seats did not create a risk of foreseeable injury, the bus driver was found to be negligent in failing to drive more cautiously than usual when he knew that some of his passengers were elderly.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Justice Newbury, speaking for the Court of Appeal, said the trial judge had set the standard too high:</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Given the findings, it seems to me that the defendants had indeed met the onus on them to prove the accident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To require that in the course of driving a bus, the driver must keep his eye on a passenger who is sitting reading a paper and somehow foresee that she will slide off her seat as a result of a turn executed in a reasonably careful manner does, it seems to me, amount to imposing the standard of an insurer.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Lalani v. Wilson, </w:t>
      </w:r>
      <w:hyperlink r:id="rId840" w:history="1">
        <w:r>
          <w:rPr>
            <w:rFonts w:ascii="arial" w:eastAsia="arial" w:hAnsi="arial" w:cs="arial"/>
            <w:i/>
            <w:color w:val="0077CC"/>
            <w:sz w:val="20"/>
            <w:u w:val="single"/>
            <w:shd w:val="clear" w:color="auto" w:fill="FFFFFF"/>
            <w:lang w:val="en-US" w:eastAsia="en-US" w:bidi="ar-SA"/>
          </w:rPr>
          <w:t>[1988] B.C.J. No. 2408</w:t>
        </w:r>
      </w:hyperlink>
      <w:r>
        <w:rPr>
          <w:rFonts w:ascii="arial" w:eastAsia="arial" w:hAnsi="arial" w:cs="arial"/>
          <w:color w:val="000000"/>
          <w:sz w:val="20"/>
          <w:lang w:val="en-US" w:eastAsia="en-US" w:bidi="ar-SA"/>
        </w:rPr>
        <w:t xml:space="preserve">, Lysyk, J., Vancouver Registry No. B870113, May 5, 1986, the court pointed out that while there is a heavy responsibility on the operator of a bus to exercise due care, transit drivers and operators are not insurers, the situation is not one of res ipsa loquitur, and the court is not bound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to do so would involve mere speculation. At pages 8 and 9 of his Reasons, after referring to Day v. Toronto Transportation Committee, and the "reverse onus", he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But some meaning must be attributed to the recognition in those judgements that the carrier is not an insurer. Further, in circumstances such as those here present, where the possibility of injury was not self-evident and no attention was drawn to such possibility at the time, the difficulties involved in imposing a legal obligation upon he carrier to disprove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obvious. While expressed in positive terms of proving due care, in effect the carrier is being called upon after the event to prove a negative, that is, that the driver was not driving at an excessive rate of speed or had not failed to keep a proper look out or was not otherwise careless.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Ms. Brinacomb's counsel submits that Mr. Swinney was negligent in setting the bus in motion before Ms. Brinacomb had seated herself, but several British Columbia authorities establish that the fact that a bus driver starts up before all passengers are seated is not in itself a breach of the required standard of care, unless it is apparent to the driver that the passenger is disabled, or heavily burdened. Fisher v. British Columbia Hydro and Power Authority, unreported, Taylor, J., Vancouver Registry No. B781146, February 19, 1980; Sawatsky v. Romanchuk &amp; B.C. Hydro and Power Authority, </w:t>
      </w:r>
      <w:hyperlink r:id="rId841" w:history="1">
        <w:r>
          <w:rPr>
            <w:rFonts w:ascii="arial" w:eastAsia="arial" w:hAnsi="arial" w:cs="arial"/>
            <w:i/>
            <w:color w:val="0077CC"/>
            <w:sz w:val="20"/>
            <w:u w:val="single"/>
            <w:shd w:val="clear" w:color="auto" w:fill="FFFFFF"/>
            <w:lang w:val="en-US" w:eastAsia="en-US" w:bidi="ar-SA"/>
          </w:rPr>
          <w:t>[1979] B.C.J. No. 964</w:t>
        </w:r>
      </w:hyperlink>
      <w:r>
        <w:rPr>
          <w:rFonts w:ascii="arial" w:eastAsia="arial" w:hAnsi="arial" w:cs="arial"/>
          <w:color w:val="000000"/>
          <w:sz w:val="20"/>
          <w:lang w:val="en-US" w:eastAsia="en-US" w:bidi="ar-SA"/>
        </w:rPr>
        <w:t>, Berger J., Vancouver Registry No. C771580, September 14, 1979; Calderwood v. B.C. Hydro and Power Authority, unreported, Macfarlane, J., Vancouver Registry No. 8509/71, May 13, 1974; and Lawrie v. B.C. Hydro and Power Authority, Toy, J., Vancouver Registry No. 32708/78, May 31, 1976.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Rehemtulla v. British Columbia Transit, </w:t>
      </w:r>
      <w:hyperlink r:id="rId842" w:history="1">
        <w:r>
          <w:rPr>
            <w:rFonts w:ascii="arial" w:eastAsia="arial" w:hAnsi="arial" w:cs="arial"/>
            <w:i/>
            <w:color w:val="0077CC"/>
            <w:sz w:val="20"/>
            <w:u w:val="single"/>
            <w:shd w:val="clear" w:color="auto" w:fill="FFFFFF"/>
            <w:lang w:val="en-US" w:eastAsia="en-US" w:bidi="ar-SA"/>
          </w:rPr>
          <w:t>[1995] B.C.J. No. 3043</w:t>
        </w:r>
      </w:hyperlink>
      <w:r>
        <w:rPr>
          <w:rFonts w:ascii="arial" w:eastAsia="arial" w:hAnsi="arial" w:cs="arial"/>
          <w:color w:val="000000"/>
          <w:sz w:val="20"/>
          <w:lang w:val="en-US" w:eastAsia="en-US" w:bidi="ar-SA"/>
        </w:rPr>
        <w:t xml:space="preserve">, Edwards, J., Vancouver Registry No. B936381, November 16, 1995, the plaintiff alleged that the driver was negligent in not waiting for her to reach the seat of her choice before pulling out into traffic. The trial judge found that the plaintiff fell as the bus driver shifted the bus from first to second gear, which typically causes the bus to lurch, but was, the trial judge found, a normal movement of the bus. Justice Edwards concluded that it is not negligent for a driver to start the bus before a passenger is seated, and that there was nothing abnormal about his driving, and that he was therefore unable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His decision was upheld on appeal, </w:t>
      </w:r>
      <w:hyperlink r:id="rId843" w:history="1">
        <w:r>
          <w:rPr>
            <w:rFonts w:ascii="arial" w:eastAsia="arial" w:hAnsi="arial" w:cs="arial"/>
            <w:i/>
            <w:color w:val="0077CC"/>
            <w:sz w:val="20"/>
            <w:u w:val="single"/>
            <w:shd w:val="clear" w:color="auto" w:fill="FFFFFF"/>
            <w:lang w:val="en-US" w:eastAsia="en-US" w:bidi="ar-SA"/>
          </w:rPr>
          <w:t>[1997] B.C.J. No. 2334</w:t>
        </w:r>
      </w:hyperlink>
      <w:r>
        <w:rPr>
          <w:rFonts w:ascii="arial" w:eastAsia="arial" w:hAnsi="arial" w:cs="arial"/>
          <w:color w:val="000000"/>
          <w:sz w:val="20"/>
          <w:lang w:val="en-US" w:eastAsia="en-US" w:bidi="ar-SA"/>
        </w:rPr>
        <w:t>, Docket CA021233, October 15,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 similar conclusion had been reached in Mauro v. Romanica, </w:t>
      </w:r>
      <w:hyperlink r:id="rId844" w:history="1">
        <w:r>
          <w:rPr>
            <w:rFonts w:ascii="arial" w:eastAsia="arial" w:hAnsi="arial" w:cs="arial"/>
            <w:i/>
            <w:color w:val="0077CC"/>
            <w:sz w:val="20"/>
            <w:u w:val="single"/>
            <w:shd w:val="clear" w:color="auto" w:fill="FFFFFF"/>
            <w:lang w:val="en-US" w:eastAsia="en-US" w:bidi="ar-SA"/>
          </w:rPr>
          <w:t>[1988] 1 W.W.R. 684</w:t>
        </w:r>
      </w:hyperlink>
      <w:r>
        <w:rPr>
          <w:rFonts w:ascii="arial" w:eastAsia="arial" w:hAnsi="arial" w:cs="arial"/>
          <w:color w:val="000000"/>
          <w:sz w:val="20"/>
          <w:lang w:val="en-US" w:eastAsia="en-US" w:bidi="ar-SA"/>
        </w:rPr>
        <w:t xml:space="preserve"> (Man. Q.B.). In that case, the plaintiff, a sixty-three year old woman, boarded the bus on a rainy day. Before she was seated, the driver pulled out into traffic at a slow speed and the plaintiff, who was not holding onto the handrails, fell. The court held that a bus driver is not negligent in failing to wait until all passengers are seated before moving the bus, because to require a driver to do so would require extraordinary precautions and impose too high a standard on the driver. The trial judge also concluded that the defendants were not liable because of the wet floor in the bus, because the transit operator is only obliged to keep the floor in such a condition that a person using ordinary care would not slip and a wet floor is not an unusual hazard.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 AND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evidence in this case establishes that Ms. Brinacomb slipped and fell when bus 975 went around the curve in Esquimalt Road as she was making her way down the aisle of the bus to the seat of her choice.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Brinacomb has two different theories about how and why she fell. On her examination for discovery on September 17, 1998, she said that she fell just before the bus went around the curve and that she believes that her fall was caused by her feet slipping on the wet rubber mat. This theory of causation is supported by the affidavit of Larry Miller, the passenger who observed Ms. Brinacomb fall. In his February 28, 1995 statement he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do not recall seeing any type of mat in the aisle at the time of the incident and believe that when the bus accelerated, the woman slipped in some water which had collected on the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Mr. Miller did not recall seeing a mat, bus 975 is and was equipped with rubber matting, which is standard for virtually all conventional transit vehicles operating in North America. The matting is grooved, and allows any water to move towards the front of the bus and out the doors. The buses are swept and/or mopped for debris every night after completion of the day's run. Ms. Brinacomb's fall occurred around 8:10 in the morning.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maintenance records show that bus 975 was the subject of a major inspection, which included an inspection for worn or loose flooring, on June 29, 1994; and on February 17, 1995, less than three weeks after the plaintiff's fall. No loose or worn flooring was reported in either of these major inspections.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are no reports of loose or worn matting in any road call/driver report maintenance records for the bus during the relevant period, and no problems with the matting were identified in the course of routine pre-trip inspections.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November 23, 1999, the defendant conducted a test by flooding the floor of bus 975 with a hose, and then having the bus driven for ten minutes in city traffic, around corners, braking and accelerating. The matting, which is the same matting that was in bus 975 on January 30, 1995, was observed to work effectively in draining the excess water from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expert opinion evidence provided by the plaintiff also negatives any defect in the matting, and, in fact, indicates that it is improbable that Ms. Brinacomb fell because of a lack of friction caused by a wet mat. Although Ms. Brinacomb has not retained the hiking boots she was wearing at the time, the plaintiff's engineering expert conducted friction tests of the rubber flooring of bus 975 on January 10, 2000, utilizing two shoes with different soles under both dry and wet conditions. At the time the tests were conducted, the floor of the bus was contaminated with sand and very small rock fragments, as well as some organic material. The engineer found that the friction between the floormat and the soles of both test shoes under wet conditions was good, and concluded that slipping, even on a wet floor with some debris, was unlikely to have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the engineer believes that the presence of unusual contaminants on the floor could reduce the friction and increase the chance of slipping, there is no evidence that there were any unusual contaminants on the floor on the morning in question. Ms. Brinacomb recalls that the mat was wet. She did not testify to the presence of any mud, leaves, or other debris.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am satisfied that the defendants were not negligent in the design or maintenance of the rubber matting on the floor of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second and more recent theory of causation - that she lost her balance because the bus went too quickly around a sharp curve - is found in paragraphs 7 and 8 of her affidavit sworn December 5, 1999. One of the difficulties with this evidence is that it conflicts with her earlier testimony at her examination for discovery. On discovery she agreed that the movement of the bus was a normal movement.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addition, while Ms. Brinacomb now says she fell as the bus went around the curve, on her examination for discovery she said she fell before the bus went around the curve.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her affidavit, Ms. Brinacomb describes the bus making a "sharp turn", and says that "the bus went around a very sharp corner". This description is disputed by the driver, Mr. Swinney, but it is also contradicted by other independent evidence, including the scale plan supplied by the City, and the evidence of the plaintiff's own expert witness. The curve is narrow, but it is not a "sharp turn". In any event, buses must go around curves, and I am satisfied that there is nothing so unusual about this curve that the driver had a duty to warn, or wait for, passengers to be seated.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evidence does not establish that the bus was travelling at an unsafe or excessive speed as it entered and rounded the curve on January 30, 1995. The only evidence of actual speed is Ms. Brinacomb's opinion that the bus pulled away from the bus stop at a speed faster than she would have driven her own car. As an infrequent bus passenger, it is unlikely that Ms. Brinacomb is a capable estimator of bus speed, and there is no evidence about how slowly or quickly she drives her own car. Mr. Miller says that when Ms. Brinacomb fell the bus was accelerating, but since it had been stopped and was re-entering traffic, it would have to be accelerating. Mr. Miller's statement does not indicate the bus was travelling at a fast or excessive rate of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Brinacomb did not report her fall to the driver at the time, and he was unaware that she had fallen. The incident was brought to his attention after he completed his shift that day. He has deposed that to the best of his recollection, there was nothing abnormal about traffic, or about his driving that day, and he does not recall any unexpected or abnormal motions on the bus. Mr. Swinney says that there is no need to apply brakes as you round the curve.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engineering firm retained by the plaintiff conducted a speed survey of B.C. Transit buses travelling this portion of the route on January 10, 2000. A radar operator observed 39 buses travelling the route over a period of several hours. Of these, 26 stopped at the bus stop where Ms. Brinacomb got on the bus on January 30, 1995. He observed that all of the buses that stopped at the bus stop remained in the curb, or outside lane, as they went around the curve. The speed of the buses through the corner varied between 30 and 38 kph, with a mean speed of 33.2 kph.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Mike Leroux, an operational training and safety officer employed by B.C. Transit was present during testing conducted of bus 975 on November 24, 1999. Mr. Leroux was a bus driver for fourteen years before obtaining his current position, and he is very familiar with the route in issue. Mr. Leroux drove bus 975 over the route on January 25, 2000, in order to attempt to re-enact the circumstances alleged by the plaintiff. He stopped at the bus stop just before Dominion Road, accelerated to re-enter traffic in the curb lane and proceeded around the curve. He testified that his speed reached 30 kilometres per hour as he reached the end of this narrow curve. He conducted a further test by stopping at the bus stop and accelerating full throttle from the stop. Again, his speed reached 30 kph as he reached the end of the curve. He was not required to apply the brakes on the bus in driving around the curve in either instance.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speed of acceleration from the bus stop was not measured, but the plaintiff's engineer calculated that to reach a speed of between 30 and 38 kph by the time the bus was rounding the curve, the bus' "lateral acceleration is sufficiently high that handholds are needed to maintain one's balance".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Bus 975 is equipped with the various handholds described earlier - vertical stanchions, an upper horizontal bar, and horizontal handgrips or stanchions on the back of each front-facing seat, which are staggered to allow for easy use. The evidence is that this is conventional equipment. Although other configurations are no doubt possible, I find no basis to conclude that the design or equipping of the bus fails to meet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expert deposed that because of Ms. Brinacomb's height and weight, it is unlikely that she could have made good use of the upper horizontal bar, but the evidence indicates that bus 975 is equipped in a manner that offers passengers of Ms. Brinacomb's height suitable handholds to maintain balance. Ms. Brinacomb's discovery evidence does not indicate that she had any difficulty making use of the handholds on the top of the seats. She had one hand free, and was able to grip with the fingers of the other hand, although she was carrying a compact umbrella in that hand.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Although the plaintiff weighed considerably more than the recommended weight for her height at the time, she does not claim to be disabled, and there is no evidence that Ms. Brinacomb's weight made her more likely to lose her balance. The evidence does not establish that a reasonably prudent bus driver would or should have perceived her to have a disability, or to be a person requiring any extraordinary precautions to be taken to ensure her safety. Nothing said by Ms. Brinacomb, nothing about the way she was dressed - her outfit included a knapsack and hiking boots - would have led a bus driver to believe that it would be prudent to wait until she had selected a seat and seated herself, before putting the bus in motion. In any event, based on her own evidence, Ms. Brinacomb did not fall as a result of the motion of the bus leaving the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summary, the evidence in this case does not demonstrate that the bus was improperly or negligently equipped, either in relation to the matting on the floor, or the location and availability of hand grips. The evidence does not establish that the action or movement of the bus fell outside the normal and expected range of movements passengers ought to expect on buses travelling in city traffic; or that the bus was travelling at an excessive rate of speed. The evidence does not establish that Ms. Brinacomb is a person with a disability by virtue of her weight, or that the driver should have perceived her to have a disability, or that the driver was negligent in failing to wait until Ms. Brinacomb had reached the seat of her choice before putting the bus into motion.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conclude that Ms. Brinacomb was injured when she let go of one horizontal stanchion before she was able to place her hand on another, and lost her balance as the bus rounded a narrow curve in the road in a normal fashion. In my view,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has been demonstrated, and the defendants have met the onus of establishing that they used all due, proper and reasonable care and skill to avoid or prevent injury to Ms. Brinacomb. As Justice Berger said in Sawatsky, cited earlier, at page 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Accidents do happen. And there are bound to be some accidents on the bus system. And some of them, like this accident, will not give rise to a right to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action is dismissed. I am aware of no reason why costs should not follow the event. If there are reasons, counsel should notify the Victoria Registry within 14 days of the date of these Reasons that she or they intend to make further oral or written submissions on costs. Otherwise, the defendants are entitled to one set of costs, to be taxed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BAKER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5"/>
          <w:headerReference w:type="default" r:id="rId846"/>
          <w:footerReference w:type="even" r:id="rId847"/>
          <w:footerReference w:type="default" r:id="rId848"/>
          <w:headerReference w:type="first" r:id="rId849"/>
          <w:footerReference w:type="first" r:id="rId8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1" w:history="1">
        <w:r>
          <w:rPr>
            <w:rFonts w:ascii="arial" w:eastAsia="arial" w:hAnsi="arial" w:cs="arial"/>
            <w:b/>
            <w:bCs/>
            <w:i/>
            <w:color w:val="0077CC"/>
            <w:kern w:val="32"/>
            <w:sz w:val="28"/>
            <w:szCs w:val="32"/>
            <w:u w:val="single"/>
            <w:shd w:val="clear" w:color="auto" w:fill="FFFFFF"/>
            <w:lang w:val="en-US" w:eastAsia="en-US" w:bidi="ar-SA"/>
          </w:rPr>
          <w:t>Burke-Pietramala v. Samad, [2004] B.C.J. No. 704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16 - 20 and October 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S003992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704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470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130 A.C.W.S. (3d) 625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Sharon Burke-Pietramala, plaintiff, and Dr. Imran Samad,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(145 paras.)</w:t>
      </w:r>
    </w:p>
    <w:p>
      <w:pPr>
        <w:jc w:val="both"/>
        <w:rPr>
          <w:rFonts w:ascii="arial" w:eastAsia="arial" w:hAnsi="arial" w:cs="arial"/>
          <w:sz w:val="20"/>
          <w:lang w:val="en-US" w:eastAsia="en-US" w:bidi="ar-SA"/>
        </w:rPr>
      </w:pPr>
      <w:bookmarkStart w:id="227" w:name="Counsel_34"/>
      <w:bookmarkEnd w:id="2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R.F. Hungerford and M. Manolis, for the plaintiff. W.J. McJannet and A.W. Bruneau,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8" w:name="Judgment_34"/>
      <w:bookmarkEnd w:id="228"/>
      <w:r>
        <w:pict>
          <v:line id="_x0000_s1194" style="position:absolute;z-index:25174528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April 7, 2004;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9" w:name="PARRETT J."/>
            <w:bookmarkEnd w:id="229"/>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the present action, the plaintiff, Sharon Burke-Pietramala, seeks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the defendant, Dr. Imran Samad. She alleges that she suffered an irreversible loss of her sense of taste as a result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course of a tonsillectomy he performed on her on August 14,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 38 year old married mother of two. She was born in Castlegar but moved to Vancouver a few months later and now resides in Port Moody with her husband of 14 years and their two young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had a long history of recurring nasal congestion and colds, sinusitis and tonsillitis. These conditions had been treated in a variety of ways, including multiple uses of antibiotics and the use of steroid nasal spray.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1998, her family doctor, Dr. Baria, referred her to the defendant, Dr. Samad, a specialist in Otolaryngology (ear, nose and throat surgery). The plaintiff met with Dr. Samad at his office on June 18, 1998, and after giving him her history, Dr. Samad advised her that if she underwent a tonsillectomy it would eliminate the source of infection and stop the reoccurrence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Burke-Pietramala was placed on the surgery waiting list and, on August 14, 1998, she underwent the tonsillectomy. The procedure is described in the operation report of Burnaby Hospital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PROCEDURE: Under general anesthesia patient was intubated. Crowe-Davis gag was inserted in the mouth, the tongue was retracted. Tonsils were palpated for carotid aneurysm, none were present. Right tonsil was grasped at the superior pole and dissected away from the tonsillar fossa using electrocautery followed by the left nostril [sic] which was grasped at the superior pole and dissected away from the tonsillar fossa using electrocautery. Bleeding points within the tonsillar fossa were cauterized using suction cautery and once hemostasis was achieved, the patient was awoken and returned to the Recovery Room in stable condition. Estimated blood loss for the procedure was 20 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had been warned that recovery from this surgery would be a slow and painful process for an adult, and it proved to be so. The plaintiff now complains of a permanent alteration of her sense of taste which, she submits,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submits that in performing the surgery in question, Dr. Samad applied excessive force causing damage to the lingual nerve. The plaintiff submits that the force came from the 'injudicious use of the Crowe-Davis gag' and was evident from the swelling of the plaintiff's tongue following surgery. The plaintiff also submits that the settings of the cautery used for excision and coagulation were excessively high and that this use could have easily ". . . traumatized the tissue around the glossal pharyngeal nerve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also submits that the defendant failed to adequately follow-up after the surgery was performed and that he breached the applicable standard of a reasonable and prudent physician either by not examining the plaintiff when informed she was encountering difficulty or within a week of the surgery as was his usual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denies that he was in any way negligent in his treatment of the plaintiff, and goes on to submit that no causal link has been established, in any event, between any want of care and the plaintiff's alleged alteration of her sense of taste.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this case, the defendant submits that the plaintiff has failed to prove, on the balance of probabilities, any breach of the applicable standard of care, and, in any event, the necessary causal 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Under our system of law individuals are required to conduct themselves in a manner which does not cause harm to others. The standard against which this is measured is that of the 'reasonable man'. When conduct fails to meet this standard and causes injury or harm, liability will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When persons hold themselves out as possessing special skills or abilities they, in exercising those skills, must meet a standard of conduct equivalent to that of a reasonably competent member of that group. In Crits v. Sylvester </w:t>
      </w:r>
      <w:hyperlink r:id="rId852" w:history="1">
        <w:r>
          <w:rPr>
            <w:rFonts w:ascii="arial" w:eastAsia="arial" w:hAnsi="arial" w:cs="arial"/>
            <w:i/>
            <w:color w:val="0077CC"/>
            <w:sz w:val="20"/>
            <w:u w:val="single"/>
            <w:shd w:val="clear" w:color="auto" w:fill="FFFFFF"/>
            <w:lang w:val="en-US" w:eastAsia="en-US" w:bidi="ar-SA"/>
          </w:rPr>
          <w:t>(1956), 1 D.L.R. (2d) 502</w:t>
        </w:r>
      </w:hyperlink>
      <w:r>
        <w:rPr>
          <w:rFonts w:ascii="arial" w:eastAsia="arial" w:hAnsi="arial" w:cs="arial"/>
          <w:color w:val="000000"/>
          <w:sz w:val="20"/>
          <w:lang w:val="en-US" w:eastAsia="en-US" w:bidi="ar-SA"/>
        </w:rPr>
        <w:t xml:space="preserve"> at 508, Schroeder J.A., in giving judgment for the Ontario Court of Appeal, described the law's expectations of a doctor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legal principles involved are plain enough but it is not always easy to apply them to particular circumstances. Every medical practitioner must bring to his task a reasonable degree of skill and knowledge and must exercise a reasonable degree of care. He is bound to exercise that degree of care and skill which could reasonably be expected of a normal, prudent practitioner of the same experience and standing, and if he holds himself out as a specialist, a higher degree of skill is required of him than of one who does not profess to be so qualified by special training and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leading decision on the standard of care is found in the decision of the Supreme Court of Canada in Wilson v. Swanson, </w:t>
      </w:r>
      <w:hyperlink r:id="rId853"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811 to 812, where Rand J.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presence of such a delicate balance of factors, the surgeon is placed in a situation of extreme difficulty; whatever is done runs many hazards from causes which may only be guessed at; what standard does the law require of him in meeting it? What the surgeon by his ordinary engagement undertakes with the patient is that he possesses the skill, knowledge and judgment of the generality or average of the special group or class of technicians to which he belongs and will faithfully exercise them. In a given situation some may differ from others in that exercise, depending on the significance they attribute to the different factors in the light of their own experience. The dynamics of the human body of each individual are themselves individual and there are lines of doubt and uncertainty at which a clear course of action may be precluded.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here only the question of judgment; what of that? The test can be no more than this: was the decision the result of the exercise of the surgical intelligence professed? Or was what was done such that, disregarding it may be the exceptional case or individual, in all the circumstances, at least the preponderant opinion of the group would have been against it? If a substantial opinion confirms it, there is no breach or failure.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'delicate balance of factors' and the dangers inherent in medical treatment was itself the subject of comment by the English Court of Appeal in Roe v. Ministry of Health, [1954] 2 All E.R.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Somervell L.J. observes at p. 136: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medical cases the fact that something has gone wrong is very often not in itself any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surgical operations there are, inevitably, risks.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speech, Lord Denning expanded on this concept at pp. 137 and 139: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It is so easy to be wise after the event and to condemn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which was only a misadventure. We ought always to be on our guard against it, especially in cases against hospitals and doctors. Medical science has conferred great benefits on mankind, but these benefits are attended by considerable risks. Every surgical operation is attended by risks. We cannot take the benefits without taking the risks. Every advance in technique is also attended by risks. Doctors, like the rest of us, have to learn by experience; and experience often teaches in a hard way.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But we should [sic] be doing a disservice to the community at large if we were to impose liability on hospitals and doctors for everything that happens to go wrong. Doctors would be led to think more of their own safety than of the good of their patients. Initiative would be stifled and confidence shaken. A proper sense of proportion requires us to have regard to the conditions in which hospitals and doctors have to work. We must insist on due care for the patient at every point, but we must not condemn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which is only a misadventure.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These principles were the subject of further consideration by the Supreme Court of Canada in ter Neuzen v. Korn, </w:t>
      </w:r>
      <w:hyperlink r:id="rId854"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11 B.C.L.R. (3d) 201</w:t>
        </w:r>
      </w:hyperlink>
      <w:r>
        <w:rPr>
          <w:rFonts w:ascii="arial" w:eastAsia="arial" w:hAnsi="arial" w:cs="arial"/>
          <w:color w:val="000000"/>
          <w:sz w:val="20"/>
          <w:lang w:val="en-US" w:eastAsia="en-US" w:bidi="ar-SA"/>
        </w:rPr>
        <w:t xml:space="preserve"> at 218 and 220. Sopinka J.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was observed in Lapointe,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courts should not involve themselves in resolving scientific disputes which require the expertise of the profession. Courts and juries do not have the necessary expertise to assess technical matters relating to the diagnosis or treatment of patients. Where a common and accepted course of conduct is adopted based on the specialized and technical expertise of professionals, it is unsatisfactory for a finder of fact to conclude that such a standard was inherently negligent. On the other hand, matters falling within the ordinary common sense of juries can be judged to be negligent. For example, where there are obvious existing alternatives which any reasonable person would utilize in order to avoid a risk, one could conclude that the failure to adopt such measures is negligent notwithstanding that it is the prevailing practice among practitioners in that area.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from the foregoing that, as a general rule, where a procedure involves difficult or uncertain questions of medical treatment or complex, scientific or highly technical matters that are beyond the ordinary experience and understanding of a judge or jury, it would not be open to find a standard medical practice negligent. On the other hand, as an exception to the general rule, if a standard practice fails to adopt obvious and reasonable precautions which are readily apparent to the ordinary finder of fact, then it is no excuse for a practitioner to claim that he or she was merely conforming to such a negligent common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the application of these principles and considerations in specific circumstances which is fraught with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to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duty of care owed by medical practitioners is not restricted to the exercise of reasonable care during the course of an operation but extends, as well, to the post-operative period. (Robb v. Sutton, </w:t>
      </w:r>
      <w:hyperlink r:id="rId855" w:history="1">
        <w:r>
          <w:rPr>
            <w:rFonts w:ascii="arial" w:eastAsia="arial" w:hAnsi="arial" w:cs="arial"/>
            <w:i/>
            <w:color w:val="0077CC"/>
            <w:sz w:val="20"/>
            <w:u w:val="single"/>
            <w:shd w:val="clear" w:color="auto" w:fill="FFFFFF"/>
            <w:lang w:val="en-US" w:eastAsia="en-US" w:bidi="ar-SA"/>
          </w:rPr>
          <w:t>[1996] B.C.J. No. 601</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complication in the present case is that the authorities also recognize the fact that when a physician provides advice to a patient regarding follow-up care, it is generally the patient's responsibility to ensure that he or she attends as necessary. This latter point was the issue in Wei Estate v. Dales, </w:t>
      </w:r>
      <w:hyperlink r:id="rId856" w:history="1">
        <w:r>
          <w:rPr>
            <w:rFonts w:ascii="arial" w:eastAsia="arial" w:hAnsi="arial" w:cs="arial"/>
            <w:i/>
            <w:color w:val="0077CC"/>
            <w:sz w:val="20"/>
            <w:u w:val="single"/>
            <w:shd w:val="clear" w:color="auto" w:fill="FFFFFF"/>
            <w:lang w:val="en-US" w:eastAsia="en-US" w:bidi="ar-SA"/>
          </w:rPr>
          <w:t>[1998] O.J. No. 1411</w:t>
        </w:r>
      </w:hyperlink>
      <w:r>
        <w:rPr>
          <w:rFonts w:ascii="arial" w:eastAsia="arial" w:hAnsi="arial" w:cs="arial"/>
          <w:color w:val="000000"/>
          <w:sz w:val="20"/>
          <w:lang w:val="en-US" w:eastAsia="en-US" w:bidi="ar-SA"/>
        </w:rPr>
        <w:t>. In that case the plaintiff suffered from a drug-resistant strain of tuberculosis and was taking powerful medication with serious potential side effects. The defendant counselled the plaintiff regarding medication, side effects, and the need for regular monthly check-ups. The plaintiff missed follow-up visits and eventually reacted to his medication, developed hepatoxicity and died. Although the trial judge found that the defendant did not have a follow-up system for patients who cancelled or missed appointments, and that such a system might have prevented that deceased from developing hepatoxicity, he went on to conclude, at para. 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108</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patient himself had a responsibility not only to take the medication as prescribed but to monitor his own signs and symptoms and to comply with the request for follow-up appointments.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treating physician cannot be expected to follow-up every instruction given to a patient. The treating physician has the right to expect the patient will follow his or her instructions. If the patient disagrees with the doctor's instructions, then he has a duty to advise the doctor.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present case, the instructions given to the plaintiff are in dispute. While I have little doubt that a patient has a responsibility to take reasonable steps in his or her own care, it is not always easy to apply these principles in specific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Kroll v. Eli Lilly Canada Inc., </w:t>
      </w:r>
      <w:hyperlink r:id="rId857" w:history="1">
        <w:r>
          <w:rPr>
            <w:rFonts w:ascii="arial" w:eastAsia="arial" w:hAnsi="arial" w:cs="arial"/>
            <w:i/>
            <w:color w:val="0077CC"/>
            <w:sz w:val="20"/>
            <w:u w:val="single"/>
            <w:shd w:val="clear" w:color="auto" w:fill="FFFFFF"/>
            <w:lang w:val="en-US" w:eastAsia="en-US" w:bidi="ar-SA"/>
          </w:rPr>
          <w:t>[1995] B.C.J. No. 1355</w:t>
        </w:r>
      </w:hyperlink>
      <w:r>
        <w:rPr>
          <w:rFonts w:ascii="arial" w:eastAsia="arial" w:hAnsi="arial" w:cs="arial"/>
          <w:color w:val="000000"/>
          <w:sz w:val="20"/>
          <w:lang w:val="en-US" w:eastAsia="en-US" w:bidi="ar-SA"/>
        </w:rPr>
        <w:t>, Saunders J. found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short, Mr. Kroll fell into the cracks of the practice and was lost to Dr. Vallance's sight until after Mr. Kroll was hospitalized. In these circumstances, Dr. Vallance's conduct slipped below the standard of care he owed his patient. While Dr. Vallance was not required to guarantee Mr. Kroll had further care, he was required to make at least minimum effort to advise Mr. Kroll of his future care and of the need for a physician to follow the progress of the drug therapy he initiated.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This decision was affirmed on appeal ( </w:t>
      </w:r>
      <w:hyperlink r:id="rId858" w:history="1">
        <w:r>
          <w:rPr>
            <w:rFonts w:ascii="arial" w:eastAsia="arial" w:hAnsi="arial" w:cs="arial"/>
            <w:i/>
            <w:color w:val="0077CC"/>
            <w:sz w:val="20"/>
            <w:u w:val="single"/>
            <w:shd w:val="clear" w:color="auto" w:fill="FFFFFF"/>
            <w:lang w:val="en-US" w:eastAsia="en-US" w:bidi="ar-SA"/>
          </w:rPr>
          <w:t>(1996) 82 B.C.A.C. 142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Contact with Dr. Samad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first saw Dr. Samad at his office on June 18, 1998, on referral from her family doctor. During the course of this visit she was advised that there was always a risk associated with a general anaesthetic and that there was also a risk of a rupture at the site of the tonsillectomy. He advised her that it would be a painful and slow recovery and that she was to do no physical activity for a month. On the day of her visit she signed a consent form for Diagnostic Surgical or Obstetrical Procedures but was given no other document and was not told that there should be a follow-up visit one week post-surgery.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was no further contact with Dr. Samad or his office until she was telephoned and advised that, as a result of a cancellation, her surgery could be performed on August 14, 1998. During this telephone contact she was not told of any follow-up appointment one week after the surgery. Ms. Burke-Pietramala was dropped off at the Burnaby hospital by her husband, and after preparation, was wheeled into the operating room where she first saw Dr. Samad. There was no conversation of significance between them prior to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testified that when she awakened in the recovery room her throat felt like there were razorblades in it and her ears hurt. She was given a popsicle, which she described as tasting foul.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her husband arrived to pick her up, she was discharged from the hospital Her husband described her as looking very groggy, barely being able to speak and as seeming to be in a lot of pain. He testified that a nurse advised them to watch closely for any rupture or bleeding and gave them a sheet of instructions with Dr. Samad's pager number on it. They were told to call Dr. Samad if there were any problems, specifically any rupture or bleeding. In addition, they were given a prescription for Tylenol #3 and for an antibiotic.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Pietramala testified that beyond this they were given no other instructions. Both he and the plaintiff denied that they were told to make an appointment for follow-up within one week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sheet of instructions given to them, complete with Dr. Samad's pager number, is found at Exhibit 1, Tab 4, p. 205. A number of things are readily apparent from an examination of this document. Firstly, it is a set of paediatric instructions which directs itself throughout to the care of "your child"; secondly, under the heading "What to Expect Afterwards" the text notes, in part,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takes 2-3 weeks for the throat to heal completely. Your child will have some discomfort for about a week; especially with swallowing.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children complain of earache for up to 2 weeks. The pain is really coming from the site of the operation but is experienced as an earache. This is known as "referred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thirdly, it instructs the recipient to Call Your Doctor If:</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your child's temperature is above normal for more than 3 days, or goes about 100-degrees F (37.8-38.8 degrees C);</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child's temperature is above normal for more than 1 days, or goes above 100 (37.8-38.8 degrees C);</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your child has blood in the mouth or nose (this is rarely serious, but should be discussed);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your child continues to vomit for more than 24 hours after the surgery;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have any concerns about your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 instruction sheet detailing the specific concerns of an adult undergoing this procedure was provided to the plaintiff, and nowhere within the instruction sheet is there any indication that the patient should see the surgeon within a week for a follow-up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testified that as the day wore on she felt horrible, her throat was very sore and she was having difficulty even swallowing water. She found the Tylenol 3 medication very large and found it difficult to swallow them. By the evening of the day of her surgery, she testified that her tongue had swollen and that by the next morning it was very thick and swollen. She described herself as being agitated, uncomfortable and in a lot of pain. By this time she was having a great deal of difficulty getting her painkillers down or even swallowing water, but felt that this was normal and was what the Doctor had told her would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11:00 a.m. the next day, Mr. Pietramala had become increasingly concerned abut her difficulty in taking the medication and her agitation. He testified that she appeared to be in a considerable amount of pain and he could see that her tongue was quite swollen. He telephoned Dr. Samad's pager number and shortly after that Dr. Samad returned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Augustino Peitramala and the plaintiff both testified concerning this telephone call, although Mr. Pietramala was the one who spoke to Dr. Samad. He testified that he explained the plaintiff's difficulties to Dr. Samad and told him that her tongue was swollen, that she couldn't swallow and that she was agitated. He went on to say that he told the doctor that she couldn't swallow the Tylenol 3's. According to Mr. Pietramala, Dr. Samad assured him that these symptoms were normal and were likely to persist for two to three weeks, and then asked him to check, by covering her nose, to insure that her airway was not obstructed. He did as he was asked and reported to Dr. Samad.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Samad then expressed the view that the plaintiff may be reacting to the codeine in the Tylenol and advised that he would change her prescription. Mr. Pietramala specifically asked Dr. Samad if he wished to meet them at his office or the hospital and was told that was not necessary; the symptoms were normal and the main thing was to watch for rupturing or bleeding. They were not told anything about a follow-up visit during this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providing Dr. Samad with the name of a local pharmacy he was told Dr. Samad would phone in a prescription for Percocet. When he attended at the pharmacy Mr. Pietramala was advised that they could not dispense the prescription without a three-copy script because it was a powerful narcotic. He was sent next door to a clinic where he relayed the difficulties and obtained a written prescription. Dr. Samad has no notes of any of this and none of it, including the prescription change, was recorded in his patient's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Samad testified that he had no recollection of any of his conversations with the plaintiff or her husband and that he had no recollection, in particular, of the telephone conversation with the plaintiff's husband. He then went on to testify about what he would ordinarily do in such circumstances. At no time did he suggest that he had told them he would see the plaintiff at her follow-up appointment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September 9, 1998, some 3 1/2 weeks post-surgery, the plaintiff saw her family doctor, Dr. Baria, and advised her that she was continuing to have difficulty after the tonsillectomy and that her sense of taste was off. Not having heard from Dr. Samad, and at Dr. Baria's suggestion, the plaintiff requested an appointment with Dr. Samad. On September 28, 1998, she and her husband attended at Dr. Samad's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testified that Dr. Samad looked at his chart and expressed surprise, telling her that he usually sees his surgery patients one week later and asked her why she hadn't come in. She told him she had never been told to come in one week after surgery. Dr. Samad advised her that his secretary usually books that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Burke-Pietramala went on to testify that Dr. Samad told her that the taste problem was normal and was sometimes caused by the pressure of the gag. He went on to say that it would return in two to three months. He went on to advise her that if she had come in within a week he could have used steroids to reduce the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leaving the meeting with Dr. Samad, the plaintiff took the child who had accompanied her to use the washroom. When she cam back to the office to get the key to the washroom, she testified that Dr. Samad was reprimanding his secretary and advising her that surgery patients were to be seen within a week of their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AFTERMATH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have already outlined the plaintiff's immediate situation following the surgery. In the days following, her tongue remained swollen and discoloured. She found that sweet foods tasted "horrible" while other foods were tasteless. She testified that toothpaste was particularly unpleasant.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September 9, 1998, the plaintiff attended on her family doctor, Dr. N. Baria, and reported her continuing difficulties. She reported continued swelling of her tongue and tonsillar area and an altered sense of taste.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Baria recommended that the plaintiff return to see Dr. Samad and she did so on September 28,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October 13, 1998, she returned to see Dr. Baria who noted that there was "still lots of swelling" and decreased taste. She referred the plaintiff to Dr. Bojanowski, an otolaryngologist, for a second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continued to see her family doctor through late 1998 and early 1999, and on January 22, 1999, Dr. Baria again referred her back to the defendant who saw her and her husband on February 15, 1999. Once again Dr. Samad advised her that the change in taste was likely the result of pressure from the Crowe-Davis gag. He went on to advise her that recovery usually occurs between six and twelve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April 7, 1999, the plaintiff was referred to Dr. Hooge, a neurologist, with respect to her taste alteration. Dr. Hooge describes her presenting complaints in his consultant's report to Dr. Baria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Her chief complaint is loss of sense of taste, which she said followed a tonsillectomy on August 1998. She said as soon as she was eating after the tonsillectomy she realized that she could not taste anything. It has not improved since that time. She may taste things to be a bit salty and is aware of texture. She can't taste flavours and sweet things such as ice cream taste bitter or sour. She thinks she may be able to taste something strong like curry but isn't sure whether she is fooling herself because she can smell it. Her sense of smell seems to be OK. She said there was no problem with her taste prior to surgery. She said following her surgery her tongue was huge and was swollen for about three months. When I asked her if she noticed any numbness or frozen sensation in her tongue, she said she hadn't ever thought of that until I mentioned it and then she said she thought it felt like a bit of dental freezing was in her tongue. As I said, she had no alteration of smell. She saw an ENT physician who told her he had heard of this before. She said she did not have a cold or flu around the time that this occurred. She is well otherwise and has no other neurologic symptoms. In particular there is no numbness of her gums, lips or face. Her neurologic functional inquiry is otherwise negative.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Hooge closes his report by noting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there isn't anything that I know of that she could do about this to bring her sense of smell [sic] back and there really aren't any investigations that are going to help in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May 10, 1999, the plaintiff returned to see Dr. Samad for the last time. At that point he offered little hope of her sense of taste returning.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August 1, 2002, Dr. Bojanowski made an attempt to test the boundaries of the plaintiff's sense of taste. His report, of the same date, describes the results of his tests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Today in the office she was examined and as well the ears and nose were normal. The tongue appeared slightly thickened with lots of furrows over its surface. We tested this lady for a number of compounds to illicit her responses to sweet, sour, salty, and bitter.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Sweet substances tasted extremely bitter to her. Sour substances as well were very bitter. A very weak salt solution produced little response, however a large concentration of salt resulted in a salty taste being appreciated. Bitter substances produced a vague sensation, which did not taste bitter.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this lady has suffered an altered sense of taste as a result of the tongue swelling after her tonsillectomy. It's been over four years at present, and I would say her symptoms are unfortunately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the time of trial, the plaintiff testified that there are essentially two classes of food for her; sweet foods which includes fruit and many beverages which she now tastes as extremely bitter or sour, and other foods, which she finds tolerable, are bland to the point of having no real taste or flavour.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finds that her passion and flair for cooking, which was, prior to the surgery, a significant part of her life and her enjoyment of it, is no longer there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SAMAD'S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Samad had no recollection of performing this specific procedure and relied, in his evidence, on his usual procedure and his operative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Samad went on to acknowledge that he had no specific recollection outside of the minimal notes found in his patient chart of the patient's attendance or his conversations with her on any of her attendances. He testified he had no recollection of dealing with his employee over the failure to have a follow-up visit within a week; nor of the telephone call from her husband the day following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cross-examination Dr. Samad agreed that he had no recollection of any conversation he ever had with the plaintiff, and went on to testify that he had no independent recollection of any examination he ever did of the plaintiff except the one examination when her husband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This specific recollection was what the defendant relied upon for his evidence that Ms. Burke-Pietramala has always been able to open her mouth widely so there was no reason to use undue force. This is the only specific recollection the defendant has outside of his clinical records and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This particular piece of evidence is interesting in a number of ways; for it is an important part of the assumptions of both medical experts called on behalf of the defence, Dr. J. Michael Smith (the Otolaryngologist) and Dr. Robert D. Keyes (the Neurologist and Neurophysiologist).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Of more immediate import at this point, however, is the unique way in which this evidence emerges in the evidence of Dr. Samad. As previously noted, this is the defendant's only specific recollection which, on his evidence, he considered very important, yet it is recorded nowhere in his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Samad's chart records four visits by the plaintiff - June 18, 1998; September 28, 1998; February 15, 1999; and May 10, 1999; yet this observation is not recorded. On June 18, 1998, the day of the first visit, the defendant wrote to Dr. Baria describing her history, the results of his examination and recommending surgery. Nowhere in this report is this observation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August 14, 1998, Dr. Samad performed the surgery and dictated his operation report, within it he describes the procedure but there is no mention of the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Samad was a treating specialist who reported and provided his opinions to the plaintiff and her family doctor knowing they would be relied upon. Each visit was followed by a letter directed to or copied to Dr. Baria.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After the surgery the first of these letters was dated September 28, 1998. The text of this letter written immediately after his first post-surgery meeting with the plaintiff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Sharon is seen today post-Tonsillectomy from August 14th. She continues to complain of some mild thickening of her throat along with altered taste.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She is noted to have mild residual edema involving the soft palate and uvula. Tonsillar fossas appear to be healed well. The remainder of the examination was unremarkable.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 Resolving post-Tonsillectomy edema.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RECOMMENDATION: Altered taste is likely the result of pressure-induced neuropraxia of branches of the lingual nerve. I expect her to have full recovery of her sense of taste, however this may take two to three months to occur. She was reassured regarding these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February 15, 1999 his next letter reports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re-referring Sharon who is seen here today for two specific problems which occurred immediately following her Tonsillectomy in August of 1998. She has still not had full recovery of her sense of taste and she continues to complain of left lower rib discomfort. Both symptoms occurred following her Tonsillectomy in August of 1998. The procedure and events within the OR following the procedure were discussed in detail with both her and her husband. It is unlikely that left rib discomfort is related to the surgery, making costochondritis a more likely possibility.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Change in the sense of taste may be related to neuropraxia induced by pressure from the Crowe-Davis gag. In this case, recovery usually occurs between six to twelve months. She was interested in obtaining an opinion from a Neurologist for which she will return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seems clear from this letter that the plaintiff's husband attended with her on February 15, 1999 and, if Dr. Samad's recollection is accurate it must have been on this occasion that he made the observation yet there is no mention of it either in his clinical notes or in this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also notable that Dr. Samad's language has changed from "likely the result of pressure-induced neuropraxia . . ." on September 28, 1999 to ". . . may be related to . . ." on February 15, 1999. The other significant change seems to be from a "two to three month recovery" in September (six weeks post-surgery) to "usually between six to twelve months" in February (six months post-surgery).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May 10, 1999 Dr. Samad writes his final report and copies it to Dr. Baria, the evolution of his report has now reached the point where he expresses no opinion about the cause, concedes that a recovery is unlikely and records his view that the procedure was uneventful. The body of the letter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Sharon continues to have a loss of sense of taste following Tonsillectomy on August 14th, 1998. She has been evaluated by Dr. Bojanowski and Dr. Hogge, and at this point it looks like the return in her sense of taste is unlikely to occur. The procedure itself was uneventful, although she did have a mild swelling of the uvula, soft palate and the base of the tongue following surgery. She is interested in obtaining another opinion as to the prognosis of recovering her sense of taste.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no point in the entire sequence does Dr. Samad report or record what he now advances as his important observation and recollection. What has clearly changed is that he knows that the plaintiff has been evaluated by Dr. Bojanowski and by Dr. Hogge.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respect, I do not accept Dr. Samad's evidence concerning this recollection which, in my view, is at best reconstruction rather than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FOLLOW-UP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Samad testified in chief that as a routine he tells patients that following surgery they will be provided with a handout and scheduled for a post-operative visit one week after the surgery. He went on to testify that it is his routine to see all surgery patients one week after the operation and that his staff when they give the patient their surgery date book the follow-up visit one week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clear on the evidence that none of this happened in the present case. I accept the plaintiff's evidence that she was never told to go back for follow-up one week after the surgery. In addition Dr. Samad has no record of an office visit being booked for the plaintiff or of her failing to keep such an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the plaintiff and her husband were given a sheet of information when she was discharged from hospital, it was a sheet of pediatric instructions and nowhere within that document is there any mention of returning for follow-up within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Dr. Samad did leave an order that she return for follow-up, I accept the evidence of the plaintiff and her husband that no such direction was given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Samad also testified in chief as previously noted that he had no recollection of the telephone call placed by the plaintiff's husband to him on Saturday, August 15th,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Despite the lack of recollection Dr. Samad testified that upon being paged by a surgery patient he immediately responds and then tries to assess whether the problem can wait until the Monday or the follow-up visit after a week. He went on to testify that if he had been told there was a significant swelling of the tongue his first concern would be the patient's airway and he would want to have the patient in a setting where that could be monitored either in Emergency or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Not only did Dr. Samad have no recollection of the telephone call, he took no notes of the call and failed to chart either the contact or his change of prescription to the narcotic percocet.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Once again I accept without hesitation the evidence of the plaintiff and her husband that the telephone call was made, that Dr. Samad was advised that the plaintiff's tongue was swollen, and that she couldn't swallow the Tylenol 3's that had been prescribed, that Dr. Samad asked him to cover her nose and check her airway, and that he then told him it was not necessary for them to meet him at his office or the hospital. I also accept the evidence that Dr. Samad offered to change the prescription and phone it to a local pharmacy.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my view a number of important points emerge from this evidence. By Dr. Samad's own evidence he assessed in this case the plaintiff's airway by asking a lay person to do it and report to him, he was advised of swelling of the tongue sufficient to make swallowing very difficult yet he declined to meet with and assess his patient but rather prescribed a change of medication to a narcotic drug without seeing or assessing the patient. Perhaps most importantly and, in my view, inexplicably he made no mention of the follow-up appointment or a possible Monday meeting to assess the situation despite his evidence about his usual procedure and his evidence that where a patient within 24 hours is in considerable pain, her tongue is swollen and she can't swallow her medication he should examine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Bojanowski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called as an expert Dr. Teodor Bojanowski, an otolaryngologist with privileges in Burnaby and the Yukon Territory.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essence Dr. Bojanowski summarized his opinion in his letter of March 15,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degree of force necessary to retract Miss Burke-Pietramala's tongue inter-operatively rests with the decision of the surgeon but given the complication of the swollen tongue and neuropraxia of the lingual nerve, in hindsight it is my opinion that too much force was used. Further complication may have been averted with timely follow up, three days possibly one week post operatively and as such this follow up was not provided as might be expected.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I do not feel Miss Burke-Pietramala was provided medical care up to the standards of a practitioner of otolaryngology in the lower mainland or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specifics of this opinion were highly contested but the following extracts reflect the nature of Dr. Bojanowski's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August 14th, 1998, Miss Sharon Burke-Pietramala underwent tonsillectomy by Dr. Imran Samad at Burnaby General Hospital. At that time, it is my opinion that injudicious use of a mouth gag exerted such pressure on her lingual nerve or her tongue, that caused it to swell and subsequently caused pressure to her lingual nerve which resulted in her loss of sense of taste.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event, Miss Burke-Pietramala contacted Dr. Samad within 24 hours of her surgery to complain of pain and what she describes as abnormal swelling to her tongue. If the swelling to her tongue was severe enough at that time to compromise her airway, instructions to attend the emergency room would have been appropriate.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severe postoperative swelling of the tongue is very unusual, where as swelling to the soft palate and uvula is not. The latter does not cause sensory nerve praxia to the lingual nerve and loss of sense of taste.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complained of difficulties, I feel that Miss Burke-Pietramala should have been assessed in person, within the next few days and certainly when it was mutually convenient during office hours on the following Monday by Dr. Samad in order to ascertain the degree swelling.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it would have been prudent to administer a prescription of oral steroids, Prednisone, to reduce the tongue swelling which would have decreased Miss Burke-Pietramala discomfort and possibly prevented the swelling in the area of the lingual nerve that caused her loss of sense of taste. This was not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Routinely, tonsillectomy patients are also evaluated approximately 1 week post operatively to ascertain the degree of healing to rule out any extreme scarring of the tonsillar fossa, evaluate the degree of swelling of the soft tissues of the oral cavity, nutritional intake and over all pain management. I believe this to be the universal standard. In Miss Burke-Pietramala's case again, this was not done.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all, Miss Burke-Pietramala has been left with what is most likely a bilateral loss of taste, and although not a life threatening condition, from what she tells me stresses her considerably in the form of not being able to enjoy eating food or cooking. The mechanism from swelling of the tongue as a result of pressure from the gag used during the tonsillectomy procedure is an extremely rare event and in itself may not have been included in the discussion of possible risks and benefits of the surgery. Less force used to retract the tongue and more judicious use of the gag, on the part of the surgeon, would have prevented this occurrence.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over, there was a lack of short term follow up (a few days post operatively) and the administration of oral steroids may have reduced the tongue swelling and prevented the subsequent swelling around the lingual nerve and the loss of sense of taste. The lack of follow up approximately 1-week post operatively, as a routine, also precluded the administration of oral steroids and possible aversion of the lack of sense of taste.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Smith was an otolaryngologist called by the defence. His opinions are summarized in the conclusions set out at the end of his report of July 27, 2002.</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find no evidence that Dr. Samad was negligent in performing the tonsillectomy.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find no evidence that the treatment and care offered caused the permanent sensory loss in the form of irreversible loss of taste.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common practice to warn patients that a permanent sensory loss may occur with this surgical procedure.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Dr. Samad showed skill, diligence and competence in providing his medical examination, diagnosis, advice and treatment and when a problem arose he acted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Smith drew these conclusions on the basis of a series of assumptions set out in his report. These assumptions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Assumptions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sought referral to Dr. Samad for problems regarding her throat and her tonsils.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Samad, after soliciting a convincing history of chronic tonsillitis, recommended tonsillectomy.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was referred back to Dr. Baria for preoperative assessment.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Surgical treatment and its complications were discussed.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signed consent.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operation was performed in standard fashion. Dr. Samad used cautery to dissect the tonsils from the tonsil fossae. Patient was given routine postoperative instructions and asked to return to follow-up in one week.</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Cautery is set on coagulation.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Burke-Pietramala had good ability to open her mouth and excessive force was not required to gain excellent exposure of the surgical area.</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Burke-Pietramala was given routine postoperative instructions.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Ms. Burke-Pietramala did follow up appropriate care and referral was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the basis of these assumptions and the review of the file material set out in his report Dr. Smith arrived at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body of Dr. Smith's report raises some concern, in my view. The following extracts are found within the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Dr. Samad informed the patient of these factors. She had the opportunity again to discuss the operation with her family doctor and came to the surgical procedure well informed. I do not believe any Otolaryngologists would inform the patient regarding lack of sense of taste or warn about tongue swelling.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particular case the Crowe-Davis gag and electrocautery technique was used and was quick and efficient and resulted in minimal blood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to show that Dr. Samad had not used skill in performing this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final two sections of Dr. Smith's report cover Postoperative Care and Anatomic Considerations and include the following extracts: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was transferred to the post anesthetic recovery room and then the daycare area and observed. Intravenous fluids and analgesics and antinauseant medications were administered. The patient was observed until stable and then discharged home with instruction to follow-up in one week. A postoperative instruction pamphlet was given to the patient. The pamphlet suggests that the patient call the doctor if there are any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Samad was contacted by Ms. Burke-Pietramala's husband on the second post-operative day regarding her swollen tongue. He did not mention that the tongue was numb. She did not have any airway obstruction. Telephone reassurance was given.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care is standard - the patient usually sees either her family doctor or the surgeon during the first week. Although the surgeon's office may schedule the appointment, equally there is responsibility on the patient herself to contact the surgeon's office, particularly if the perceived smooth postoperative course is not being followed.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record of any respiratory difficulty (trouble breathing) in the immediate post-48 hour period. This is when any tongue swelling would be maximal and could cause respiratory obstruction. As there were no symptoms I feel that the degree of swelling could not have been excessive.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tongue has an excellent blood supply and thus trauma to the tongue settles quickly and well and it is unusual to linger for any length of time. Dr. Baria's notes on September 9th do not indicate any significant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After referring to the possible use of antibiotics or steroids following surgery Dr. Smith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for whatever reason, the fact that Ms. Burke-Pietramala was not seen during the first week did not allow either of these two above options (antibiotics and steroids) to be considered.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Taste is mediated by cranial nerves VII and IX. Nerve VII supplies fibers to the anterior tongue and IX to the base of tongue with branches to the tonsil 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Nerve VII, via its branches and connections to the cauda tympani nerve and the otic ganglion joins the lingual nerve to supply the tongue. The lingual nerve, a branch of cranial nerve V, supplies sensation to the tongue.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was damage to the lingual nerve and its taste fibers there would also be an accompanying loss of sensation and numbness to the tongue on either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Nerve IX supplies branches to the base of the tongue and tonsillar fossae. These branches lie deep to the superior constrictor muscle fibers over the tonsil 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it is conceivable that these branches may be vulnerable to surgical trauma - it does not happen in general surgical practice. There has been only one case report in the literature (see reference Appendix D) and this case recovered spontaneously. The complications of IXth nerve injury is not mentioned in the text - Complications of Head and Neck Surgery - Conly.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permanent loss of taste to occur one would have to postulate that all branches of both cranial nerves on either side would need to be damaged. As there are no other accompanying symptoms, eg loss of sensation, I do not believe that this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Smith's report begins with a set of assumptions which are in part incorrect. He then within the body of his report selectively states information while leaving out material information before stating conclusory "findings" which overstep the role of an expert and intrude on that of the trier of fact. I will return to these concerns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Keyes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Keyes was called by the defendant and qualified as a medical practitioner with a specialty in neurology and a sub-specialty of neurophysiology.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Keyes was provided with a while series of medical records and reports together with pleadings and examination for discovery transcripts. After listing the documents Dr. Keyes writes in his report of August 6, 2002.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above information upon which I have relied in the preparation of this report I have been asked to assume the following facts: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Burke-Pietramala is 37 years old; Dr. I. Samad is an ENT surgeon; Dr. I. Samad performed a tonsillectomy on Ms. Burke-Pietramala on August 14, 1998; Dr. I. Samad utilizes a cautery to dissect the tonsil from the tonsillar fossa rather than using a snare; the cautery is always set on the coagulation mode; Ms. Burke-Pietramala has good ability to open her mouth and there was no need to exert strong force on the gag or tongue blade apparatus at the time of her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on the basis of the above information and factual assumptions that the impressions and opinions in this report are based. I have not examined this patient. I am solely responsible for the contents of this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an extensive report spanning 24 pages of single spaced type Dr. Keyes initially reviews extensively the medical records (pages 4 - 10) then the examinations for discovery (pages 10 -12) before embarking upon an extensive discussion of the sense of taste and the various nerves which enervate the affected area (pages 12 - 18). He sets out his impressions and opinions in equal detail in pages 18 to 23 before summarizing those opinions at the end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Keyes' summary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underwent a tonsillectomy on August 14, 1998. This procedure was performed because of a several year history of pre-existing recurrent sore throats, sinus infections and nasal symptoms. The surgical procedure was performed utilizing a cautery and this procedure lasted 11-12 minutes. There were no recorded intraoperative or immediate post-operative complications. There were no neurological symptoms reported during the patient's stay in the recovery room. The patient was seen by her family physician some three weeks following the August 14, 1998 tonsillectomy. At that time the patient reported decreased taste but this function was not tested and the remainder of the clinical examination was recorded as being normal. Specifically, the examination of the tongue, tonsillar bed and oropharynx were recorded as being normal at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complained of varying degrees of alteration or loss of taste sensation that seemed to be progressive over a two year time period following the August 14, 1998 tonsillectomy. There was no indication of any alteration in salivary gland secretion or alteration in pain, temperature or touch sensation affecting the lips, tongue, mouth or pharynx following the tonsillectomy of August 14, 1998. The patient indicated that she experienced significant enlargement of her tongue following the August 14, 1998 tonsillectomy. The extent and duration of such symptoms varied according to the physician to whom the patient was reporting her symptoms at any one time. The degree and nature of the alteration in taste sensation also seemed to vary from observation to observation. There is some variability in the records regarding the patient's sense of smell but essentially this patient's sense of smell was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this patient did not sustain any significant or permanent neurological injuries affecting any of the nerve or muscle structures of the tongue, mouth or pharynx at or subsequent to the tonsillectomy of August 14, 1998. It is my opinion that factors other than primary neurological injuries affecting the peripheral nerves of the tongue, mouth and pharynx are the most probable cause for this patient's complaints of altered taste sensation. It is my opinion that such other factors would be the result of direct effects on the individuals taste receptors of the tongue, mouth and pharynx and would not be related in any direct or indirect way to the tonsillectomy that took place on August 14, 1998. The reasons for these opinions have been outlined in detail in the preceding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Keyes' report is impressive both in his expertise and the volume of detail contained within the report. Somewhat lost within that volume and detail but evident from both the summary quoted above and the detail found in his impressions and opinions is the importance Dr. Keyes placed on what he felt were variations in the plaintiff's complaints of "varying degrees of alteration or loss of taste sensation that seemed to be progressive . . ." Dr. Keyes couples that conclusion with a second that the plaintiff's reporting of "significant enlargement of her tongue following the tonsillectomy" varied as to extent and duration ". . . according to the physician to whom she was reporting her symptoms at any one time . . ." Both of these conclusions or observations are given prominence in both his summary and the detailed opinions set out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Central to his summary and, in my view his opinions, was the fact that when the plaintiff was seen by Dr. Baria some three weeks after the surgery (on September 9, 1998):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that time the patient reported decreased taste but this function was not tested and the remainder of the clinical examination was recorded as being normal. Specifically, the examination of the tongue, tonsillar bed and oropharynx were recorded as being normal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Earlier on p. 5 of the same report Dr. Keyes in his review of the clinical records of Dr. Baria recorded the same visit of September 9, 1998 and the results of the physical examination a little differently.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saw Dr. Baria on September 9, 1998 and the patient was noted to be doing well post tonsillectomy. Physical examination completed on that date indicated that the patient was doing well but she had decreased taste. Taste was not tested by Dr. Baria on that date. However, the physical examination of that date with specific reference to the head, neck, ears, nose, sinuses, teeth, gums, pharynx and neck glands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This entry appears to more accurately summarize the notation in Dr. Baria's clinical records and that on the physical examination form of the same date. That form consists of a line drawn through the negative/normal column of boxes which includes entries for Teeth/gums; Pharynix; Thyroid; Neck glands and a series of other items. No detail has been added in the form of notations. I have examined the clinical records with some care and can find no reference to the specific examination of the tongue, tonsillar bed and oropharynx nor does Dr. Keyes in his report refer to where he found the notations of those "specific examinations". With respect if he is inferring findings from the notations in those records that is evidence for Dr. Baria to provide and the doctor was not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document agreement reached between the parties included an agreement that:</w:t>
      </w:r>
      <w:r>
        <w:rPr>
          <w:rFonts w:ascii="arial" w:eastAsia="arial" w:hAnsi="arial" w:cs="arial"/>
          <w:sz w:val="20"/>
          <w:lang w:val="en-US" w:eastAsia="en-US" w:bidi="ar-SA"/>
        </w:rPr>
        <w:cr/>
      </w:r>
    </w:p>
    <w:p>
      <w:pPr>
        <w:numPr>
          <w:numId w:val="1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found in the Document Briefs, including but not limited to the clinical records, are admitted into evidence on the basis that the documents are documents made and kept in the usual or ordinary course of the business from which they were originally obtained. The documents are admitted as prima facia proof that any fact personally observed and recorded occurred, or that the statements personally observed and recorded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What is more puzzling, however, is the way in which Dr. Keyes in his conclusions and summary having, in my view, added specific findings which are not, at least directly, found within the clinical records of Dr. Baria makes no reference to Dr. Baria's findings on October 13, 1998, but from what he reports as normal and specific findings on September 9, 1998 opines a different cause unrelated to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Earlier in his report at p. 5 Dr. Keyes did refer to the attendance of October 13, 1998 and summarized it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saw Dr. Baria on October 13, 1998 and the patient was noted to have persistent swelling but it is not clear where the swelling was located. She had decreased "taste buds". She also complained of tenderness and the left costochondral junction. It is not clear at what level the tenderness was located. The patient was treated with naprosyn 500 mg/day for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notation which appears in Dr. Baria' records for October 13, 1998 appears to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postop tonsillectomy still lots swelling [decrease in] taste buds.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Whether this is accurate or not, with the greatest of respect to Dr. Keyes, it seems somewhat less than complete to dismiss these notations and findings because "it is not clear where the swelling was located." Whether the notation is "post tonsillectomy still lots of swelling" or as Dr. Keyes summarizes it "the patient was noted to have persistent swelling" it seems apparent that these findings implicitly negate any normal finding on September 9, 1998. Yet it is that conclusion on which Dr. Keyes, to a significant degree, rests portions of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have earlier dealt with my findings with respect to Dr. Samad's evidence as to the plaintiff's ability to open her mouth and hence the absence of any need to exert strong force on the gag. This is a specific factual assumption on which Dr. Keyes has based the impressions and opinions in his report. Having rejected that evidence there is no basis on which that assumption has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Keyes in his report wrote at length about the relevant nerve structure. His report includes the following extracts: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Taste is carried by two and possibly three pairs of cranial or peripheral nerves that innervate or supply the tongue, soft palate and epiglottis on either side of the mouth. The two major nerves responsible for taste sensation on each side of the mouth are the facial nerve and the glossopharyngeal nerve. The facial nerve through specific branches (ie chorda tympani and lingual nerves) that I will describe in the subsequent paragraphs supplies taste sensation to the anterior 2/3 of the tongue on the same side as the nerve. Likewise, the glossopharyngeal nerve supplies taste to the posterior 1/3 of the tongue of the same side as the nerve. Some authors also believe that there is some additional taste sensation that is carried through the vagus nerve on each side of the tongue but there is some debate regarding the vagus nerve and its contribution to taste sensation. There is no debate about the anatomy and physicology of the facial and glossopharyngeal nerves with respect to taste sensation.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After discussing the way in which taste tests are conducted Dr. Keyes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purely objective ways to test taste however. The methods just outlined are subjective rather than objective in 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and degree of an abnormality of taste can be determined utilizing the techniques described in the preceding paragraph. Complete loss of the sense of taste is rare unless there is also an associated loss of smell. Likewise, significant but not complete loss of the sense of taste is rare unless there is an accompanying significant alteration in the sense of smell. There are many potential causes for alterations and loss of the sense of taste.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conditions that can result in the alteration, distortion or loss of the sense of taste include viral illnesses particularly rhinitis or inflammation and/or infection of the mucosa or lining of the nasal passages. Rhinitis results in injury or damage to the smell receptors with associated secondary effect on the sense of taste. Abnormalities of the oral mucus membranes result in injury or damage to the taste receptors with associated abnormalities in taste. Diabetes, vitamin B12 deficiency, folic acid deficiency, zinc deficiency can all result in abnormalities of varying degrees in taste sensation. Abnormalities in taste sensation are also seen in various endocrine disorders other than diabetes and these diseases include hypothyroidism, pituitary deficiency and adrenal gland deficiency. Numerous medications have been identified from a wide variety of drugs that can produce abnormalities in the sense of taste. Presumably all of these conditions result in a disturbance of the function of taste buds and perhaps even a loss in the various types and numbers of taste buds throughout the tongue and the mouth.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Trauma to the tongue or mouth results in segmental or localized areas of alteration or loss of taste. Such localized areas of altered or lost taste occur due to injury to one of the 4 major nerves that are responsible for supplying taste sensation to the tongue as described in the preceding paragraphs. Only severe and significant trauma to the tongue or mouth would result in damage to all 4 nerves supplying taste sensation to the tongue and mouth. Therefore, localized trauma to the tongue, mouth or pharynx would typically affect only one of the 4 nerves supplying taste sensation. This in turn would result in an alteration or loss of sensation in only one of the 4 areas of the tongue. The alteration or loss of sensation in one area of the tongue does not result in significant loss of sensation in the sense of taste. This is because the remaining areas of taste sensation throughout the tongue, mouth and pharynx are normal and capable of perceiving all of the primary modalities of taste sensation. The widespread distribution of the different taste receptors also explains the preservation of taste sensation even when one nerve is affected. Movement of the tongue, saliva, etc. all result in movement of food molecules across the entire surface of the tongue, pharynx and about the mouth. This action results in the activation of the appropriate taste bud receptors in those areas of the tongue, pharynx and mouth that are not affected. Thus, when there is a global alteration, distortion and/or loss of sensation of taste there must be involvement of all areas of the tongue, pharynx and mouth involved with taste perception. In order for a global alteration, distortion and/or loss of taste to occur on the basis of cranial or peripheral nerve injury or damage there must be involvement of the facial nerve branches and the glossopharyngeal nerves on both sides of the tongue, mouth and pharynx. Such traumatic etiologies are highly unusual and would only occur in the setting of major oral and facial trauma. Such traumatic etiologies would also be associated with abnormalities in other neurological functions provided by the facial and glossopharyngeal nerves. Thus, almost always the causes for significant alterations, distortions or losses of the sense of taste must involve the tongue, pharynx and mouth in a global fashion secondary to direct involvement of the primary taste receptors or taste buds. The most probable causes for such abnormalities in the sense of taste are related to generalized processes such as outlined in the preceding paragraphs.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indicated in the preceding paragraphs, there are a number of disorders and medications that can produce alterations, distortions and loss of taste sensations as well as similar alterations in the sense of smell. One of the most common conditions that can produce various changes in the sense of taste is rhinitis. Rhinitis refers to any infectious or inflammatory condition of the nose. Such conditions result in enlargement of the nasal mucosa and dysfunction of the olfactory or smell receptors. As indicated above, the senses of smell and taste are intimately related to one another and it is very common for patients who have nasal conditions to experience alterations in the senses of taste as well as changes in the sense of smell. In fact, it would be very unusual for patients with significant or complete losses in the sense of smell or taste not to have an associated significant alteration or loss of the other associated sense. Such is the close relationship that exists between the senses of taste and smell. Any medical condition that potentially affects sensation of the lips, mouth or tongue can also result in alterations in the sense of taste. For example, patients who experience gingivitis or infection or inflammation of the gums can experience abnormalities in the sense of taste. Patients who have dry mouth or whatever cause can experience alterations in the sense of taste. Patients with diabetes, hypothyroidism, vitamin B12 deficiency or zinc deficiency can all experience alterations in taste sensation.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this patient's complaints of altered taste sensation that developed following the August 14, 1998 tonsillectomy can more probably be related to a global impairment of taste receptor function that to injury or damage to any of the cranial or peripheral nerves in the mouth, tongue or pharynx. One of the most probable explanations for the patient's taste symptoms would be the use of many medications and medical conditions that are associated with alteration or loss of taste sensation.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had been injury to either of the lingual or glossopharyngeal nerves or their branches as a result of the tonsil removal on August 14, 1998 then abnormalities affecting all aspects of those nerve's functions would have been evident in the recovery room. It is the case that when peripheral nerves are injured then the maximum neurological deficits occur at the time of the injury or immediately thereafter. Recovery of peripheral nerve injuries then takes place over a period of weeks, months or years depending on the severity of the primary injury. It is also the case that compound peripheral nerves, ie nerves that have multiple sensory and/or motor functions have involvement of all aspects of the function of that nerve to an equal degree. This occurs because the different nerve fibers serving the different functions within the peripheral nerve are all mixed in with one another rather than running as discrete bundles within the compound peripheral nerve. Traumatic injuries to peripheral nerves basically fall into two major categories, namely, lacerations or compression. The degree and extent of such injuries can vary for any particular traumatic peripheral nerve injury. Significant alteration or loss of one sensory or motor function carried within a particular peripheral nerve would not occur with complete preservation of other functions carried within that same peripheral nerve. This is based on the anatomy of the peripheral nerves as described. Therefore, it is my opinion that the patient's symptoms of alteration and loss of taste could not be explained on the basis of any direct laceration or compression of the lingual or glossopharyngeal nerves in or near the tonsillectomy surgical site.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most, if not all primary modalities of taste would require that all four of the major nerves supplying taste to the tongue, mouth and pharynx would have to be affected. Furthermore, loss of most if not all primary modalities of taste would require that the taste buds in all areas of the tongue, mouth and pharynx would have to be affected. In the absence of severe direct trauma to the mouth, tongue and pharynx such an abnormality could not be explained on the basis of compression and/or laceration of any of the four major nerves supplying taste sensation to the tongue. Therefore, it is my opinion that the tonsillectomy of August 14, 1998 did not result in any significant injury or damage to any of the cranial or peripheral nerves within the mouth, tongue or pharynx.</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patient's stated history with regards to the extent, duration and nature of her tongue swelling following the August 14, 1998 tonsillectomy vary from clinical record to clinical record. The records indicate that the duration of this patient's reported post-operative tongue swelling varies from a few weeks to several months. It is my opinion that this patient did not have any significant tongue swelling or other oropharyngeal abnormality present by September 9, 1998. Otherwise, there would have been recorded evidence of such observations at the time of the clinical assessment of September 9, 1998.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Keyes then returns on p. 21 of his report to the plaintiff's visit to Dr. Baria on October 13, 1998, but this time even a hint of findings of swelling by Dr. Baria is absent let alone the suggestion that it is "persistent" or that it might relate to the surgery. As he formulates his opinions for the court Dr. Keyes describes the same visit described earlier in his report in these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saw Dr. Baria again on October 13, 1998. At that time the patient complained of decreased taste. She was treated with naproxyn for complaints of chest wall pain. Naproxyn is one of the medications discussed above that can result in alterations in taste.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clinical records indicate a medication and/or other more generalized systemic process with direct effect to the individual taste buds rather than any primary neurological injury or damage affecting the tongue, mouth or pharynx as the most probable cause for this patient's taste abnormalities and complaints. The reasons for these opinions have been outlined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For the purposes of this opinion a visit which confirmed either the presence of persistent swelling or that "postop tonsillectomy still lots (of) swelling" has been turned into a simple complaint of loss of taste and chest wall pain for which she was prescribed a medication which Dr. Keyes suggests could cause the taste alterations.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make two observations at the outset about Dr. Keyes' criticism for the variations he finds exist in the versions of symptoms given to various doctors. First of all, the reports are those of a layperson going through a traumatic and difficult time and one for which she is seeing little, if any, hope for improvement. Secondly, the histories are those recorded by different doctors who may well have had different perspectives and different perceptions of what is important. As Dr. Samad made very clear his chart and records were a long way from being a verbatim record, indeed, some of his entries from a full appointment and an examination consisted of three or four phrases. I find little surprising in the variations of the plaintiff's history in this case, particularly given the human tendency to reconsider, review and summarize history in light of new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Whatever the plaintiff's recollections they are more accurate and reliable, in my view, than those of Dr. Samad who took virtually no notes, recorded cryptic chart entries on some occasions and more on others, and instead relied on extensive and detailed renditions of his usual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This is not, in my view, a case where I must ignore the "common sense" reasoning in Snell v. Farrell, </w:t>
      </w:r>
      <w:hyperlink r:id="rId6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72 D.L.R. (4th) 289</w:t>
        </w:r>
      </w:hyperlink>
      <w:r>
        <w:rPr>
          <w:rFonts w:ascii="arial" w:eastAsia="arial" w:hAnsi="arial" w:cs="arial"/>
          <w:color w:val="000000"/>
          <w:sz w:val="20"/>
          <w:lang w:val="en-US" w:eastAsia="en-US" w:bidi="ar-SA"/>
        </w:rPr>
        <w:t xml:space="preserve"> and apply the reasoning in Moore v. Castlegar &amp; District Hospital </w:t>
      </w:r>
      <w:hyperlink r:id="rId859" w:history="1">
        <w:r>
          <w:rPr>
            <w:rFonts w:ascii="arial" w:eastAsia="arial" w:hAnsi="arial" w:cs="arial"/>
            <w:i/>
            <w:color w:val="0077CC"/>
            <w:sz w:val="20"/>
            <w:u w:val="single"/>
            <w:shd w:val="clear" w:color="auto" w:fill="FFFFFF"/>
            <w:lang w:val="en-US" w:eastAsia="en-US" w:bidi="ar-SA"/>
          </w:rPr>
          <w:t>(1998), 49 B.C.L.R. (3d) 100</w:t>
        </w:r>
      </w:hyperlink>
      <w:r>
        <w:rPr>
          <w:rFonts w:ascii="arial" w:eastAsia="arial" w:hAnsi="arial" w:cs="arial"/>
          <w:color w:val="000000"/>
          <w:sz w:val="20"/>
          <w:lang w:val="en-US" w:eastAsia="en-US" w:bidi="ar-SA"/>
        </w:rPr>
        <w:t>. In that case there was affirmative medical evidence leading to a medical conclusion. That is not the situation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the present case the defendants have led evidence from two experts and placed a whole series of medical records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Smith's evidence and report is less than helpful it begins with assumptions that are demonstrably incorrect and then selectively recites evidence to support a conclusion favourable to the defendants. I do not need to remind counsel of the proper role of an expert witness in this court but someone should remind Dr. Smith. In his report Dr. Smith reflects the following difficulties:</w:t>
      </w:r>
      <w:r>
        <w:rPr>
          <w:rFonts w:ascii="arial" w:eastAsia="arial" w:hAnsi="arial" w:cs="arial"/>
          <w:sz w:val="20"/>
          <w:lang w:val="en-US" w:eastAsia="en-US" w:bidi="ar-SA"/>
        </w:rPr>
        <w:cr/>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Dr. Smith was not a treating physician and, as such, lacked the access to the plaintiff which would have allowed him to more fully assess the plaintiff's medical condition. He could have sought to see her but chose not to do so.</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Dr. Smith's report in setting out the facts fails to identify or consider evidence material to the issues he is asked to consider in forming his opinion. The evidence was put before him but was not identified or considered in his report. This evidence included: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first complaint of altered taste was in the recovery room.</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does not identify or consider the plaintiff's report of altered taste to Dr. Baria on September 9, 1998.</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Smith although he was fully aware of it does not identify or consider the significance of the plaintiff's husband's telephone call to the defendant the day after the surgery or the change of prescription by the defendant.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 more significance Dr. Smith makes express assumptions that preclude any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operation was performed in the standard fashion" and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followed up "appropriate care and referral was given".</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given routine post-operative instructions and asked to return to follow-up in one week." This portion of Dr. Smith's report completely ignores the plaintiff's evidence of which he was aware, the fact that it was an issue in the trial and assumes the fact most favourable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my view, Dr. Smith's report and his evidence departs so far from the standards expected of an expert witness that it has no evidentiary value. To be blunt it is biased and partial presenting advocacy in the guise of an expert report and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question remains has the plaintiff in this case met the evidentiary burden upon her and proven on a balance of probabilities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Samad on the basis of the principles set out earlier in these reasons. In my view, she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evidence in this case is not simply that provided by the expert witnesses but rather the whole of the evidence led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Burke-Pietramala was referred to Dr. Samad for a very specific problem. At that point she had no difficulty with her sense of taste. This evidence is substantiated by a considerable body of medical records in which there is not a single suggestion of a complaint related to her sense of taste, and by the evidence of her husband who testified he had never heard such complaints from her before the surgery. Since the surgery he testified that her complaints have been constant and consistent. Similar evidence came from the plaintiff's friends Susan Machelli and Rita Isaacs.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temporal connection to the surgery is also established by the fact that the plaintiff when given a popsicle in the recovery room after the surgery found that it tasted foul. This discovery was immediately after the surgery and while she was still in the recovery room. I am aware that the nursing records contain a notation to the effect that the patient was "enjoying a popsicle" on its face that entry appears somewhat generic and in any event its accuracy has been specifically challenged both within the bounds of the document agreement and the authorities it was up to the defendant who urged that entry on the court as proof to call its author, they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evidence of Dr. Bojanowski and his opinion was that the "injudicious use of a mouth gag" during her surgery exerted such pressure on (the plaintiff's) lingual nerve or her tongue, that caused it to swell and subsequently caused pressure to her lingual nerve, which resulted in her loss of sense of taste."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While this opinion was attacked in a variety of ways by the defence, the reality is that this opinion does not stand alone. Dr. Samad, himself, in his first letter to Dr. Baria after the surgery expressed the same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Altered taste is likely the result of pressure-induced neuropraxia of branches of the lingual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This opinion expressed prior to any litigation by the doctor who performed the surgery to the referring and treating family physician must be afforded some considerable weight. Not only is there no qualification of the opinion there is no hint of reservation from the opinion expressed. Dr. Samad's subsequent retreat from the opinion first expressed and his attempt to brand it as speculative at trial though perhaps understandable must be considered in light of subsequent events. Even in those subsequent communications Dr. Samad offered no alternative explanation and no express qualification of his earlier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am mindful of the anatomical dissertation and description offered by Dr. Keyes and his opinion that the plaintiff's difficulties flow from other factors and not the surgery, however, his theory remains just that a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am satisfied on a balance of probabilities that the alteration of the plaintiff's sense of taste was caused by pressure from the gag utilized by Dr. Samad in the surgery in question and that it was his negligent use of that device that was responsible for the subsequent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am equally satisfied that the complete failure of Dr. Samad's usual routine resulted in a failure to schedule his usual follow-up appointment one week post-surgery. This was not a single failure but rather a failure to mention it during his initial meeting with the plaintiff, a failure of his staff to mention it or arrange the appointment at the time she was advised of the date of her surgery, a failure to include that simple direction in the written handout provided to the plaintiff on discharge from hospital and a failure to follow-up when she did not attend within one week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have left out of this summary Dr. Samad's failure to meet with the plaintiff and properly assess her when advised by telephone of her difficulties on the day following surgery. I find Dr. Samad in failing to meet with her and assess her again breached the standard of care. His failure to even raise or discuss when he would see her, on the Monday or at the follow-up appointment, reflects the level of attention he gave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failing to meet even these minimal standards Dr. Samad by his conduct eliminated an early assessment and the possible treatment of the plaintiff's condition at an early stage by steroids or some other appropriate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During the course of this telephone conversation Dr. Samad was given a series of signals which dictated that the reasonable and prudent course was to see her and assess her. These signals included (a) being given information that her tongue was significantly swollen (b) being concerned that her airway was being compromised, and (c) being concerned that she was reacting to the medication she had been prescribed. Despite these indications Dr. Samad rejected the plaintiff's husband's suggestion they meet, reassured them that all was normal and phoned in a change of prescription all without charting a single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Samad's reassurances sealed the plaintiff's fate. Having raised their concerns as a patient should they followed Dr. Samad's instructions and waited things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find that Dr. Samad failed to meet the appropriate standard of care expected of him both in performing the surgery itself and in his failure to provide proper follow-up care and that those failures directly resulted in the alteration of the plaintiff's sense of taste.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terms of the follow-up Dr. Samad in other circumstances might well be able to rely on the order he left at the hospital and his expectation that the order would be complied with. In the circumstances of this case, however, Dr. Samad had numerous opportunities to remedy that failure most importantly during the telephone conversation on the Saturday and when he returned to his office on the Monday. He completely failed to arrange follow-up during the telephone call or upon his return to his office. Presumably the absence of any notes or charting contributed to that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am not satisfied on the evidence that the settings used during the course of the electrocautery procedure resulted in the damage in question. Although the experts all indicated the settings were at the high end it is difficult to see, given Dr. Keyes' evidence, how this could have been the mechanism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the present case it is difficult, if not impossible, to separate those parts of the plaintiff's immediate pain and suffering which were related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hence the swollen tongue, from those which were expected to occur when this surgery is performed on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There is little doubt that prior to her loss the plaintiff was an accomplished cook and that food and its preparation were a major part of her enjoyment of life. These activities were part of her daily activities and, in addition, a central part of her 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addition to the loss of enjoyment there is a component of the plaintiff's loss which leaves her more exposed to danger. This aspect of her loss is illustrated by the incident described in the evidence when while taking her husband out to dinner she was eating an order of prawns without realizing that they were "off" until her husband tested one. She contracted food poisoning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Under this head of damages the plaintiff submits that an appropriate award is on the order of $100,000 while the defendant submits that the appropriate range for a permanent loss is on the order of $25,000 to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There are a relatively limited number of decisions involving a loss of the sense of taste and of these most involve multiple serious injuries of which the loss of taste is but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Koehler v. Cook </w:t>
      </w:r>
      <w:hyperlink r:id="rId860" w:history="1">
        <w:r>
          <w:rPr>
            <w:rFonts w:ascii="arial" w:eastAsia="arial" w:hAnsi="arial" w:cs="arial"/>
            <w:i/>
            <w:color w:val="0077CC"/>
            <w:sz w:val="20"/>
            <w:u w:val="single"/>
            <w:shd w:val="clear" w:color="auto" w:fill="FFFFFF"/>
            <w:lang w:val="en-US" w:eastAsia="en-US" w:bidi="ar-SA"/>
          </w:rPr>
          <w:t>(1976), 65 D.L.R. (3d) 766</w:t>
        </w:r>
      </w:hyperlink>
      <w:r>
        <w:rPr>
          <w:rFonts w:ascii="arial" w:eastAsia="arial" w:hAnsi="arial" w:cs="arial"/>
          <w:color w:val="000000"/>
          <w:sz w:val="20"/>
          <w:lang w:val="en-US" w:eastAsia="en-US" w:bidi="ar-SA"/>
        </w:rPr>
        <w:t xml:space="preserve"> Dryer J. found that the loss of the ability to taste was a serious injury which at the time drew an award of $20,000. On the basis of inflation such an award in today's terms would equate to something on the order of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same sort of characterization is found in McNiven v. Canada Safeway Ltd., </w:t>
      </w:r>
      <w:hyperlink r:id="rId861" w:history="1">
        <w:r>
          <w:rPr>
            <w:rFonts w:ascii="arial" w:eastAsia="arial" w:hAnsi="arial" w:cs="arial"/>
            <w:i/>
            <w:color w:val="0077CC"/>
            <w:sz w:val="20"/>
            <w:u w:val="single"/>
            <w:shd w:val="clear" w:color="auto" w:fill="FFFFFF"/>
            <w:lang w:val="en-US" w:eastAsia="en-US" w:bidi="ar-SA"/>
          </w:rPr>
          <w:t>[1982] S.J. No. 918</w:t>
        </w:r>
      </w:hyperlink>
      <w:r>
        <w:rPr>
          <w:rFonts w:ascii="arial" w:eastAsia="arial" w:hAnsi="arial" w:cs="arial"/>
          <w:color w:val="000000"/>
          <w:sz w:val="20"/>
          <w:lang w:val="en-US" w:eastAsia="en-US" w:bidi="ar-SA"/>
        </w:rPr>
        <w:t xml:space="preserve"> where Maurice J. awarded the plaintiff $27,000 for the loss of sense of taste and the associated inability to enjoy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Bowes v. Bain, </w:t>
      </w:r>
      <w:hyperlink r:id="rId862" w:history="1">
        <w:r>
          <w:rPr>
            <w:rFonts w:ascii="arial" w:eastAsia="arial" w:hAnsi="arial" w:cs="arial"/>
            <w:i/>
            <w:color w:val="0077CC"/>
            <w:sz w:val="20"/>
            <w:u w:val="single"/>
            <w:shd w:val="clear" w:color="auto" w:fill="FFFFFF"/>
            <w:lang w:val="en-US" w:eastAsia="en-US" w:bidi="ar-SA"/>
          </w:rPr>
          <w:t>[1985] B.C.J. No. 695</w:t>
        </w:r>
      </w:hyperlink>
      <w:r>
        <w:rPr>
          <w:rFonts w:ascii="arial" w:eastAsia="arial" w:hAnsi="arial" w:cs="arial"/>
          <w:color w:val="000000"/>
          <w:sz w:val="20"/>
          <w:lang w:val="en-US" w:eastAsia="en-US" w:bidi="ar-SA"/>
        </w:rPr>
        <w:t xml:space="preserve"> MacKinnon J. awarded $30,000 for the permanent loss of the plaintiff's sense of smell and taste.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more recent times Allan J. in McCarthy v. Pupus Enterprises Ltd., </w:t>
      </w:r>
      <w:hyperlink r:id="rId863" w:history="1">
        <w:r>
          <w:rPr>
            <w:rFonts w:ascii="arial" w:eastAsia="arial" w:hAnsi="arial" w:cs="arial"/>
            <w:i/>
            <w:color w:val="0077CC"/>
            <w:sz w:val="20"/>
            <w:u w:val="single"/>
            <w:shd w:val="clear" w:color="auto" w:fill="FFFFFF"/>
            <w:lang w:val="en-US" w:eastAsia="en-US" w:bidi="ar-SA"/>
          </w:rPr>
          <w:t>[1996] B.C.J. No. 967</w:t>
        </w:r>
      </w:hyperlink>
      <w:r>
        <w:rPr>
          <w:rFonts w:ascii="arial" w:eastAsia="arial" w:hAnsi="arial" w:cs="arial"/>
          <w:color w:val="000000"/>
          <w:sz w:val="20"/>
          <w:lang w:val="en-US" w:eastAsia="en-US" w:bidi="ar-SA"/>
        </w:rPr>
        <w:t xml:space="preserve"> awarded $35,000 for a permanent loss of the sense of smell.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the category of cases involving multiple injuries including a loss of taste I have reviewed Ho v. Millard, </w:t>
      </w:r>
      <w:hyperlink r:id="rId864" w:history="1">
        <w:r>
          <w:rPr>
            <w:rFonts w:ascii="arial" w:eastAsia="arial" w:hAnsi="arial" w:cs="arial"/>
            <w:i/>
            <w:color w:val="0077CC"/>
            <w:sz w:val="20"/>
            <w:u w:val="single"/>
            <w:shd w:val="clear" w:color="auto" w:fill="FFFFFF"/>
            <w:lang w:val="en-US" w:eastAsia="en-US" w:bidi="ar-SA"/>
          </w:rPr>
          <w:t>[1978] B.C.J. No. 428</w:t>
        </w:r>
      </w:hyperlink>
      <w:r>
        <w:rPr>
          <w:rFonts w:ascii="arial" w:eastAsia="arial" w:hAnsi="arial" w:cs="arial"/>
          <w:color w:val="000000"/>
          <w:sz w:val="20"/>
          <w:lang w:val="en-US" w:eastAsia="en-US" w:bidi="ar-SA"/>
        </w:rPr>
        <w:t xml:space="preserve"> ($19,000); Conrad et al v. Duschene et al, </w:t>
      </w:r>
      <w:hyperlink r:id="rId865" w:history="1">
        <w:r>
          <w:rPr>
            <w:rFonts w:ascii="arial" w:eastAsia="arial" w:hAnsi="arial" w:cs="arial"/>
            <w:i/>
            <w:color w:val="0077CC"/>
            <w:sz w:val="20"/>
            <w:u w:val="single"/>
            <w:shd w:val="clear" w:color="auto" w:fill="FFFFFF"/>
            <w:lang w:val="en-US" w:eastAsia="en-US" w:bidi="ar-SA"/>
          </w:rPr>
          <w:t>[1980] B.C.J. No. 598</w:t>
        </w:r>
      </w:hyperlink>
      <w:r>
        <w:rPr>
          <w:rFonts w:ascii="arial" w:eastAsia="arial" w:hAnsi="arial" w:cs="arial"/>
          <w:color w:val="000000"/>
          <w:sz w:val="20"/>
          <w:lang w:val="en-US" w:eastAsia="en-US" w:bidi="ar-SA"/>
        </w:rPr>
        <w:t xml:space="preserve"> ($30,000); Bendis v. Kobelka, </w:t>
      </w:r>
      <w:hyperlink r:id="rId866" w:history="1">
        <w:r>
          <w:rPr>
            <w:rFonts w:ascii="arial" w:eastAsia="arial" w:hAnsi="arial" w:cs="arial"/>
            <w:i/>
            <w:color w:val="0077CC"/>
            <w:sz w:val="20"/>
            <w:u w:val="single"/>
            <w:shd w:val="clear" w:color="auto" w:fill="FFFFFF"/>
            <w:lang w:val="en-US" w:eastAsia="en-US" w:bidi="ar-SA"/>
          </w:rPr>
          <w:t>[1983] B.C.J. No. 1405</w:t>
        </w:r>
      </w:hyperlink>
      <w:r>
        <w:rPr>
          <w:rFonts w:ascii="arial" w:eastAsia="arial" w:hAnsi="arial" w:cs="arial"/>
          <w:color w:val="000000"/>
          <w:sz w:val="20"/>
          <w:lang w:val="en-US" w:eastAsia="en-US" w:bidi="ar-SA"/>
        </w:rPr>
        <w:t xml:space="preserve"> ($15,000); Targett v. Magic Mountain Water Park Ltd., </w:t>
      </w:r>
      <w:hyperlink r:id="rId867" w:history="1">
        <w:r>
          <w:rPr>
            <w:rFonts w:ascii="arial" w:eastAsia="arial" w:hAnsi="arial" w:cs="arial"/>
            <w:i/>
            <w:color w:val="0077CC"/>
            <w:sz w:val="20"/>
            <w:u w:val="single"/>
            <w:shd w:val="clear" w:color="auto" w:fill="FFFFFF"/>
            <w:lang w:val="en-US" w:eastAsia="en-US" w:bidi="ar-SA"/>
          </w:rPr>
          <w:t>[1991] N.B.J. No. 853</w:t>
        </w:r>
      </w:hyperlink>
      <w:r>
        <w:rPr>
          <w:rFonts w:ascii="arial" w:eastAsia="arial" w:hAnsi="arial" w:cs="arial"/>
          <w:color w:val="000000"/>
          <w:sz w:val="20"/>
          <w:lang w:val="en-US" w:eastAsia="en-US" w:bidi="ar-SA"/>
        </w:rPr>
        <w:t xml:space="preserve"> ($28,000); d'Entremont v. Smallwood, </w:t>
      </w:r>
      <w:hyperlink r:id="rId868" w:history="1">
        <w:r>
          <w:rPr>
            <w:rFonts w:ascii="arial" w:eastAsia="arial" w:hAnsi="arial" w:cs="arial"/>
            <w:i/>
            <w:color w:val="0077CC"/>
            <w:sz w:val="20"/>
            <w:u w:val="single"/>
            <w:shd w:val="clear" w:color="auto" w:fill="FFFFFF"/>
            <w:lang w:val="en-US" w:eastAsia="en-US" w:bidi="ar-SA"/>
          </w:rPr>
          <w:t>[1999] O.J. No. 4567</w:t>
        </w:r>
      </w:hyperlink>
      <w:r>
        <w:rPr>
          <w:rFonts w:ascii="arial" w:eastAsia="arial" w:hAnsi="arial" w:cs="arial"/>
          <w:color w:val="000000"/>
          <w:sz w:val="20"/>
          <w:lang w:val="en-US" w:eastAsia="en-US" w:bidi="ar-SA"/>
        </w:rPr>
        <w:t xml:space="preserve"> ($23,000); Coburn v. Fernandes, </w:t>
      </w:r>
      <w:hyperlink r:id="rId869" w:history="1">
        <w:r>
          <w:rPr>
            <w:rFonts w:ascii="arial" w:eastAsia="arial" w:hAnsi="arial" w:cs="arial"/>
            <w:i/>
            <w:color w:val="0077CC"/>
            <w:sz w:val="20"/>
            <w:u w:val="single"/>
            <w:shd w:val="clear" w:color="auto" w:fill="FFFFFF"/>
            <w:lang w:val="en-US" w:eastAsia="en-US" w:bidi="ar-SA"/>
          </w:rPr>
          <w:t>[1993] B.C.J. No. 1303</w:t>
        </w:r>
      </w:hyperlink>
      <w:r>
        <w:rPr>
          <w:rFonts w:ascii="arial" w:eastAsia="arial" w:hAnsi="arial" w:cs="arial"/>
          <w:color w:val="000000"/>
          <w:sz w:val="20"/>
          <w:lang w:val="en-US" w:eastAsia="en-US" w:bidi="ar-SA"/>
        </w:rPr>
        <w:t xml:space="preserve"> ($50,000); and LaPointe v. Keefe Estate </w:t>
      </w:r>
      <w:hyperlink r:id="rId870" w:history="1">
        <w:r>
          <w:rPr>
            <w:rFonts w:ascii="arial" w:eastAsia="arial" w:hAnsi="arial" w:cs="arial"/>
            <w:i/>
            <w:color w:val="0077CC"/>
            <w:sz w:val="20"/>
            <w:u w:val="single"/>
            <w:shd w:val="clear" w:color="auto" w:fill="FFFFFF"/>
            <w:lang w:val="en-US" w:eastAsia="en-US" w:bidi="ar-SA"/>
          </w:rPr>
          <w:t>(1986), 72 A.R. 1</w:t>
        </w:r>
      </w:hyperlink>
      <w:r>
        <w:rPr>
          <w:rFonts w:ascii="arial" w:eastAsia="arial" w:hAnsi="arial" w:cs="arial"/>
          <w:color w:val="000000"/>
          <w:sz w:val="20"/>
          <w:lang w:val="en-US" w:eastAsia="en-US" w:bidi="ar-SA"/>
        </w:rPr>
        <w:t xml:space="preserve">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Having considered all of these decisions and the significant impact of these injuries on the plaintiff and her enjoyment of life I award the plaintiff $65,000 for 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approach to claims for loss of earning capacity was reviewed in Pallos v. I.C.B.C. </w:t>
      </w:r>
      <w:hyperlink r:id="rId537"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at p. 268 where Finch J.A. (as he then was)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those cases cited by counsel, I would also refer to Kwei v. Boisclair </w:t>
      </w:r>
      <w:hyperlink r:id="rId741"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There Mr. Justice Taggart quoted with approval from Brown v. Golaiy, </w:t>
      </w:r>
      <w:hyperlink r:id="rId81"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as follows (at pp. 399-400):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Palmer v. Goodall, </w:t>
      </w:r>
      <w:hyperlink r:id="rId80" w:history="1">
        <w:r>
          <w:rPr>
            <w:rFonts w:ascii="arial" w:eastAsia="arial" w:hAnsi="arial" w:cs="arial"/>
            <w:i/>
            <w:color w:val="0077CC"/>
            <w:sz w:val="20"/>
            <w:u w:val="single"/>
            <w:shd w:val="clear" w:color="auto" w:fill="FFFFFF"/>
            <w:lang w:val="en-US" w:eastAsia="en-US" w:bidi="ar-SA"/>
          </w:rPr>
          <w:t>[1991] B.C.J. No. 16</w:t>
        </w:r>
      </w:hyperlink>
      <w:r>
        <w:rPr>
          <w:rFonts w:ascii="arial" w:eastAsia="arial" w:hAnsi="arial" w:cs="arial"/>
          <w:color w:val="000000"/>
          <w:sz w:val="20"/>
          <w:lang w:val="en-US" w:eastAsia="en-US" w:bidi="ar-SA"/>
        </w:rPr>
        <w:t>, Madam Justice Southin said at p. 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Earnshaw v. Despins, </w:t>
      </w:r>
      <w:hyperlink r:id="rId871" w:history="1">
        <w:r>
          <w:rPr>
            <w:rFonts w:ascii="arial" w:eastAsia="arial" w:hAnsi="arial" w:cs="arial"/>
            <w:i/>
            <w:color w:val="0077CC"/>
            <w:sz w:val="20"/>
            <w:u w:val="single"/>
            <w:shd w:val="clear" w:color="auto" w:fill="FFFFFF"/>
            <w:lang w:val="en-US" w:eastAsia="en-US" w:bidi="ar-SA"/>
          </w:rPr>
          <w:t>[1990] B.C.J. No. 944</w:t>
        </w:r>
      </w:hyperlink>
      <w:r>
        <w:rPr>
          <w:rFonts w:ascii="arial" w:eastAsia="arial" w:hAnsi="arial" w:cs="arial"/>
          <w:color w:val="000000"/>
          <w:sz w:val="20"/>
          <w:lang w:val="en-US" w:eastAsia="en-US" w:bidi="ar-SA"/>
        </w:rPr>
        <w:t>, Madam Justice Southin said (at p. 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true questions the jury must address in a claim such as this are:</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to any degree by his injuries?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amount in the light of all the evidence should be awarded for that impairment?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Dickson J., as he then was, said in Andrews v. Grand &amp; Toy (Alta.) Ltd., </w:t>
      </w:r>
      <w:hyperlink r:id="rId28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 . . A capital asset has been lost: what was its value?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catastrophic injury cases, the whole of the capital asset is lost. But there may be much less serious injuries which cause permanent impairment although the loss cannot be determined with any degree of exactitude.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ought to have addressed the question as one of impairment and pointed out that there was evidence of a limitation on earning ability. The jury might well have rejected the plaintiff's inordinate claim but appreciated that there are jobs now closed to the plaintiff which, as he grew older, he might have chosen and given him something more for that and future care than slightly under $12,000.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I have said, this difficulty with the charge was not raised by counsel for the plaintiff with the learned trial judge. Indeed, he did not raise it before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At p. 271 of Pallos he concludes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cases to which we were referred suggest various means of assigning a dollar value to the loss of capacity to earn income. One method is to postulate a minimum annual income loss for the plaintiff's remaining years of work, to multiply the annual projected loss times the number of years remaining, and to calculate a present value of this sum. Another is to award the present value of some nominal percentage loss per annum applied against the plaintiff's expected annual income. In the end, all of these methods seem equally arbitrary. It has, however, often been said that the difficulty of making a fair assessment of damages cannot relieve the court of its duty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in this case is a married mother of two young children. She has worked part time as a bartender, for Statistics Canada, for I.C.B.C. and for the Pacific National Exhibition. Although she now finds cooking "stressful" and not the pleasure it previously was for her she continues to cook at home and, in November of 2001, she began working as an assistant to the Chef at Douglas College a job she held until trial when she took a leave of absence to care for her terminally ill father-in-law. She testified that her job at Douglas College was available for her to return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From 1993 to 2000 the plaintiff's income tax returns show an average income of some $2,000. In 2001 her total income was just over $12,000 from multiple sources including the job at Douglas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testified about plans to go into the catering business with her friend Susan Machelli and produced a draft business plan in support of that claim. The draft business plan was prepared during the course of this litigation and, to be charitable, it is a simplistic set of calculations with little evidentiary value in terms of accurately forecasting the realistic expectations of such a business. The reality is that little, if any, income has been generated by Ms. Machelli's business, and no positive steps have been taken to implement the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fact remains that the plaintiff has suffered a loss of capacity which limits to some extent her ability to earn future income in a field that was of significant interest to her. The fact that she has worked successfully in some capacity in that field does not mean that she is not limited in the positions she can hold and her opportunities to advance. As in Moore v. Dhillon, </w:t>
      </w:r>
      <w:hyperlink r:id="rId872" w:history="1">
        <w:r>
          <w:rPr>
            <w:rFonts w:ascii="arial" w:eastAsia="arial" w:hAnsi="arial" w:cs="arial"/>
            <w:i/>
            <w:color w:val="0077CC"/>
            <w:sz w:val="20"/>
            <w:u w:val="single"/>
            <w:shd w:val="clear" w:color="auto" w:fill="FFFFFF"/>
            <w:lang w:val="en-US" w:eastAsia="en-US" w:bidi="ar-SA"/>
          </w:rPr>
          <w:t>[1993] B.C.J. No. 3089</w:t>
        </w:r>
      </w:hyperlink>
      <w:r>
        <w:rPr>
          <w:rFonts w:ascii="arial" w:eastAsia="arial" w:hAnsi="arial" w:cs="arial"/>
          <w:color w:val="000000"/>
          <w:sz w:val="20"/>
          <w:lang w:val="en-US" w:eastAsia="en-US" w:bidi="ar-SA"/>
        </w:rPr>
        <w:t xml:space="preserve"> this is not a bar to an award of damages for diminution of future earning capacity or loss of opportunity. In that case the Court of Appeal awarded $20,000 for loss of earning capacity when the plaintiff was unable to return to her profession as a hair stylist as a result of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the present case the plaintiff is relatively young and has a variety of other skills and talents. She has been able to obtain employment in a variety of fields and a range of employers. Nevertheless, she has, in my view, suffered a loss of capacity which will affect her in the future. Considering the whole of the evidence and the principles quoted above the appropriate award for loss of capacity is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the event counsel are unable to agree on costs they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April 7, 2004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Corrigendum to the Reasons for Judgment issued by Mr. Justice W.G. Parrett advising that the following paragraph was inadvertently omitted before paragraph 14 on page 6 of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'delicate balance of factors' and the dangers inherent in medical treatment was itself the subject of comment by the English Court of Appeal in Roe v. Ministry of Health, [1954] 2 All E.R.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omission is noted and applied.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7964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Bystedt (Guardian ad litem of) v. Bagdan, [2001] B.C.J. No. 540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Boyle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S050592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540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396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170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Morgan Beverly Bystedt by her Guardian ad litem Wylie Melissa Bystedt, plaintiff, and Matthew Bagdan; Doris Deer; Jane Doe; Elliot Elk; Hermione Hart; Richard Creighton Hay; Richard Roe; Barry H. Sanders; Paul Thiessen; M. Watson; Sandra Wiebe; Governing Council of the Salvation Army in Canada; British Columbia's Women's Hospital and Health Centre Society, carrying on business as "B.C. Women's Hospital"; and the same British Columbia's Women's Hospital and Health Centre Society; British Columbia's Women's Hospital and Health Centre Foundtion, carrying on business as "B.C. Women's Hospital" and the same British Columbia's Women's Hospital and Health Centre Foundation; British Columbia's Women's Hospital and Health Centre Auxiliary Society, carrying on business as "B.C. Women's Hospital" and the same British Columbia's Women's Hospital and Health Centre Auxiliary Society,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6"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0" w:name="Keywords_34"/>
      <w:bookmarkEnd w:id="230"/>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Standard of care — Failure to follow up — Obstetrical or gynaecological care — Residents or interns.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1" w:name="Case Summary_31"/>
            <w:bookmarkEnd w:id="2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two defendant doctors for dismissal of the claims against them. The infant plaintiff brought an action against various defendants alleging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surrounding her birth. The mother of the infant exhibited active herpes lesions on her admission to hospital. The doctor at the hospital determined that the mother should have a Caesarean section. He performed the surgery with the assistance of a resident doctor. The infant was diagnosed within a couple of weeks after her birth with the herpes virus. The mother alleged that the infant received the virus through improper sterility procedures by the staff of the hospital or as a result of a leak in the amniotic fluid which allowed the infection to pass to the infant. She also alleged that the attending doctors and the paediatrician were negligent in failing to follow up on the status of the infant after her birth. The resident and the attending doctor argued that there was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surrounding the birth of the infant.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2" w:name="Holdings of Court_27"/>
            <w:bookmarkEnd w:id="23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against the resident was dismissed. He acted only under direction and met the standard of care required of an ordinary resident obstetrician. There was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the Caesarean section. However, there was an issue to be resolved as to whether the follow up of the attending doctor in connection with the paediatrician was sufficient.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3" w:name="Legislation Cited_26"/>
      <w:bookmarkEnd w:id="2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7"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4" w:name="Counsel_35"/>
      <w:bookmarkEnd w:id="23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8"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 Harding, for the plaintiff. K.J. Brown,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5" w:name="Judgment_35"/>
      <w:bookmarkEnd w:id="235"/>
      <w:r>
        <w:pict>
          <v:line id="_x0000_s1199" style="position:absolute;z-index:2518476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6" w:name="BOYLE J."/>
            <w:bookmarkEnd w:id="236"/>
            <w:r>
              <w:rPr>
                <w:rFonts w:ascii="arial" w:eastAsia="arial" w:hAnsi="arial" w:cs="arial"/>
                <w:b/>
                <w:color w:val="000000"/>
                <w:sz w:val="30"/>
                <w:lang w:val="en-US" w:eastAsia="en-US" w:bidi="ar-SA"/>
              </w:rPr>
              <w:t>BOYLE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for dismissal brought by two of the defendants came on under Rule 18A. The plaintiff contests the appropriateness of the Rule and some of the evidence asserted as fact by those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(by her guardian ad litem, her mother) has brought an action against the various defendants asserting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her birth March 28,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child was diagnosed during the second week in April 1993 as having been infected with the herpes virus. The consequences have been catastrophic.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Public Trustee has been advised of this application. That office takes no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claim is the plaintiff became infected with the herpes virus "during delivery or at the hospital (alternatively - the plaintiff argues - within a day or to of release from the hospital with no patient instruction or follow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mother at the time of birth exhibited active labial herpes lesions. That was known to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("the defendants" hereafter) bringing this application are Dr. Bagdan and Dr. Sanders. They attended at the plaintiff's birth. Dr. Sanders was present as a consulting obstetrician. Dr. Bagdan was completing his residency in gynaecology and obstetrics. He was the primary surgeon at the birth which took place by Caesarean section. Dr. Sanders directed the procedure and assisted.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had no prior relationship or - as far as I know - any knowledge of the mother's condition until she arrived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mother ("the mother") by affidavit filed July 21, 2000, sums up the plaintiff's position - without reference to the alternative argument - in this way:</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allege that Morgan became infected with the herpes virus during the delivery process, either by contamination with vaginal fluids (not the amniotic fluid itself), or by some member of the delivery team becoming contaminated with viral bodies (for example, by touching a herpes lesion on my body), then in turn contaminating Morgan (for example, by touching her with the contaminated hand). In either case, we allege that Sanders and Bagdan had a duty to prevent this infection. We also allege that both Sanders and Bagdan had a duty to follow up Morgan's condition to prevent any harm from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examination of the mother upon her arrival at hospital, Dr. Sanders decided that, because of the active herpes lesions, she should give birth by Caesarean section. She agreed. Indeed, the mother had decided earlier on her own to follow that procedure in the event, as was the case, that herpes lesions were apparent when the plaintiff was 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some discussion in the evidence of the possible safety of natural birth in these circumstances but not of such weight as to cast doubt on the appropriateness of the surgical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Infection can occur in cases of an infected mother either in utero or during or after birth. A pre-eminent authority on infectious diseases (Dr. Sacks) reported that this plaintiff could not have been infected in utero (congenitally). He said: "This is definitely a case of neonatal herpes ...". There is no evidence of sufficient weight to come to any other conclusion than that which he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Two possibilities - again without reference to the alternative argument - for the method of infection were stressed by the plaintiff: direct infection from viral migration from the lesions up the birth canal by bodily fluids or by transmission on the hands of one or more of the team conducting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was considerable evidence going to whether or not there were ruptured membranes which had opened the way for upward migration (if it occurred) and there was considerable argument as to whether or not appropriate pre-surgery testing had taken place to examine for that possibility. There also was evidence and argument going to the question of how promptly surgery of this kind in these circumstances need be conducted in order to minimize the possibility of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Referring to those questions, Dr. M.L. Simpson, who reviewed the defendants' records, examinations for discovery and recollections as reported to her,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dealing with a patient with an active herpes lesion one of the most important facts to be absolutely certain about is the status of the membranes. ... The reason it is important is that transmissibility of the herpes virus from the mother to the infant can be increased if the membranes are ruptured for a long period of time. Historically there has been a 4-hour rule. What this means is that if an active lesion is present in the genital area, a Caesarean Section should be performed before four hours have passed from the time of the membrane rupture (or leak). It is believed that a Caesarean Section after that time is less effective in preventing fetal infection and perhaps the risk of the Caesarean Section is greater than the prevention of transmission of herpes to the infant. Vaginal delivery may be considered if excessive time has passed. This is not a rigid rule in clinical practice. The reason for that is that the transmission of the virus is highly variable. If there is a herpetic lesion on the vulva there could also be a lesion in the vagina or on the cervix potentially making transmissibility more likely. A Caesarean Section should be performed as quickly as possible in less than four hours. Lesions in the vagina or on the cervix cannot always be seen in a clinical examination especially in a women in labour, so their existence cannot be confirmed or denied, because of this we always try to perform a Caesarean Section immediately when membranes rupture we do not wait for 4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contested Dr. Simpson's qualifications but I was satisfied she was well-qualified to give the opinions she offered although some advocacy required excision. (That observation goes to qualifications, not necessarily to acceptance of opinion where it is at variance with Dr. Sacks).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Reference was made to the defendant hospital's protocol under the heading "Standard Nurse Care Plans - Herpes in Pregnancy" which calls for testing "all suspected fluid with nitrazine or fern test, if possible". The fluid in question here is the "leak" deposed to by the plaintiff's mother. Neither test was performed. (I recall no description in evidence of either test but whether or not there was a leak and, if so, its nature, is not material to this decision because the evidence is the surgical procedure would not have changed whatever the result of testing and whether or not there was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surgery was brief. It is described by the defendants as "uncomplicated" and "unremarkable". The defendants without entirely specific recollection rely on notes and what I take to be practice to affirm their evidence that the necessities for sterility were properly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to the surgical procedure itself, Dr. Simpson's opinion was that Dr. Sanders, as supervising physician acted "with the standard of a reasonably competent obstetrician/ gynaecologist in his treatment and care" of the plaintiff's mother. Her conclusion was the same in respect to Dr. Bagdan as a resident in obstetrics and gynaecology.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nothing in the evidence to give weight to an opposite opinion about the delivery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Sacks was not critical of the surgical procedure. The thrust of his evidence went to the need to test, diagnose and to the need for - and complications of - treatment after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did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intactness of membranes is important ... If leak was suspected (the mother reported leakage), the mother might have been treated intrapartum and neonate treated from birth but this, too, would not have been considered a standard of any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position was put by Dr. Sanders that the "membranes were intact". The plaintiff argues that is not proven. It is possible they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do not understand Dr. Sacks to suggest that discovery of a membrane leak would have changed the course of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Commenting on procedure prior to and at birth, Dr. Sacks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Use of antivirals to prevent neonatal herpes in a baby exposed is not a widely accepted practice. There are those who would do this, including myself in certain situations - e.g., a known exposure of active virus to the infant, or shedding from the infant. To determine this, surveillance swabs would be done on the infant from mouth, groin, armpit and if positive, the baby treated preemptively. This is not a general practice and is not recommended by any group of authority. Surveillance itself is generally not performed except in studies or in selected individuals. In retrospect, this may have been nice, but would not be expected norm under any circumstances. Treatment of the baby because mother had recurrent disease with intact membranes would probably not be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Obvious from that is the difficulty and uncertainty of procedure and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His report leaves an impression that no single line of procedure is universally accepted medically as the course to follow where herpes lesions are known to be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say the evidence shows they performed their duties - examination and surgical delivery - at the standard of competence required of them and that they had no further duty to the plaintiff because issues of post-natal care and treatment were not theirs as obstetricians and gynaecologists but were the responsibility of a paediatrician or family doctor/general practitioner into whose care the plaintiff would be entrusted.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For the purposes of this hearing on the evidence before this court, the conclusions I came to on the above questions (time of infection, membrane rupture and promptness of surgery) were these: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infection was neonatal;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surgery was performed without any delay attributable to these defendants;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of breached membranes was not shown to be something for which, if proven, an alternative delivery procedure on balance would reasonably have been preferred (see Dr. Sack's report generally and para. 22(b) particularly).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was passed immediately upon delivery to another of the defendants, Dr. Thiessen, a paediatrician who is not a party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Sanders was asked on discovery "... do you agree with me as a physician you have an obligation to ensure that follow up of a medical condition that you are aware of is carried out?" He replied: "I think it is either my responsibility to provide that follow up or to ensure that someone else is providing that follow up, if I've handed the case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Sanders did not dispute "there was a risk that the baby could have become infected with herpes at some point in time during pregnancy, labour and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Bagdan saw the plaintiff's mother the day following the surgery and again two days after that. He noted she was "doing well". Dr. Sanders made no note of seeing her after the surgery and probably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has approached the infection issue as though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proven on the part of these defendants once the evidence showed infection occurred neonatally and not in utero. That is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There was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performance of the Caesarean section offered on this application. There was conjecture. Nothing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Each of the defendants was examined for discovery. The material from that discovery put before the court going to transmission of the virus was not helpful to the plaintiff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nothing to show that further examination or cross-examination would assist the plaintiff insofar as these defendants' surgical procedure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evidence on this application does leave the question whether or not there was post-natal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omission during the "follow up" period - diagnosis and treatment. Nothing said there is to be taken as a decision on that issue. The observation is intended only as a preamble to a decision that the claim against Dr. Bagdan who acted under direction will be dismissed. There is nothing to show he had a continuing medical responsibility or legal duty of care to the plaintiff beyond the surgery. He made the two ward visits to the mother within the week after delivery. They were concerned only with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No one, including the defendant's expert, Dr. Sacks, has faulted the surgical procedure. It is not an injustice to the plaintiff on the evidence and on the law to conclude it has been shown Dr. Bagdan met the standard of care required of an ordinary resident obstetrician of similar training and experience whose function is performed under direction of a qualified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an early cautious caveat that there is no suggestion of a final decision at this stage in the following, the claim against Dr. Sanders will not be dismissed. He was in charge in the delivery room and he agreed he had a responsibility to ensure that there was follow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follow up remains open for further evidence. If there were liability on Dr. Sanders part it appears it could be only of omission but, again, that is not a finding and is offered only as an indicator of the route to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mother asserts by affidavit: "A main claim against (Dr.) Sanders and (Dr.) Bagdan is that they failed to follow up (the plaintiff's) condition - either directly themselves or by ensuring follow-up was initiated by some other doctor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Sanders did not conduct an assessment of the plaintiff on birth. He asserts that is not the obstetrician's duty. He described the conclusion of his role upon delivery in this way: "the cord was clamped and cut and I then handed the infant plaintiff to the attending paediatrician, Dr. Thiessen."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Sanders said on discovery: "I had (Dr. Thiessen) be present at the time of delivery to be there to help manage the baby's new-born course from the delivery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mother deposes plaintiff's counsel has been seeking since mid-1999 to examine an appropriate representative of the defendant hospital with particular regard to "the standard of care demanded by the hospital of the doctors who had privileges there". That person so far has not been named by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Plaintiff's counsel argued that evidence from that yet to be determined person is necessary before the court can determine whether or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proven against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What that protocol, if any, required in these circumstances and whether or not that requirement is medically reasonable, I cannot say but I did not conclude it would have an effect militating against the decision to dismiss the claim against Dr. Bagdan who was conducting the procedure as a resident under direction of a superior professional. It might have some relevance to what information and advice, if any, passed between Dr. Sanders and Dr. Thiessen or to others responsible for the plaintiff's care after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result the claim against Dr. Bagdan is dismissed. The claim against Dr. Sanders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Bagdan will have his costs at the conclusion of the action, not forthwith, otherwise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BOYLE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Chancey v. McKinstry, [2000] B.C.J. No. 2008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14 - 18, 21 - 24, March 1 and 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C950512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2008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1461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A.C.W.S. (3d) 1067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James Chancey, plaintiff, and Dr. Errol E. McKinstry,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1"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7" w:name="Keywords_35"/>
      <w:bookmarkEnd w:id="237"/>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Re mental patients — Failure to inform or disclose — Standard of care — Treatment with or withdrawal from drugs with side effects.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8" w:name="Case Summary_32"/>
            <w:bookmarkEnd w:id="2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Chancey for damages for medical malpractice against his former psychiatrist, McKinstry. Chancey was 48 years old. He had a long history of taking lithium to control what had been diagnosed as a bipolar manic-depressive disorder, and he had been very successful in his career with the medication. He claimed that McKinstry advised him that he was in fact suffering from a personality disorder and not a manic-depressive disorder and no longer required lithium. He claimed that he therefore stopped taking the medication, which resulted in his undergoing significant upheaval in his life including an inability to work. Chancey claimed in the alternative that McKinstry was negligent in failing to advise him of the expected withdrawal effects. McKinstry denied advising Chancey to stop taking lithium, leaving medication issues to Chancey and his family doctor, and also denied that the erratic behaviour he exhibited in the period after the alleged withdrawal was related to the cessation of lithium. McKinstry's position was that Chancey merely wished to stop using lithium and did, and that his behaviour was more readily explained by the mounting stressors in his life at that time, including a divorce from his wife and his father's death. The lithium would have taken six weeks to clear from his system such that the cessation was not likely to have been the direct cause of his behaviour in any event.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9" w:name="Holdings of Court_28"/>
            <w:bookmarkEnd w:id="23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McKinstry told Chancey that he probably had a personality disorder and not a manic-depressive condition, the discussion about stopping lithium was limited to suggesting he speak to his family doctor about it at a time when things were going smoothly in his life. He never suggested that Chancey should stop taking the drug and the subject of lithium did not arise during the visit at which Chancey claimed it did. McKinstry's usual practice was to leave matters relating to drug prescriptions to the family doctor. Neither McKinstry's notes nor the family doctor's notes supported Chancey's version of events. Chancey's erratic behaviour had already begun by the time of the alleged advice, which suggested that the ensuing behaviour was not necessarily linked to the withdrawal. There was also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McKinstry's alleged failure to warn Chancey of the risks of stopping the drug even if he did not expressly counsel him to cease taking it. It was not reasonably foreseeable that, based on a few preliminary comments, Chancey would discontinue taking the drug without further discussion. There was no evidence that Chancey would have acted any differently had he received an explicit warning from McKinstry about a sudden cessation. Damages were provisionally assessed at $35,000 in general damages and $120,000 for income loss.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0" w:name="Counsel_36"/>
      <w:bookmarkEnd w:id="2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 R. Steven, for the plaintiff. David Pilley and Lara Zee,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1" w:name="Judgment_36"/>
      <w:bookmarkEnd w:id="241"/>
      <w:r>
        <w:pict>
          <v:line id="_x0000_s1203" style="position:absolute;z-index:2517985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2" w:name="SIGURDSON J."/>
            <w:bookmarkEnd w:id="242"/>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by the plaintiff, Robert Chancey, for damages for medical malpractice against the defendant, Dr. McKinstry.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took lithium carbonate (lithium) for over 20 years to treat what he understood was a bipolar or manic depressive disorder. In late 1993 he was referred by his family physician to Dr. McKinstry, a psychiatrist, for therapy relating to certain family and other issues in his life. The defendant psychiatrist initially questioned whether the plaintiff suffered from a bipolar disorder. According to the plaintiff, Dr. McKinstry later told him that he could discontinue his lithium and the plaintiff says that he followed that advice. Mr. Chancey, who was suffering from depression at the time, says that the cessation of lithium caused him to go into a manic phase which prevented him from working and resulted in very unusual and erratic behaviour that impaired his reputation in the community and his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McKinstry denies telling Mr. Chancey that he could or should stop taking lithium and also disputes that Mr. Chancey's behaviour in January 1994 was related to the recent cessation of lithium.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in this trial are:</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McKinstry advise Mr. Chancey that he could or should stop using lithium without prescribing a substitute mood stabilizer and thereby breach the appropriate standard of care? In the alternative, did Dr. McKinstry fail to warn Mr. Chancey of the risks of stopping his lithium treatment?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stopping lithium cause the loss of which Mr. Chancey complains? In other words, did he exhibit manic behaviour in January and February 1994 and was that behaviour related to the cessation of lithium?</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was negligent, what loss, if any, has the plaintiff suffered in terms of non-pecuniary damages, loss of income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Chancey is now 48 years old. Through the 1980s and particularly in the early 1990s he was a very successful realtor. He lived in Ladner with his wife, Linda Chancey, and their two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His earlier years were troubled. As a teenager, he used alcohol and street drugs to excess. As a young teenager he dropped out of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age of 21, he was hospitalized in Stratford, Ontario for an apparent manic depressive disorder and was placed on lithium. He had previously been admitted to hospital and received electro-convulsive treatments for his apparent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His first marriage ended in divorce. After working in construction he started a home renovation business with his second wife. That business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Because of his doctor's concern for possible kidney damage, which is a side effect of lithium, he was briefly taken off his lithium. Mr. Chancey held the belief that the cessation of lithium had disastrous effects on his mood and that it resulted in him drinking heavily at that time. He considered lithium to be his lifeline.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1979, Mr. Chancey completed his high school education and received a grade 12 certificate. In 1981, he obtained his real estate licence and began working in his mother's real estate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Between 1984 and 1992, Mr. Chancey was a very effective and successful salesman. In those years he was in the top 1% of all realtors in Greater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1986 he met his present wife. Together they have worked successfully as a team selling real estate. Mrs. Chancey was Mr. Chancey's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Hargrave was Mr. Chancey's family physician. Through the years Dr. Hargrave had prescribed any required medication for him. By 1989 Mr. Chancey was continuing on lithium, as he had been for years. His dosage was 300 milligrams three times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Chancey had an alcohol problem and was a binge drinker. Mr. and Mrs. Chancey separated briefly in 1989. That followed a physical confrontation after Mr. Chancey had been drinking heavily. He arrived home late and they slapped or struck each other. The police were called. Their separation lasted only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events of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1993 proved to be a difficult year in Mr. Chancey's life. He initially worked as a realtor but, early in 1993, he and his wife decided to take a long vacation and travel across Canada in the summer with their children and visit his family and their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Chancey was estranged from his father. On the trip Mr. Chancey did not visit him in Eastern Canada. As the family returned to Vancouver, by late August or early September Mr. Chancey began feeling seriously depressed and lacked the desire and energy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Chancey went to Dr. Hargrave. He reported feeling depressed for the previous month, sleeping poorly and having poor motivation. Dr. Hargrave prescribed Paxil, an anti-depressant. He was placed on 20 milligrams daily, but when his symptoms of depression were unresolved, Dr. Hargrave increased the dosage to 40 milligrams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Dr. Hargrave's records, Mr. Chancey, although still suffering from stress and having motivational difficulties, was doing well by mid October 1993. Dr. Hargrave referred him to Delta Family Services for follow-up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November 4, 1993, Mr. Chancey was arrested for impaired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Period of treatment by Dr. McKinstry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November 19, 1993, Dr. Hargrave referred Mr. Chancey to a psychiatrist. Dr. Hargrave's referral letter indicated that the plaintiff had a longstanding manic depressive illness which had been reasonably well controlled with lithium. It also indicated that his depressive symptoms were becoming more of a problem but that this had been improved by the use of Paxil/20 milligrams. The letter noted that he had never come to terms with his childhood and adolescent difficulties and requested psychotherapy for him to help him deal with these. Mr. Chancey telephoned Dr. McKinstry and arranged the first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Chancey saw Dr. McKinstry on nine occasions, typically for 50-minute sessions. The first session was on November 22, 1993, and the last visit was February 3,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During the first visit Dr. McKinstry obtained a fairly complete family and personal history from Mr. Chancey. It is not disputed that during this first session Dr. McKinstry questioned or raised a suspicion whether Mr. Chancey did in fact have a bipolar disorder. It is at a subsequent session on December 20, 1993, that the plaintiff says that he received advice that he could or ought to discontinue lithium.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December 12, when Mr. Chancey was drunk, there was a physical altercation between Mr. and Mrs. Chancey. As a result the parties separated.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McKinstry and Mr. Chancey met for a session on December 20. This is the crucial meeting. Mr. Chancey says that he was told by Dr. McKinstry that he could go off, or should go off, his lithium. Dr. McKinstry denies that the question of lithium was discussed at all during that session and specifically denies making that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Chancey had since reconciled with his wife and says that he reported to his wife within 30 minutes that Dr. McKinstry had said that he could go off his lithium. At her suggestion, he tapered off and finished going off his lithium by January 4 or 5,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counsel's asserts that by January 12 Mr. Chancey went into a manic phase as a result of the cessation of lithium.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January 12 Mr. Chancey physically assaulted his wife. He was charged with assault. He again separated from his wife and she commenced divorce proceeding against him. Mr. Chancey continued to see Dr. McKinstry in January, particularly at appointments on January 17 and 24, 1994 (his seventh and eighth appointments). During this time he was still separated from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Chancey had serious legal problems. He faced criminal charges for impaired driving in November and assaulting his wife in January. He was also charged with contacting his wife on January 20, contrary to a court order. He retained Ulf Ottho, a lawyer in Delta, to act for him in the criminal and family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evening of January 28, 1994, Mr. Chancey was voluntarily admitted to the Delta Hospital. The next morning he re-attended there and restarted taking lithium.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February 3, 1994, he saw Dr. McKinstry for the last time. At that session, Mr. Chancey terminated his relationship with Dr. McKinstry.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Period following treatment by Dr. McKinstry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February and March he was seen by both his family doctor and by Dr. Fullegar, a psychiatrist. On March 22, 1994, he was referred to another psychiatrist, Dr.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By January 1995 Mr. Chancey was back at work selling real estate. He had effectively been off work since September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in this case raises serious issues about the nature of Mr. Chancey's emotional and mental condition in early 1994. Specifically the question arises whether his behaviour was caused by the cessation of lithium or some other cause, or whether it was different in substance from the behaviour he exhibited in the latter part of 1993. I will discuss those questions in the parts of this judgment where I discuss causation and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Dr. McKinstry advise Mr. Chancey that he could stop taking lithium?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Stevens contends that Dr. McKinstry told Mr. Chancey that he was probably not suffering from a manic depressive or bipolar disorder, that he could or should go off his lithium and that he should take up weight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Whether Mr. McKinstry said these things is a question of fact. It concerns the content of a discussion between the plaintiff and the defendant on December 20, 1993, during one of the treatment sessions at Dr. McKinstry's office. It is a matter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question of credibility generally surrounds the discussion at the initial meeting between the parties on November 22, 1993, and at the session on December 20, 1993. The other sessions are important in providing the overall context for these discussions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will first set out the important discussions from each party's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Chancey described the initial meeting with Dr. McKinstry on November 22. Mr. Chancey said that Dr. McKinstry said to him that he was not certain if Mr. Chancey was bipolar and that they would discuss it later. He denied that he was told by Dr. McKinstry that if there came a time where he wanted to try to go off lithium it should be a point in time when things (in his life) were going smoothly or that it should be discussed with his family doctor. Mr. Chancey also denied, at least initially, that he discussed with Dr. McKinstry the fact that Dr. McKinstry would not prescribe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crucial session is December 20, 1993. Mr. Chancey testified that in that session, Dr. McKinstry told him that he thought that Mr. Chancey had a personality disorder instead of a bipolar disorder and that he should or could stop taking his lithium. He said that Dr. McKinstry said that "it might be a good idea if he [Mr. Chancey] considered taking up weight lifting." Mr. Chancey's evidence was that discussion on the topic on each occasion was relatively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McKinstry, on the other hand, gave quite a different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McKinstry agreed that during their first session he had misgivings about the diagnosis of bipolar disorder. The concern, he said, was because the use of street drugs can mimic the effects of a bipolar disorder. Dr. McKinstry said that he told Mr. Chancey that he should discuss the matter with Dr. Hargrave, and that it was important that his life be going smoothly when he was contemplating a change or trial period off lithium. Dr. McKinstry said that he indicated that he would discuss that issue with Mr. Chancey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McKinstry's version of the December 20 discussion is also quite different from Mr. Chancey's. He testified that he did not suggest that Mr. Chancey could stop taking lithium. In fact, he testified that the question of lithium did not come up on December 20, 1993. He also denied telling him, as Mr. Chancey had suggested, that he said Mr. Chancey had a personality disorder rather than a manic depressive or bipolar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Although Dr. McKinstry and Mr. Chancey had a number of lengthy sessions in November and December 1993, this important issue concerns relatively brief discussions during two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will start by expressing my conclusion about those discussions. I have concluded that Dr. McKinstry's version is more credible. I prefer his evidence where it conflicts with that of Mr. Chancey. I have concluded that Dr. McKinstry did not tell Mr. Chancey on December 20, 1993, that he could or should discontinue the use of lithium. My reasons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McKinstry has a much better memory of the sessions generally than Mr. Chancey does, and he has a much better memory of the November 22 and December 20, 1993, sessions. That is hardly surprising, given that Dr. McKinstry made notes throughout or shortly after most of the sessions. On the other hand, Mr. Chancey did not, as he had no particular reason to make a record of what transpired at the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was apparent to me that Dr. McKinstry had a reasonable recollection of significant parts of the therapy sessions independent of his contemporaneous notes. He appears to have an independent and detailed recollection of many of the discussions that took place over the nine visits. Mr. Chancey, on the other hand, generally had a poor recollection of the sessions, remembering only a few details of important topics of conversation, often saying that he just could not remember. Mr. Chancey's testimony left me unpersuaded that the discussions had taken place the way Mr. Chancey suggests.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uncertainty of Mr. Chancey's recollection was made clear on cross-examination when he was challenged on his earlier evidence at trial where he had said there was never a discussion that Dr. McKinstry would have nothing to do with his medication. On cross-examination he adopted as true his answers on discovery where he had said there was such a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Is it likely or unlikely that Dr. McKinstry would in effect give directions to Mr. Chancey on the use of medication? Dr. McKinstry's counsel suggested that it was unlikely that the alleged direction or comment would have been made given that Dr. McKinstry's preferred practice with psychotherapy was not to get involved in the prescription of drugs. Dr. McKinstry testified, which I accept, that he prefers to leave the prescription of medication to the family physician and says that in this case he left the question of that matter to Dr. Hargrave.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this respect there is a hand-written consultation report letter dated November 22, 1993, from Dr. McKinstry to Dr. Hargrave. It indicated the following under the heading "Major Diagnosis":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Affective Disorder: Bipolar and grief unresolved.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Substance abuse: episodic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report was prepared following the initial consultation and in it Dr. McKinstry wrote to Dr. Hargrave with these recommendations: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Psychotherapy 1/wk : focus: grief work, family dynamics, stress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Review meds:</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Consider trial D.C. Lithium.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Hargrave is now deceased. The discovery evidence of Dr. Hargrave that was read in by agreement indicates that Dr. Hargrave took this comment to be "a thought, a consideration, a possibility for the future." Dr. Hargrave, however, considered that Dr. McKinstry could deal with Mr. Chancey in terms of medication but said that normally there is communication on this point between the referring physician and the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Hargrave's notes and his discovery evidence indicate that on November 19, three days before Mr. Chancey was to see Dr. McKinstry, he told Mr. Chancey he was to continue with Paxil and lithium. Neither Dr. Hargrave nor Dr. McKinstry prescribed medication for Mr. Chancey after he started seeing Dr. McKinstry. Apparently there was no lithium prescribed for Mr. Chancey during the relevant period of November to January because in November the plaintiff had filled a three-month prescription written by Dr. Hargrave and there was no need to have it refilled during the months of November 1993 to January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counsel says that Dr. McKinstry's evidence concerning his role in prescribing medication is not credible. He argues that Dr. McKinstry did involve himself with the plaintiff's medication because at the first session he gave the plaintiff a document called "a patient's lithium guide." That one-page typed document provides some general information about lithium and instructions on use and some of the possible side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says that at best the defendant was giving mixed messages about his involvement with medication and the ambiguity of his letter to Dr. Hargrave after the first session supports the plaintiff's position that he reasonably took from the defendant that he was giving advice about the future use of lithium.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Although Dr. McKinstry gave that document to Mr. Chancey and mentioned the possibility of discontinuing lithium in the future, the weight of the evidence suggests that Dr. McKinstry wished to engage in these sessions of psychotherapy with Mr. Chancey unburdened by the need to prescribe medication. That is his normal practice for which there appears to be sound reason and the weight of the evidence suggests that he followed it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Therefore, I conclude that it was unlikely in these circumstances that Dr. McKinstry would give instruction or advice to discontinue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McKinstry's contemporaneous notes support his contention that he did not advise the plaintiff to discontinue lithium. There is no record in Dr. McKinstry's notes of the December 20 session saying that Mr. Chancey should or could go off his medication. If Dr. McKinstry had done so, it would be reasonable to expect that he would have made a notation to that effect. This is particularly so given the fact that the December 20, 1993, notes of Dr. McKinstry refer to the fact that Mr. Chancey had discontinued Paxil for two days and that he was better. The notes indicate that he was suffering from night sweats, a side effect of Paxil.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Hargrave's notes do not support the plaintiff's contention either. His notes of January 20, 1994,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Sees Dr. McKinstry weekly - off all meds now; Self Esteem is better - depressive symptoms resolved; Seems to be managing well - counselled and supported and asked to return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reference in Dr. Hargrave's note to Dr. McKinstry saying that Mr. Chancey should go off 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Although there is no contemporaneous written record by Mr. Chancey of the advice that he allegedly received from Dr. McKinstry, Mr. Chancey says that he reported it to his wife within 30 minutes of meeting with Dr. McKinstry on December 20, 1993. The defendant objected to the introduction of this evidence as a prior consistent statement or self-serving evidence. However, I think the evidence is admissible to rebut the suggestion that emerges from the tenor of the cross-examination of the plaintiff that his evidence, that Dr. McKinstry told him on December 20, 1993, that he could go off lithium, was of recent concoction or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Mrs. Chancey testified that on December 20 Mr. Chancey came over to her, gave her a big bear hug and told her that Dr. McKinstry said that he was not bipolar and that he could go off his lithium. She testified that she was a little surprised and that he told her not to tell, as he wanted to tell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grave concerns over the accuracy of Mrs. Chancey's recollection of this conversation. I think that its accuracy was likely influenced by the fact that this topic has undoubtedly been a matter of conversation between the couple in the years leading up to this trial. I find that the version of the conversation that appears in the affidavit from the matrimonial proceedings is likely more accurate and more likely captures the essence of what Mr. Chancey told his wife on December 20, 1993. Her affidavit on this point was brief and read as follows: "That on December 20, 1993, the Respondent told me that he was going off his medication. He had made me promise not to tell anyone." It is noticeably absent from this affidavit that he was discontinuing because his doctor said that he should. The tone is not that he wants to give good news to his family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think that the weight of the evidence indicates that by at least mid January 1994 Mr. Chancey began to blame Dr. McKinstry for his behaviour in January. I think that explains his complaints to people that Dr. McKinstry suggested he go off lithium and these complaints I think have affected his wife's recollection of the December discussion that she had with him. The complaints Mr. Chancey made to others of his doctor's alleged advice I found to be general and imprecise and not contemporaneous with his key meeting with Dr. McKinstry. For those reasons I place little weight on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internal consistency of the evidence of the two participants in the key meetings was also instructive.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McKinstry was strenuously cross-examined by Mr. Stevens. Although the cross-examination revealed the occasional inconsistency or what I thought was the occasional somewhat illogical comment, those discrepancies were minor and the great body of the testimony given by Dr. McKinstry was clear, careful and reasonable. Overall he had a reasonable recollection of the discussions that he had with Mr. Chancey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overall assessment the credibility of Dr. McKinstry was never seriously challenged. He appeared to be prepared to make admissions even if they put him in a bad light. He acknowledged that he told Mr. Ottho, in frustration, that Mr. Chancey's behaviour was that of a street punk. In that conversation he told Mr. Ottho that he could not give the opinion that the sole cause of Mr. Chancey's behavioural problems was the withdrawal of the two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McKinstry was by and large an articulate witness with a reasonably good memory. His evidence on important points I found to be reasonably consistent. Although he recalled some important discussions about lithium and his questioning of Mr. Chancey's discontinuance of it that are not fully in his notes, I think that his recollection on those points is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McKinstry testified that in January he asked Mr. Chancey if he thought that there was some risk in going off lithium. Mr. Chancey could not recall if Dr. McKinstry asked him this question. Certainly if that conversation occurred, and I find that it did, it is inconsistent with Dr. McKinstry having given advice less than a month earlier that Mr. Chancey should go off lithium. The communications between the parties after December 20 do not provide support for the plaintiff's version of events. Dr. McKinstry in January questioned the wisdom of Mr. Chancey's decision to go off lithium. These discussions took place when there was not yet an issue between them over Dr. McKinstry's alleged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were certain inconsistencies in Mr. Chancey's evidence that are important. For example, according to Mrs. Chancey's affidavit, Mr. Chancey told his wife when he went off his lithium to promise not to tell anyone so that he could tell his friends and family at the appropriate time. However, in a note to his lawyer prepared sometime in early 1994, he indicated that both of his doctors agreed that he should withdraw from lithium and that he never told his wife not to tell anyone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Chancey's evidence also does not fit with the circumstances in his life as of December 20, 1993. He believed that lithium was his lifeline. He considered that when he went off lithium many years earlier, at least once, perhaps twice, the results were disastrous. Notwithstanding the fact that he had an impaired driving charge, an assault on Mrs. Chancey in December 1993 (behaviour he said was unusual for him), he claims that he stopped his lithium on being advised to do so and that he did so without hesitation and after little discussion. If Dr. McKinstry had opined that he thought that Mr. Chancey could go off lithium, it is surprising that if the topic came up on December 20, 1993, that it would not have been the subject of extensive or at least some discussion. I think that it is unlikely that Mr. Chancey, within a month of being prescribed more lithium by his family physician, in whom the evidence shows that he placed great trust, would discontinue it after brief discussions with Dr. McKinstry.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seems odd and therefore unlikely, in the circumstances, for Dr. McKinstry to have suggested that Mr. Chancey go off his lithium. When Dr. McKinstry questioned the diagnosis, he said, which I accept, that going off lithium should be something that could be considered at a time when Mr. Chancey's life was going smoothly. Mr. Chancey's life was certainly not going smoothly on December 20 and that was apparent to Dr. McKinstry. Mr. Chancey told Dr. McKinstry at that meeting that his wife had sent "two Alcohol Anonymous guys" to see him. At the time of the critical session Mr. Chancey had just recently been separated from his wife and his life was in a state of turmoil. In fact three nights before the December 20 session Mr. Chancey called Dr. McKinstry by telephone when he was experiencing some sort of emotional crisis, which Dr. McKinstry thought was best to deal with in a face to face session. Three days later they met. It would appear to have been very odd circumstances for Dr. McKinstry to suggest that Mr. Chancey discontinue his lithium.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But why would Mr. Chancey go off lithium unless it was under his doctor's direction? Although it would appear logical that Dr. McKinstry would make a note if he suggested that Mr. Chancey go off his lithium, one can equally ask why Mr. Chancey would go off his lithium, which he had long considered his lifeline, unless he was told to by his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This is a piece of circumstantial evidence that supports the plaintiff's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is however some suggestion in the evidence that Mr. Chancey was not always compliant with his physician's directions over the use of medication. Mr. Chancey had been non-compliant on occasions in the past with his medications. It was suggested by Dr. Termanson and Dr. Remick that when patients feel that lithium is not working they go off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can only conclude that Mr. Chancey decided on December 20, 1993, to cease lithium of his own accord. Mr. Chancey says that Dr. McKinstry said that he could go off lithium and perhaps should take up weight training. Mr. Chancey did not take up weight training and there was no explanation about how weight training might provide an adequate substitute for lithium or why Mr. Chancey did not pursue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Upon consideration of the whole of the evidence, for the reasons that I have set out, I find as a fact that Dr. McKinstry on December 20, 1993, did not tell the plaintiff that he could or should discontinue lithium.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Dr. McKinstry fail to warn the plaintiff of the risks of stopping lithium?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alternative, the plaintiff makes a broader plea. It is suggested that even if Dr. McKinstry stated that discontinuing lithium was something that Mr. Chancey could try when his life was running smoothly, he negligently failed to warn Mr. Chancey of the risks involved in discontinuing lithium without a substitute mood stabilizer.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will discuss this claim below but first I make the following findings of fact that I think are relevant to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Chancey for many years believed that lithium was the medication that had allowed him to cope and to succeed to the degree he did in real estate. He held the belief that it was the earlier discontinuance of lithium that resulted in his erratic behaviour and drinking. I find as a fact that Dr. McKinstry only raised a preliminary observation at the first meeting when he questioned the diagnosis of a bipolar disorder and when he indicated that they should discuss it later. I also find that Dr. McKinstry advised Mr. Chancey that in the future, when his life was going well, Mr. Chancey might consider a trial off lithium after consulting with his family physician. I find that the question of lithium was not discussed at the further meetings prior to January 10 when Mr. Chancey told Dr. McKinstry that he had stopped lithium, and in particular there was no discussion of it on December 20,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standard of care applicable to a psychiatrist is that of a reasonably competent member of that profession. In Ganger (Guardian ad litem of) v. St. Paul's Hospital </w:t>
      </w:r>
      <w:hyperlink r:id="rId887" w:history="1">
        <w:r>
          <w:rPr>
            <w:rFonts w:ascii="arial" w:eastAsia="arial" w:hAnsi="arial" w:cs="arial"/>
            <w:i/>
            <w:color w:val="0077CC"/>
            <w:sz w:val="20"/>
            <w:u w:val="single"/>
            <w:shd w:val="clear" w:color="auto" w:fill="FFFFFF"/>
            <w:lang w:val="en-US" w:eastAsia="en-US" w:bidi="ar-SA"/>
          </w:rPr>
          <w:t>(1997), 40 B.C.L.R. (3d) 116</w:t>
        </w:r>
      </w:hyperlink>
      <w:r>
        <w:rPr>
          <w:rFonts w:ascii="arial" w:eastAsia="arial" w:hAnsi="arial" w:cs="arial"/>
          <w:color w:val="000000"/>
          <w:sz w:val="20"/>
          <w:lang w:val="en-US" w:eastAsia="en-US" w:bidi="ar-SA"/>
        </w:rPr>
        <w:t xml:space="preserve"> (C.A.), at p. 155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is not perfection. A psychiatrist is required to possess the skill, knowledge and judgment of the average member of his specialty, and to apply those attributes honestly and intelligently to the care of his patient. Like all physicians, he will be held liable only for want of reasonable care and skill.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initial question then is whether the plaintiff has demonstrated that Dr. McKinstry failed to comply with the standard of care expected of a psychiatrist practising in British Columbia in 1993 and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Given the circumstances, if Dr. McKinstry had told or advised the plaintiff to stop taking lithium on December 20, 1993, without prescribing an alternate mood stabilizer, I did not understand it to be disputed that would have breached the duty of reasonable care that Dr. McKinstry owed to his patient. Given my findings of fact that Dr. McKinstry did not give any such advice and that on December 20, 1993, the question of lithium was not discussed between Dr. McKinstry and Mr. Chancey, I must find that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second issue, the alternate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concerns the alleged failure of the defendant to advise the plaintiff of the risks of a rapid cessation of lithium. It also concerns the allegation that Dr. McKinstry questioned the historical diagnosis with incomplete research or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contends that Dr. McKinstry was negligent by inappropriately questioning the diagnosis when he had inadequate information, by failing to warn Mr. Chancey that if he stopped lithium he should have an alternate mood stabilizer, or by failing to warn Mr. Chancey of the risks of stopping lithium.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argues that the defendant did not take enough time with Mr. Chancey before questioning or raising a suspicion about the diagnosis. The plaintiff argues this led to Mr. Chancey stopping taking lithium without first receiving an adequate explanation of the risks attached to the relatively rapid cessation of lithium.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am unable to find that there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McKinstry on this alternate ground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do not find that it was negligent for Dr. McKinstry at the first session to raise his suspicion or say that he had misgivings about whether Mr. Chancey suffered from a manic depressive disorder based on the level of information that he had. I think that this was clearly only a preliminary observation and was known by Mr. Chancey not to be Dr. McKinstry's medical opinion. Moreover the issue of whether to go off lithium was something that Mr. Chancey was told would be discussed later and something he could consider with his family physician at a time when things were going well in Mr. Chancey's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do not think that it was inappropriate for Dr. McKinstry to have raised a question that Mr. Chancey may not suffer from a bipolar disorder. I think that Mr. Chancey would have understood and Dr. McKinstry would have reasonably believed that Mr. Chancey understood that Dr. McKinstry's comment was not medical advice or a diagnosis but was only a very preliminary and tentative question. Mr. Chancey was not and did not present himself to Dr. McKinstry as a delusional person or a person who was not capable of understanding the nature of Dr. McKinstry's preliminary speculation. I find that it was not reasonably foreseeable in light of the November comment that in December 1993 Mr. Chancey would simply discontinue the lithium on his own. Dr. McKinstry made his comment in the context of future consultation: if Mr. Chancey went off his medication it would have to be in consultation with Dr. Hargrave and at a time when Mr. Chancey's life was going smoothly.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Dr. McKinstry was not negligent in raising the possibility of the cessation of lithium without advising the plaintiff of the possible health risks. Dr. McKinstry was certainly not recommending that Mr. Chancey cease it then. When asked why he did not explain the side effects of withdrawal from lithium, Dr. McKinstry said that he did not think that there was a lithium withdrawal syndrome or at least not one that he was aware of. The defendant raises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I find that Dr. McKinstry failed to warn Mr. Chancey of the risks of stopping lithium on a relatively rapid basis as he did. I do not have to resolve the question of whether there is a lithium withdrawal syndrome (as opposed to a relapse into a bipolar condition) when lithium is discontinued. I conclude that there has not been a failure to warn nor did Dr. McKinstry fail to meet the standard required of a reasonably competent psychiatrist. First, there was no reasonable risk that Mr. Chancey would discontinue lithium on his own. Second, to the extent that there were risks to Mr. Chancey in going off lithium, short term or otherwise, I think that the evidence indicates that Mr. Chancey was well aware of the risks of a sudden cessation or the reasonably sudden cessation of lithium. He had always considered that lithium was his lifeline and he blamed disastrous consequences, earlier in his life, on a previous physician's recommendation that he cease taking lithium. Whatever the actual risks of discontinuing lithium I am convinced that in December 1993 Mr. Chancey believed there were serious risks when he stopped and nothing that was said to him by Dr. McKinstry disabused him of that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was no evidence to suggest that Mr. Chancey would have acted differently if he had received some caution about the dangers of going off lithium. In January 1994 he was cautioned by Dr. McKinstry about the wisdom of having stopped lithium and he did not react to that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no clear answer why Mr. Chancey went off lithium. Perhaps he felt that the medication was not effective. He had recently discontinued Paxil because of its side effects. I conclude that it was not because he was told that he could or ought to go off his medication by Dr. McKinstry. I also conclude that it was not because he reasonably believed he was not suffering from a manic depressive disorder because of Dr. McKinstry's comments, nor was it because he was not warned of the risks of going off 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Given these conclusions, the plaintiff's claim must be dismissed. However, in the event that I am wrong in that conclusion I will address the questions of 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leading case on causation is Athey v. Leonati, </w:t>
      </w:r>
      <w:hyperlink r:id="rId6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In that case, the Court established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does not excuse a defendant from liability merely because other causal factors for which he is not responsible also helped produce the harm: Fleming, supra, at p. 200. It is sufficient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must prove on a balance of probabilities either that the defendant caused or contributed to the injury for which compensation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Assuming contrary to my findings that Mr. Chancey's cessation of lithium was caused either by Dr. McKinstry's instruction that Mr. Chancey could or should stop or a failure to adequately warn of the risks of doing so, there remains the question whether the discontinuance of lithium resulted in Mr. Chancey suffering manic episodes in January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contends that his manic depressive illness was controlled with lithium for 20 years and it facilitated his tremendous success over the last 11 years as one of the most successful realtors in the Lower Mainland despite working in a relatively small community. After reducing his lithium in stages as suggested by his wife to 600 milligrams daily and then 300 daily with his last medication taken on January 3, 1994, the plaintiff asserts that the first effects of the lack of lithium were noticed on January 11, 1994, when he began a manic episode. He says that his condition became more manic through January and into February even though he recommenced taking lithium on January 29. The plaintiff's counsel asserts that by March 22 he was still moderately impaired by hypomania and had his dosage increased to 1500 milligrams daily. After two weeks his mood stabilized.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Phillip Long, a psychiatrist, testified and said in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Chancey's lithium therapy should not have been stopped in December 1993. Prior to 1993, his lithium therapy successfully had treated his Bipolar 1 Disorder. Twice in his life, Bob had been told to stop his lithium and on both occasions he immediately relapsed into another Bipolar episode in which "he lost everything". I believe that Bob's last manic episode (Jan.- Mar. 1994) was directly due to his being told to stop his lithium in Dec. 1993. In this regard the alleged assault against his wife was a direct result of his going manic once off his lithium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defendant's counsel says that on a balance of probabilities I should conclude that the plaintiff's behaviour in January 1994 was not caused by the discontinuance of lithium. Mr. Pilley says that I should reject that opinion of Dr. Long because it is simply too unequivocal in dealing with a complex area such as the relatively short term effects of lithium withdrawal and because no weight was given to the role of alcohol in Mr. Chancey's January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 says that the opinion evidence as a whole does not support the plaintiff's theory on causation, and that his behaviour in January through March was not really compatible with mania but was more consistent with substance abuse as a result of Mr. Chancey's return to drinking on January 10 or 11. The defendant says that the expert evidence discloses that it is highly unlikely that Mr. Chancey would have a relapse over such a short period of time from his last lithium tablet and that common sense suggests that his behaviour from January 1l forward is little different from his behaviour in November and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do not find the plaintiff's expert evidence on causation particularly persuasive. I think that the plaintiff's expert initially prepared a relatively brief medical opinion essentially for criminal and custody purposes in order to attempt to explain, in that context, the plaintiff's behaviour. Because he was told that the plaintiff's drinking had stopped, I do not think that Dr. Long gave sufficient weight to the possibility that Mr. Chancey's alcohol problem caused or significantly contributed to the plaintiff's behaviour in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Although the issue is complex I think that the complexity of the question of a relapse from lithium withdrawal was more closely and carefully addressed in the reports and evidence of the defendant's experts. Dr. Sutter, who was trained in pharmacology and medicine, opined that it was highly unlikely that any consequences of the cessation of lithium would occur within 6 weeks although he agreed that the rate of clearance of lithium varies depending on a number of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Termansen, a psychiatrist, gave the opinion that the events could not be attributed to the cessation of lithium alone. He said that one does not expect that the effects of the discontinuance of lithium would be so rapid unless the patient was already in a state of hypomania before he discontinued lithium. In his view it was highly likely that other factors such as alcohol, possibly drug abuse and interpersonal stress factors contributed more to the changes in Mr. Chancey's life than the decrease and subsequent discontinuation of lithium. His overall opinion was that Mr. Chancey's behaviour after December 20, 1993, was at least as likely to be related to alcohol abuse as it was to the cessation of lithium.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 also called Dr. Remick, a psychiatrist. His general view was that the plaintiff had a mood disorder but that he was not suffering from a bipolar illness. It was put to him on cross-examination that Dr. Termansen thought that Mr. Chancey was suffering from a bipolar disorder but Dr. Remick disagreed with that diagnosis. His opinion was that the behaviour in 1993-1994 and later into 1996 was more consistent with polysubstance abuse than a bipolar disorder. In his opinion Mr. Chancey suffers generally from polysubstance abuse, suffered from a major depressive disorder in September 1993, but there was no conclusive evidence of a bipolar disorder and the symptoms disclosed by Mr. Chancey's behaviour in February were not conclusive of mania or hypomania. I recognize that Dr. Remick did not see Mr. Chancey at the material time but I think his opinion as to whether Mr. Chancey was experiencing a manic phase of a bipolar disorder is an opinion that he is able to make on the material he reviewed. In my view it is entitled to some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This issue of causation has a number of elements. It includes whether it was likely that the withdrawal of lithium over the relatively short term could trigger or contribute to a manic episode and it includes the question of whether the behaviour of Mr. Chancey in January really was a manic episode or something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called several witnesses to describe the plaintiff's behaviour in January 1994 after he had stopped taking lithium. Dr. Gorrell described Mr. Chancey's behaviour as unusual, half-agitated, half-depressed - like a roller coaster. Trevor Elliott described the plaintiff when he was separated and living in a motel as out of character and erratic. His lawyer, Mr. Ottho, described him in January as aggressive and disassociated. Bill Rogers was worried about the plaintiff between Christmas and January and said that on the phone he sounded drunk and seemed to go from being happy to going off the deep end. Stanley Reynolds called him on January 28 and thought the plaintiff was distressed and very emotional but did not know that the plaintiff had been served with divorce papers earlier in the day. Peter Chancey, his brother, visited him in January at the motel where he was staying and thought that he was in a dangerous state, not in touch with reality, rambling, with wild grandiose thoughts. Robert Dymont, a businessman, said that he received strange and bizarre calls after Christmas 1993 from the plaintiff that the plaintiff was being bugged by the CIA. He put a stop to the calls but could not tell if Mr. Chancey was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Although the plaintiff called this and other evidence of his behaviour in January 1994 as uninhibited, out of character, very emotional and irrational, there is also substantial evidence that indicates that he was not having a manic or hypomanic episode during that period. I refer, for example, to the evidence of Dr. McKinstry who did not see any signs of manic behaviour on January 17 or 24, 1994. I also refer to the evidence of Dr. Fullegar, a psychiatrist, who saw the plaintiff on March 14 and 19 at which time Mr. Chancey did not complain of an elevated or irritated mood. Dr. Hargrave's notes of his meetings with the plaintiff on January 20 and 27, 1994, do not reveal manic behaviour on those occasions although his note of January 29 says, "now hypomanic, was in emergency twice in the last 12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One of the essential features of mania according to the evidence of Dr. Remick is that a patient must have a persistent elevated or irritable mood lasting for at least one week and usually longer. The evidence as a whole does not show that on a balance of probabilities. During this period Mr. Chancey was depressed and also on occasion could be described as sad or subdued. The behaviour that he suffered from on the evidence was at least as consistent with substance abuse and suffering from personal stressors, such as facing criminal charges and coping with a divorce, as it was from the onset of the manic phase of a manic-depressive or bipolar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conclude that if I am wrong on the issue of liability I would conclude that, apart from the issue of whether or not Mr. Chancey suffers from a bipolar disorder, it has not been proven on a balance of probabilities that the plaintiff's behaviour in January 1994 was mania or that it was caused by or contributed to by the cessation of lithium. I think that on the whole of the evidence, this behaviour was not significantly different from his behaviour in November and December, and was more likely caused by other factors such as substance abuse, his personality and the effect of obvious stresses in his life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Finally I turn to the issue of damages, in the event I am wrong and the defendant is liable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question is: if the plaintiff's behaviour in January and thereafter in 1994 was caused or contributed to by the plaintiff's cessation of lithium and assuming that occurred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what damages has the plaintiff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says that he has suffered a loss of income from the sale of real estate by the stigma that he has suffered in the community in which he was a successful realtor. The theory is that the loss of income arises from the fact that the stigma in the community, as a result of his behaviour, has affected his income earning ability. The plaintiff argues that assuming an average income of $177,000 in 1993 (based on an average of earlier years), the stigma would dissipate at a rate of 20 per cent per year over 5 years and that this represents a total loss of income of $731,000. The plaintiff also seeks non-pecuniary damages, which his counsel says should be in the approximate sum of $120,000, and special damages of $11,000, which are Mr. Ottho's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defendant argues that if the court concludes that the defendant was negligent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the claim for loss of income should be limited to a discreet period of about six months in 1994. The plaintiff also argues that there should not be an award for loss of reputation, loss of future income or loss of opportunity. The defendant's theory is that the plaintiff, apart from any issue of lithium withdrawal, was off work in any event with depression in 1993. The defendant argues that he would not have returned to work until the middle of 1994 in any event given that he was not working at the beginning of the year. Since he actually returned to work in January 1995, the time that he missed work due to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about one-half of a year or a loss of $75,000 based on Mr. Chancey's income of $149,162.05 in 1992. The income of Mrs. Chancey, the defendant argues, should not be taken into account as she earned it by her services and the arrangement did not constitute income splitting.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 argues that the plaintiff should not be compensated for a loss of reputation or loss of earning capacity. The most telling evidence that the plaintiff did not suffer for any length of time from a stigma, according to the defendant, was the fact that Mr. Chancey's 1995 sales put him in the top 1% of all realtors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 argues that any intervening events past 1995 cannot be attributed to the fault of the defendant. In 1996 there were significant setbacks for the plaintiff including drug use, the death of his father and a close friend, and some health problems. I do not find it necessary to review all of that except to say that if there was liability I am unable to find that damages for loss of income past the beginning of 1995 could be visited 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What remains to be determined is the period of time the plaintiff could be said to have missed work due to the cessation of lithium. I think that it is correct that in 1993 (from September) the plaintiff was not working and as of January 1994 was still likely several months from re-establishing himself in the real estate business. Mr. Chancey was back selling real estate when he joined Royal Lepage in January 1995. I think that the defendant's analysis of this issue is fairly reasonable. The plaintiff was not working at the end of 1993 and had no apparent plans to return to work. He had turned in his licence in a dispute over a franchise office in Ladner. If he had remained on lithium it is likely that he would not have returned to sell real estate until some time in the spring, say about April or May, after he had located another office in which to work. I think that the loss of income award would properly be two-thirds of the average annual income generated by Mr. Chancey of about $177,000 which amounts to $120,000. The evidence does not indicate that there has been any other loss of income beyond that period and the evidence does not support the plaintiff's theory that his behaviour in January became widely known and would have impacted on his ability to sell real estate. By 1995 he was in the Medallion Club, a designation that indicates that he was in the top 10% of all realtors in Greater Vancouver. In fact he was in the top 1% of all realtors in Greater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Had I found liability I would have allowed an award of general damages with respect to the period from January 4, when Dr. Long says that Mr. Chancey's mood changed from depression to mania, to January 1995 when he was reportedly ready to return to work. According to Dr. Long the plaintiff's mood stabilized in April 1994. If I had found liability I would have awarded general damages of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claims special damages in the amount of the legal cost incurred by Mr. Chancey for Mr. Ottho's services. That account I understand is $11,000. Although there is no breakdown of that account I think that some of the legal services related to Mr. Chancey's behaviour in January and I would have awarded fifty per cent of the account as special damages if I had found that the defendant was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plaintiff's claim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C.P.M. (Guardian ad litem of) v. Martin, [2004] B.C.J. No. 2500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Boyd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9, 11, 13, 16 - 19, 23 - 24,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C993467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2500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1576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 C.C.L.T. (3d) 273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159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CarswellBC 2826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B.C.T.C. 1576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C.P.M. by her Guardian ad Litem, K.M. and the said K.M., plaintiffs, and Dr. Edward Alan Quinn, Dr. Thomas Reynolds Martin, Dr. Alain Gagnon, Dr. Deborah Holland Gilmer, Dr. Anne Alexander Antrim, Dr. Kenneth Warren Anquist, Dr. Martin Thomas Dodds, Dr. Thomas Montgomery Hopkins, British Columbia's Children Hospital, British Columbia's Women's Hospital and Health Centre Society, Chilliwack General Hospital Society and Matsqui-Sumas-Abbotsford General Hospital Society,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5"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3" w:name="Keywords_36"/>
      <w:bookmarkEnd w:id="243"/>
      <w:r>
        <w:rPr>
          <w:rFonts w:ascii="arial" w:eastAsia="arial" w:hAnsi="arial" w:cs="arial"/>
          <w:b/>
          <w:color w:val="000000"/>
          <w:sz w:val="20"/>
          <w:lang w:val="en-US" w:eastAsia="en-US" w:bidi="ar-SA"/>
        </w:rPr>
        <w:t xml:space="preserve">Health law — Health care professionals — Failure to diagnose — Standard of care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Professional responsibility — Professions — Health care — Doctors.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4" w:name="Case Summary_33"/>
            <w:bookmarkEnd w:id="2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CPM through her guardian ad litem KM, and plaintiff KM on her own behalf, seeking damages for injuries sustained by them as a result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physician, Dr. Martin, in failing to diagnose KM's genital herpes and in thus failing to warn her of the possibility that CPM might contract neonatal herpes in the course of a vaginal delivery. They alleged that CPM contracted neonatal herpes during a vaginal delivery and that following her birth, various doctors failed to properly diagnose her condition and treat her in a timely manner. The parties agreed that the trial would only address the issue of alleged liability of Martin. The issue of other doctors'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to be tried at a later date.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5" w:name="Holdings of Court_29"/>
            <w:bookmarkEnd w:id="245"/>
            <w:r>
              <w:rPr>
                <w:rFonts w:ascii="arial" w:eastAsia="arial" w:hAnsi="arial" w:cs="arial"/>
                <w:color w:val="000000"/>
                <w:sz w:val="20"/>
                <w:lang w:val="en-US" w:eastAsia="en-US" w:bidi="ar-SA"/>
              </w:rPr>
              <w:t>HELD: Action of CPM dismissed; action of KM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 respect to the standard of care, the court inferred that Martin, as a specialist in obstetrics and gynaecology and one involved in the publication of guidelines and teaching, could be expected to be on the leading edge of current medical information. The court also found that the defendant physician's evidence was unsatisfactory and internally inconsistent. It was satisfied, based on KM's expert witness' testimony, that she had displayed symptoms of genital herpes outbreaks during the course of her gynaecological and pre-natal obstetrical visits. Martin negligently diagnosed those outbreaks as yeast and/or staph infections alone. The court was satisfied that, even in the absence of genital herpes lesions at the time of delivery, if there had been a proper earlier diagnosis and a careful review of her history the staff at the defendant hospital would have recommended a caesarian section. On the evidence, the court was unable to determine when CPM acquired the herpes virus.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6" w:name="Counsel_37"/>
      <w:bookmarkEnd w:id="2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6"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K.E. Ducey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Quinn: J.M. Lepp and M. Lindsay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7" w:name="Judgment_37"/>
      <w:bookmarkEnd w:id="247"/>
      <w:r>
        <w:pict>
          <v:line id="_x0000_s1207" style="position:absolute;z-index:2517995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8" w:name="BOYD J."/>
            <w:bookmarkEnd w:id="248"/>
            <w:r>
              <w:rPr>
                <w:rFonts w:ascii="arial" w:eastAsia="arial" w:hAnsi="arial" w:cs="arial"/>
                <w:b/>
                <w:color w:val="000000"/>
                <w:sz w:val="30"/>
                <w:lang w:val="en-US" w:eastAsia="en-US" w:bidi="ar-SA"/>
              </w:rPr>
              <w:t>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K.M. claims damages on her own behalf and on behalf of the Infant plaintiff, C.P.M, as a result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Dr. Martin, in failing to diagnose the adult plaintiff's condition of genital herpes and in thus failing to warn her of the possibility the infant plaintiff might contract neonatal herpes in the course of a vaginal delivery. The plaintiffs allege that the infant contracted neonatal herpes in the course of a vaginal delivery and further that following her birth, various doctors failed to properly diagnose her condition and treat her in a timely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By agreement of the parties, this trial involves the narrow issue of the alleged liability of Dr. Martin, the plaintiff's treating obstetrician and gynaecologist, who was responsible for K.M.'s care and treatment prior to and during her pregnancy until the time of her transfer to Vancouver Women's Hospital. The issue of other doctors'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be tried at a latter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K.M. is 48 years of age. She has been married 20 years and has four children, age 18, 14 and the twins aged 9 (including in the infant plaintiff CPM). She operates a day care centre from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Dating back to the early 1980's, K.M. experienced chronic infections and irritations of the genital area. The episodes usually began a week prior to her menstrual period and often followed the same general pattern, on average lasting a total of 10 days. Initially she would experience a general itching of the internal and external labia. Pimple-like lesions appeared in the area associated with an intense itching sensation. On other occasions, small fissures, much like small paper cuts, also appeared in the area. She suffered extreme burning and itching to the point she could not resist vigorously scratching the area. The itching resulted in an opening up of the pimples or fissures and the development of open sores or ulcers which sometimes bled. She suffered intense pain and burning on urination. Sometimes there was some vaginal discharge. K.M.'s family doctor in Vancouver treated the condition as a "recurrent vaginitis".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November 1990, while she lived in Vancouver, K.M. became aware of a painful "sore" on her buttock. She has little recollection of the incident except that her family doctor diagnosed the sore as genital herpes and told her that no treatment was available. At that time, she found the apparent lack of any available treatment confusing since, contrary to her doctor's advice, a girlfriend with herpes was being treated with some form of cream. In any case, she did not pursue the matter further, the sore disappeared and there was never any recurrence of such a sore on the buttock.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late 1991 or early 1992 the plaintiff and her family moved to Chilliwack, British Columbia and she arranged for the transfer of the family's care to Dr. Edward Alan Quinn, a general practitioner in Chilliwack. She visited Dr. Quinn for the first time in February 1992 at which time she reviewed her medical history with him. Although she presented with no symptoms at that time, she told him of her longstanding history of genital infections. She also told Dr. Quinn that her previous family doctor had told her she had genital herpes. At this point, she was unable to tell Dr. Quinn where the lesion had been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this visit, Dr. Quinn's office sent a form to K.M.'s previous doctor, requesting that he forward her medical records to him. Dr. Horner's office never complied with the request and it was apparently never followed up by Dr. Quinn's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K.M. first complained to Dr. Quinn of vaginal symptoms on March 4, 1993. Once again K. M. told Dr. Quinn of her long standing history of chronic itching and burning of the genital area which had occurred over a number of years but seemed to be getting worse. Dr. Quinn noted: "Some question as to whether she has had herpes genitalia in the past." While Dr. Quinn was not certain whether the previous diagnosis was specifically raised that day, I accept K.M.'s evidence that she once again raised the matter of her previous family physician's diagnosis of genital herpes. She asked Dr. Quinn whether that previous diagnosis might possibly be related to her current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Quinn performed a vaginal examination, which included a visual examination of the external genitalia and perineum, followed by an examination, using a gloved hand, of the internal labia, the introitus (the opening of the vagina) and the vagina itself. His examination showed that the vulva and vaginal opening were somewhat red and inflamed. He noted a small fissure on the clitoris and what he thought was the typical discharge associated with a yeast infection. He saw no evidence of herpetic lesions-that is no vesicles or blisters. He took a culture from inside the vaginal wall. The culture revealed a moderate amount of candida, a typical yeast fungal growth. Based on his examination and the results of the culture, Dr. Quinn diagnosed K.M. as suffering a yeast infection and prescribed a six day course of Canesten, an antifungal cream.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July 28, 1993, K.M. telephoned Dr. Quinn's offices complaining of another bout of vaginal itching and burning. She had recently been prescribed antibiotics in connection with another condition, and not surprisingly, in Dr. Quinn's view, she had developed a yeast vaginitis, as do many patients in such circumstances. He prescribed another antifungal cream, Monistat by way of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prescription was repeated on October 14, 1993, again for recurrent yeast vaginitis.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November 26, 1993, she reattended Dr. Quinn's offices, again complaining of itching and burning in the vaginal area, despite her regular use of the antifungal cream which had been prescribed. She noted that the symptoms seemed to come monthly and to precede her menstrual period. He performed a visual examination of the external vaginal area and the internal labia and introitus. He noted erythema (redness) and excoriation, that is a breakdown of the skin surface in the whole vulva area. He saw no herpetic lesions. He took a culture which again revealed heavy growth of candida. He diagnosed the matter as "vaginitis" and prescribed the same antifungal cream and provided a repeat prescription, in the event the first 6-7 day course of treatment did not clear up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December 29, 1993, she once again returned to Dr. Quinn complaining of the same symptoms. At this point, K.M. was clearly frustrated with the chronic nature of her condition and the seeming unavailability of any effective treatment. While Dr. Quinn could not specifically recall the discussion, he has noted: "Chronic problem for four years. Was told at 1 stage she has herpes" Dr. Quinn could not recall whether the specific discussion of the previous diagnosis was raised at this visit or whether he was referencing the earlier discussion in March 1993. Nevertheless Dr. Quinn confirmed that both he and the patient were frustrated with the situation and searching for some explanation of her chronic symptoms. He suggested and K.M. agreed she should be referred to Dr. Martin, a local obstetrician and gynaecologist, for a second opinion and an investigation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Rather than dictate a letter of referral, Dr. Quinn completed a standard form referral sheet that same day in which he noted in handwriting under the heading Reason for Referral: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yr. Hx Recurrent Vaginitis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Told by one physician in Vancouver that she has Herpes - I have not seen evidence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trial, Dr. Quinn testified that the type of herpes he was referring to in his note was genital herpes. He conceded that any other type of herpes would have been irrelevant in so far as a referral to a gynaecologist was concerned. At the time he wrote the note, he understood that K.M. had suffered a history of recurrent vaginitis over a four year period and indeed that she had been diagnosed with herpes by a Vancouver physician some 4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cross examination Dr. Quinn insisted that he included the reference to the earlier diagnosis of herpes in his referral note simply "for the sake of completeness" and that he was not thereby attempting to suggest or to request that Dr. Martin consider the possibility K.M. might be suffering from herpes or that herpes could be causing the vaginal symptoms. To the contrary he testified that he was "definitely" not doing so "because it was not in the diagnosis I had entertained", a fact he says he made clear in his follow up statement in the referral note - "I have not seen any evidence of clinical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I accept that Dr. Quinn had not, to that point, seen what he understood to be evidence of herpes, it is completely disingenuous, in my view, that he suggest his referral to Dr. Martin-communicated in but 3-4 lines of text-was directed solely to finding an effective treatment for the recurrent yeast infections and was not directed to an investigation of the underlying cause of her symptoms and the possibility herpes might play some role. He admitted that during that same visit the patient raised the possibility the two conditions (herpes and vaginitis) might be related. He also admitted on cross-examination that in K.M.'s case he "could not dogmatically say he saw no connection". Even at that time, he understood a woman could suffer both a yeast infection and a herpetic outbreak concurrently. On cross examination, he finally conceded he had included the reference to the earlier herpes diagnosis in his referral note in the expectation that Dr. Martin, being an expert in the matter, would consider whether the earlier herpes diagnosis might be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K.M. first saw Dr. Martin on January 10, 1994. At this point, Dr. Martin had an extensive career in Obstetrics and Gynaecology, albeit as a professor and hospital administrator, rather than as a clinician. He graduated from medical school in England in 1959 and then spent four years in family practice in Halifax. This was followed by a five year post graduate training program in obstetrics and gynaecology, three years in Dalhousie, one year at Harvard University in Boston, and one year at the University of Georgia in Augusta, Georgia. From 1969 to 1979, he was an assistant professor in Obstetrics &amp; Gynaecology at Dalhousie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1979 he moved to British Columbia where he worked at St. Paul's Hospital in Vancouver and was the Chair of the Department of Obstetrics and Gynaecology from 1979 to 1988. During this time, he maintained a clinical practice from an office at the hospital. In 1988 he moved to B.C. Women's Hospital (then the Grace Hospital) as the Head of the Division of Maternal Fetal Medicine from 1988 to 1992. He was also the Associate Head of Obstetrics and Gynaecology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1992, he moved to Chilliwack and established a private practice in Obstetrics &amp; Gynaecology, as he put it, contrary to his earlier appointments and for the first time since 1964 (when he last was in private practice in Halifax), he was again "doing front line medicine". He left Chilliwack in 1998 to become the Chair of the Department of Obstetrics and Gynaecology at the Aga Khan University in Karachi, Pakistan.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Of some note is the fact that during the material period, from 1990 to 1998, Dr. Martin was the Medical Director of the B.C. Reproductive Care Program. The program was funded by the Ministry of Health with the object of maximizing the health and minimizing the dangers to pregnant women and minimizing the morbidity and mortality of babies both in utero and in the course of birth. The program was designed to accomplish these objects by establishing guidelines for physicians to follow in the management of pregnant women, including the management of patients who develop herpes during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occasion of K.M.'s first visit to Dr. Martin's offices on January 10, 1994, Dr. Martin spent some time reviewing her medical history with her. Neither K.M. nor Dr. Martin had any memory of their specific discussion. Based on his own notes in his clinical records, Dr. Martin admitted he was aware that approximately four years earlier, K.M. had had a herpes lesion. He insisted however that she had "never had herpes". Dr. Martin insisted that on reviewing Dr. Quinn's referral note, he did not understand that Dr. Quinn was seeking his opinion regarding the possibility that K.M.'s "recurrent vaginitis" might possibly be related to the previous diagnosis of herpes. He said he did not perceive the family doctor had any concern of a possible connection between K.M.'s previous herpes diagnosis and her recurrent vaginitis. He admitted that he made no effort to contact Dr. Quinn to discuss the matter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Notwithstanding K.M.'s advice of this previous diagnosis, Dr. Martin considered it irrelevant to discuss her sexual history. He considered such a discussion both embarrassing and inappropriate in the case of a mature woman who had been married for some period and who he presumed to be monogamous. In his view, a monogamous woman was not likely to have herpes and accordingly, there was little point raising an issue which he believed would have a "negative" effect on his relationship with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he would not have touched on her prior sexual history, he said he would specifically have asked K.M. whether she had had herpes on the vulva or perineum. While he has no recollection of the discussion and there is no note in his record, he is satisfied she told him she had not. Had she reported a history of a herpes lesion on the vulva or perineum, Dr. Martin is certain he would have discussed the matter further with her, and in particular, would have told her about the implications of the herpes virus in the event she became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trial, Dr. Martin left open the possibility that regardless of K.M. not reporting any history of a herpes lesion on the vulva or perineum, he may have nevertheless warned her of the implications of herpes during pregnancy. He said that since K.M. was under 45 years of age and thus still able, in his view, to have more children, he may have raised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K.M. denied the suggestion that Dr. Martin discussed the implications of herpes during pregnancy. She impressed me as an intelligent, intellectually curious individual. The records indicate a history of a woman who sought out medical treatment and advice without hesitation and often engaged in long discussions of her medical condition with her physicians. Based on her evidence and the very obvious concerns she had at that time of the possible relevance of the earlier herpes diagnosis, I am satisfied that no such discussion relating to the implications of the herpes virus occurred on the occasion of that visit or any other visit with Dr.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During the course of that first visit, Dr. Martin examined K.M. While he had no independent recollection of the visit, he testified that based on his note, he can say that on the examination of the vaginal area, including both a visual examination and a digital examination, he noted fine cracks beside the clitoris and also noted a slightly sodden appearance to the introitus-symptoms he considered consistent with a vaginal fungal infection. He took both a vaginal culture and a pap smear for laboratory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testified that following his examination on January 10, 1994, there were several different conditions included in his differential diagnosis: monilia vaginitis, vulvitis, herpes, yeast, trichonis and bacteriosis. Although rarer, he said he might also consider the possibility of tuberculosis of the vagina (not a common problem in the Western hemisphere) and finally the possibility of a vulvar tumour. Based on his examination, he testified that his "working diagnosis", pending the delivery of the laboratory report, was that the patient was suffering a fungal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Based on this working diagnosis, he prescribed Diflucan (an expensive anti-yeast oral medication which was relatively new to the market in 1994) twice a day for five days and then one per day for six months. He told K.M. to also continue to apply Monistat cream to her vaginal area. Since the infection might also be carried by the husband, he suggested her husband also apply the Monistat cream to his penis for a few days to avoid the common "ping pong" effect of passing the infection back and forth between husband and wife. He advised K.M. to keep the perineal area dry by using talcum powder and even a hair dryer following bathing, and then wearing light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Pap smear taken at that time was negative for abnormal cells (ie. cancer) but did confirm the presence of monilia (yeast). A culture taken that day also showed the presence of yeast 3+ (ie. A moderate yeast infection) and staph 2+ (meaning a moderate staph infection). In Dr. Martin's view, the staph infection was not an uncommon finding. While the laboratory culture report confirmed his diagnosis, Dr. Martin insisted that even following the receipt of that report, herpes remained on his differential diagnosis list. Somewhat contradictorily however, he also insisted that herpes "was never a reasonable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K.M. returned to Dr. Martin's office on March 14, 1994. While she had "done well" (according to Dr. Martin's note) on Diflucan and Monistat during January, a flare-up of her symptoms occurred the previous week (March 11th), resulting in "bleeding and cracks" of the vulva area. Dr. Martin assumes he conducted a vaginal examination during that visit. Since the previous culture had noted the presence of a staph infection, he recommended she use Phisohex (an antibacterial cleanser) on the vulvar area to counteract the staph infection. He recommended that both K.M. and her husband used Diflucan every day for five days and then once monthly for six months. In his consultation report of that date, Dr. Martin notes K.M. to be suffering "fairly acute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a return visit on March 28, 1994, he found that K.M. seemed to be much better using both Diflucan and Phisodex, and now recommended that both K.M. and her husband use Diflucan (one tablet per month) and return to Dr. Quinn's office in one month's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Despite the initial seeming resolution of the symptoms while using both Diflucan and Phisodex, K.M.'s vaginal symptoms persisted and she once again complained to her family doctor, Dr. Quinn in mid June. He noted that her main concern was her "recurrent yeast vaginitis" despite the medication. Once again Dr. Quinn referred K.M. back to Dr. Martin in July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Dr. Martin could not specifically recall performing a vaginal examination during the visit of July 14, 1994, he testified that having recorded "she has been having recurrent pustules" and having prescribed Cloxicillin (an oral antibiotic), he must have conducted a vaginal examination. He testified that he would not have prescribed oral antibiotics unless he had in fact seen the pustules complained of. He believes the pustules must have been characteristic of those pustules associated with a staph infection. He said such pustules are 2-3 mm. golden yellow lesions which can be cultured. He said that such pustules are different from herpetic lesions which are smaller vesicles which contain straw coloured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Convinced that the yeast infections appeared to be triggered by the onset of her periods and were thus likely related to the estrogen level, which typically peaks just before the onset of the menstrual period, Dr. Martin decided to manipulate K.M.'s periods by prescribing birth control pills. Thus on July 14, 1994, he prescribed both oral antibiotics as well as birth control 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consultation report of August 23, 1994, he noted that her symptoms had improved and that during the days she was on the Orthocept birth control pills she was symptom free. During the time she was off the birth control pill she suffered some symptoms and then used some Terazol antifungal cream. He recommended she continue with both the Orthocept and Terazol (as required) for the next two months at which point he would reassess her condition. He also recommended she keep the vaginal area as dry as possible, by avoiding wearing jeans, using talcum powder and even possibly going without underwear whenever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Through the period which followed K.M. complained of headaches, nausea and the loss of libido, with the result she discontinued the use of the birth control pill on September 21, 1994 and her symptoms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October 11, 1994 she visited Dr. Martin complaining of a recurrence of the symptoms. Dr. Martin admitted that he incorrectly recorded in his Consultation report of October 11th, that "After two month of treatment, rather surprisingly, her vaginal symptomatology completely cleared and she was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fact, her symptoms had recurred in every month since July, when she had discontinued the birth control pills. On October 11th she complained she "again had recurrence of vaginal lesions". He insisted the lesions referred to must have been the same staph lesions he had seen earlier in July yet (there is no fulsome) description of the lesions in his record. This time Dr. Martin prescribed a different birth control pill (Min-Ovral) and again directed she return for reassessment in six weeks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November 1, 1994, K.M. returned to Dr. Martin. He noted that on Min-Ovral she was no longer suffering headaches and loss of libido and that while her vaginal symptoms were "much improved", she continued to suffer "some slight irritation in (vaginal) symptoms". (The date of the visit is incorrectly recorded as October 31st in the handwritten notes.) He performed a vaginal examination and took a culture from the vagina. He recommended she use Diflucan 100 mg one day per month for the next three months. The culture was eventually returned showing 2+ yeast.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the heels of this lab result, Dr. Martin contacted K.M. by telephone on November 7, 1994 to ensure that she would continue to take Diflucan once per month for the following six months. In addition he gave her a prescription for Terazol, an antifungal cream, to be used in the vagina. She was also experiencing some troubles with the Min-Ovral so he changed her birth control pill to Triphasil. That same day he wrote to Dr. Quinn noting the developments and concluded "Undoubtedly you or I will be seeing her in future and if I happen to see her, I will correspond with you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satisfied that by the date of this last communication with K.M. on November 7, 1994, Dr. Martin had essentially exhausted his repertoire of anti-fungal treatment options and was discharging her from his care. He testified that there are three categories of patients who suffer yeast infections. The patients in the first and most common category respond to antifungal medication and are symptom free for many months. The second category includes that small percentage of woman who do not have symptoms of yeast, but who will test positive on a culture. The third category includes the very small percentage of women who suffer chronic recurrent yeast infections. In the latter case, the fungus responds to various treatments but then learns to mutate and become resistant to the medication. He explained that this was why there were as many as 24 different drugs available to treat fungal infections. In such women, the symptoms usually only disappear when they reach menopause.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Since K.M.'s symptoms appeared to be related to her periods and did not respond completely to any anti-fungal agent, Dr. Martin concluded K.M. fell into this third category of very resistant patients. He admitted that hers was a "very unusual" case. In effect, he testified that while her symptoms might be alleviated, no cure was available or would be achieved prior to her reaching menopause.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am not persuaded, as Dr. Martin insisted on his cross-examination, that herpes remained on his differential diagnosis list throughout his treatment of K.M. Although Dr. Martin was well aware of the 24-48 hour window in which herpetic lesions or vesicles will be present at the outset of a herpes outbreak, he never counselled nor educated K.M. about this information. Nor did he ever instruct her to take steps to immediately attend in his or any other clinic so as to ensure a culture of the lesion was taken at the most optimal time. Indeed at no point was any culture of any lesion taken or attempted. Nor did Dr. Martin consider referring K.M. to another physician or clinic, specializing in herpes or other sexually transmitted diseases. His failure to consider consulting with any other professional sprang from his own inflated view of the breadth of his expertise. As he put it, "there are not many people more expert than me". He described himself as an "expert in the diagnosis of vulva-vaginal diseases".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March 1995, the plaintiff learned that she was pregnant. The pregnancy was not planned and conception presumably occurred at some point while K.M. was switching between the various brands of birth control pills. Since she was then 40 years of age and had two older children, she initially considered a termination of the pregnancy until a sonogram confirmed the presence of twins. At that point, she firmly set aside any consideration of terminating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When Dr. Dodds, a doctor in Dr. Quinn's office, initiated her pre-natal care by filling in her Antenatal Record, she denied any history of sexually transmitted diseases since she was convinced she had never suffered any such disease, including genital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a matter of course, by virtue of the fact K.M. was carrying twins, Dr. Quinn referred her to Dr. Martin for follow up care and consultation during the pregnancy. Nevertheless, throughout the pregnancy, K.M.'s prenatal care was divided between Dr. Quinn's and Dr. Martin's offices where K.M visited alternately, approximately every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Her first visit to Dr. Martin's office was on April 27, 1995. There was no specific discussion of herpes on that occasion. On reviewing the Antenatal record, Dr. Martin was not concerned that the record indicated K.M. had no history of sexually transmitted disease. Given the vague history which had been reported to him previously about herpes and also given the fact he had never seen what he considered evidence of a herpes infection, he was comfortable with the manner in which the Antenatal record had been completed. While he was aware K.M. had previously been diagnosed with herpes, so far as he was concerned, a herpetic lesion, other than in the vulvar area, was not to be reported as a sexually transmitted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focus of the discussion between K.M. and Dr. Martin concerned the means by which the babies would eventually be delivered. Since her second delivery had been a very aggressive (vaginal) forceps delivery which had left her vaginal and perineal area torn and requiring considerable stitches for closure, K.M. was understandably concerned and unenthusiastic at the prospect of another vaginal delivery. Nevertheless she understood that any final decision would be deferred to a later date. She said that she remained open to considering the possibility of delivering the twins vaginally, given the expectation they would likely be born prematurely and therefore would be smaller than her two previous babies.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Quinn testified that during the pregnancy K.M. did indeed present with continuing flare-ups of the yeast infection or vaginitis. He examined her on May 9, 1995 when she complained of itching and a vaginal discharge. His examination revealed a mildly inflamed vaginal opening and some greenish yellowish discharge. The culture revealed a bacterial vaginosis as well as yeast. He prescribed a 6 day course of Canesten. A later examination on May 23, 1995 revealed a curdled vaginal discharge which Dr. Quinn again found consistent with a yeast infection and again he prescribed Canesten.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However, when Dr. Martin saw the patient on June 8, 1995, he says he saw no evidence of any yeast infection nor any evidence of herpetic lesions. He acknowledged that on June 8, 1995 he learned that she was using Canesten. He thought Dr. Quinn had diagnosed her with a yeast infection in May and had prescribed the drug to be used prophylactically. On June 26, 1995, he saw K.M. again but saw no symptoms of any yeast infection. The culture however returned positive for yeast and accordingly, a further course of Canesten was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She telephoned Dr. Quinn on July 24th, complaining of a "persistent yeast vaginitis" and was advised to continue to use the Canesten vaginal cream.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her next visit to Dr. Martin's office on August 10th, he conducted a digital vaginal examination but again saw no signs of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K.M. testified that throughout the pregnancy, she continued to suffer what she understood to be yeast infections more or less constantly, with symptoms which were sufficiently severe that she regularly requested treatment. I accept K.M.'s evidence that being concerned in any case about using any medication while pregnant, she only used the Canesten to treat symptoms and did not use it prophylactically as Dr. Martin suggested. I am satisfied that throughout most of the pregnancy K.M. did indeed suffer what she understood to be repeated yeast infections, displaying much the same symptomalogy as she had throughout. However it is clear that from time to time, during her pregnancy, while attending in Dr. Martin's and Dr. Quinn's offices, there were a number of occasions when no signs of any vaginal infection were detected by either doctor, despite a thorough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any case, it is undisputed that at no time during the pregnancy was there ever any discussion between K.M. and either doctor of the possibility of her suffering herpes. Nor was there any discussion concerning the need for any testing for herpes. Both doctors were adamant in their evidence that they never saw any evidence of any herpetic lesions and that accordingly, there was never any occasion on which a culture of a lesion could or would have been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During her last office visit with Dr. Martin on August 10, 1995, he noted that her cervix was thinning and being concerned she might be exhibiting signs of pre-term labour, he admitted her to the Chilliwack General Hospital that same day. Dr. Martin conducted a vaginal examination on August 11th and two digital examinations on August 13th, 1995. On neither occasion did he note the presence of any herpetic lesion. The August 11th examination was conducted with a speculum and a vaginal culture was taken. While Dr. Martin could not see any signs of a yeast infection, the results of the culture revealed "scant yeast". Similarly during the two further examination performed on August 13th, Dr. Martin saw no signs of any yeast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Given her high risk status, K.M. was transferred to BCWH on August 13, 1995 where the responsibility for her obstetrical care was assumed by the medical team there, with no further involvement by Dr. Martin or Dr. Quinn.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her admission to BCWH, K.M. advised an attending resident doctor that she had no history of sexually transmitted diseases, including herpes, having been convinced by Dr. Martin that she did not have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admission, a vaginal swab showed +1 Candida Albicans. On August 14th she was treated with the antibiotic Amoxil. Four days later, on August 18, 1995, she complained to Dr. Gagnon, a resident fellow in perinatology, of itchiness of the vulva. She told him of her history of vaginal irritation. While his vaginal examination conducted on August 18th apparently revealed no signs of a yeast infection, Dr. Gagnon nevertheless prescribed the Canesten antifungal cream (twice daily for seven days to be applied by the patient herself to the vulva area), knowing of her history of yeast infections, knowing that she had recently started a course of antibiotics which commonly trigger yeast infections, and finally, being aware of the positive yeast culture on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Gagnon discontinued the antibiotics on August 21st. There was a slight decrease in the vulvar itchiness that day and a further decrease in itchiness noted by August 22nd, 1995. Although there is no recording of any further complaints to any physician, based on the evidence of K.M. I accept that she continued to experience symptoms and therefore continued to self-administer the antifungal cream at least up until her transfer back to the Chilliwack General Hospital on August 29, 1995. The transfer was short-lived and that same day she was transferred back to BCWH for continued close monitoring of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While K.M. testified that she had no recollection of ever discontinuing the use of the antifungal cream prior to the twins' delivery on September 5th, I am not persuaded that she in fact continued to use the cream throughout that entire period. Indeed I note that there is no record of any complaint of vaginal symptoms on K.M.'s part between August 30, 1995 and September 5, 1995. I infer that since the original symptoms commenced on August 18th and the usual course of such infections lasted 10 days, her symptoms in all likelihood were resolved by August 29th or 30th. Indeed the last recording of any complaint is in the Chilliwack General Hospital nursing admission note on August 29th which reflects the fact K.M. was continuing to treat herself for a yeast infection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I have noted, on August 30th, K.M. was transferred back to BCWH. Over the next few days prior to the delivery on September 5th, K.M. was examined by three doctors: Dr. Gagnon, Dr. Treisman and Dr. Farquaharson. Dr. Gagnon was a first year resident and clearly the most junior of the physicians involved. Dr. Treisman was the chief resident in obstetrics at BCWH and in his final year of training. Dr. Farquaharson was a fully qualified perinatologist, in charge of the Delivery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September 4, 1995 at 16:30 hrs., Dr. Gagnon noted there was an increase in K.M.'s contractions strength. He examined K.M. and noted she was 3 cm. dilated. He therefore ruptured Twin A's membranes and applied a fetal scalp electrode to Twin A. Once Twin A's membranes were ruptured K.M. was 4-5 cm. dilated and the plan was for her to deliver vaginally. Dr. Gagnon explained to K.M. that since she would be delivering two small babies, he was not concerned that she would again suffer the great degree of tear and blood loss occasioned at the time of the delivery of her second child. He expressed no concerns about her delivering the twins vaginally. It is undisputed that Dr. Gagnon, like all other doctors involved in obstetrical care at that time in Vancouver, was encouraging all patients to attempt to deliver vaginally, including patients like K.M. who had a previous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she had great reservations about such a delivery, K.M admits that she ultimately accepted his advice and decided to proceed with a trial labour, intending to deliver vaginally.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should be noted that while Dr. Gagnon conducted vaginal examinations from time to time, he testified that whether they were digital examinations or ones performed with the aid of a speculum, his examinations involved little visualization of the vaginal area beyond that required to ensure the comfortable entry of the speculum in the vaginal opening. Since he was unaware of K.M.'s previous history of herpes, he testified that he made no effort on any occasion to specifically check for the presence of an active herpes lesion. Rather he performed digital or manual vaginal examinations (using one hand only) in which he focused on the patient's face throughout, and did not specifically visualize the vulva or the vaginal area. He said that had he been aware of the history of herpes, he would have specifically looked for a herpetic lesion, by conducting a complete vaginal examination with the best light available, looking between the labial folds of skin for any signs of herpes and also conducting an internal examination using a speculum.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Very clearly, Dr. Gagnon's approach was not in keeping with the BCWH's standing protocol. Dr. Treisman testified that in keeping with that protocol, on every occasion he conducted a vaginal examination of K.M., both on September 1st and September 5th, he specifically visualized and examined the perineal area, the exterior of the vagina, and the internal vaginal area for any abnormalities, including herpetic lesions or cervical lesions. He denied that his examination of the patient would have been any different, had he been aware of any history of recurrent herpes infections. He noted that in keeping with his standard practice, his vaginal examination of September 1st was conducted during daylight in the ambient light of the antepartum ward and that he also had a hand held light available to him. While he had no specific recollection of his examinations, I accept his evidence that had he noted any abnormality, including lesions, during his examination, it would have been charted. Likewise, I accept his evidence that any presence of herpes or even yeast would have been recorded in the hospital chart and acted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Similarly on September 5th, at 01:45 hours on September 5, 1995, Dr. Treisman conducted his last vaginal examination of K.M. while she was in labour in the Delivery Room. It is significant that this examination was conducted in the Delivery Room under what he described as the overhead "search light". Like his previous examination, he conducted both an internal and external examination of the vaginal area. He assessed the perineum, and looked for any lesions and discharge, including the quality of any amniotic fluid present. During the internal examination, he looked for cervical dilation, as well as the fetal position and descent.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accept Dr. Treisman's evidence that he saw no abnormalities of K.M.'s external genitalia and that had he done so, he would have charted such an observation. I accept his evidence that had he seen anything suspicious at that time, he would have recommended a caesarean section. I accept his testimony that he saw no lesions including any herpetic lesions during that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2:00 hours, shortly after Dr. Treisman's examination, K.M. was then examined by Dr. Farquaharson. I accept his evidence that following his usual practice, he took a history from K.M., inspected the perineum and vulva area with a flashlight lamp held by a nurse, and then using his left hand to open the labia, he then looked would look at the lower part of the vulva. He then put his right hand in the vagina and inspected the vulva. Since he has not charted any comments, Dr. Farquaharson testified that he must not have seen any signs of any infection, or herpetic lesion, or meconium or any other problem at that time. I accept that Dr. Farquaharson made no such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Based on his examination, Dr. Farquaharson decided that K.M. ought to undergo a "gentle trial of forceps" in the operating room and she was transferred there. Since he was the Chief Resident in obstetrics, the plan was for Dr. Treisman to deliver both twins. Thus Dr. Treisman was positioned between K.M.'s legs, with Dr. Gagnon and Dr. Farquaharson standing behind him watching the delivery. At this point, the even brighter lights of the Operation Room table were focused on K.M.'s perineum.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Forceps were applied and Twin A was delivered at 02:47 hours, just over 10 hours following the rupture of that twin's membranes. At this point, Twin B's membranes became accessible and were ruptured at 02:52 hours. While Dr. Treisman was supposed to deliver the second twin, her breech presentation, coupled with the positioning of her arms above her head, made her delivery particularly difficult. Dr. Treisman eventually withdrew and Dr. Gagnon took over, delivering the Twin B (the infant plaintiff) at 02:55 hours, with the assistance of Dr. Treisman. Her delivery occurred three minutes after the rupturing of her membranes.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course of her delivery, Twin B suffered a broken left arm and significant bruising. I should note here that the injuries suffered in the course of the delivery are not material to the issues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September 30, 1995, 25 days following her birth, vesicular lesions were noted on Twin B's chest. A culture eventually revealed the lesions were herpetic lesions and therapy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After the infant plaintiff was diagnosed with herpes, K.M. researched the matter further and learned of the Viradae Clinic in Vancouver, a clinic specializing in the treatment of sexually transmitted diseases, including herpes. At her request, Dr. Quinn ordered a blood test which tested positive for Herpes Simplex with no distinction between HSV-1 or HSV-2. Further, at her request, Dr. Quinn referred K.M. to the Viradae Clinic. Some time passed before the Western Blot test was conducted in January 1998, well over two years following the birth of the infant plaintiff. The test revealed she had both HSV-1 and 2 antibody patterns. She was put on HSV suppressive therapy treatment (acyclovir) and experienced almost immediate relief of her vaginal symptoms, although she has had some recurrent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say that Dr. Martin negligently failed to meet the prevailing standards of medical care in the community by failing to properly diagnose the plaintiff's condition of genital herpes and thus failing to provide K.M. with the appropriate advice regarding genital herpes and the implications of such a disease during pregnancy. The plaintiffs say that notwithstanding his knowledge of her previous history of herpes and her continuing history of chronic vaginitis-like complaints, unresolved by any anti-fungal therapy, Dr. Martin negligently failed to make any effort to determine the underlying cause of her vaginal symptoms but rather held fast to his initial yeast infection diagnosis, not realizing the patient was concurrently suffering recurring herpes outbreaks. As a result the plaintiffs say Dr. Martin made no effort to ever take a herpes culture and thus failed to insist K.M. deliver by way of caesarean section rather than vaginally.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says that while he was aware of K.M.'s previous history of herpes, she had no history of genital herpes and he saw no evidence of genital herpes at any point during his treatment of her. Accordingly, he says that there was nothing which he could have cultured for herpes. He says the uncontradicted medical evidence indicates that in 1994-1995, the standard of care for diagnosing herpes involved the taking a swab of a herpetic vesicle or blister-what was then known as the classic presentation of an HSV lesion.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Further he says that even if such a vesicle had been present (which he denies), in 1994-1995, barring any other difficulties, the standard of care was to allow a pregnant woman to proceed with a vaginal delivery, even in the face of a history of recurrent herpes, unless the herpetic lesion(s) presented on the vulva or in the vagina or cervical area at the time of delivery. In this case, the defence says there was no such lesion present at the time of delivery and that accordingly,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allowing the plaintiff to proceed with a vaginal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second branch of the defence concerns the proposition that even if the defendant failed to meet the requisite standard of care, the plaintiff has nevertheless failed to prove the specific breach caused the injury suffered. The defence says sufficient expert evidence has been adduced on the issue, such that it is not open to the Court to drawn an inference causation has been proven, adopting the "robust and pragmatic approach" described in Farrell v. Snell </w:t>
      </w:r>
      <w:hyperlink r:id="rId65" w:history="1">
        <w:r>
          <w:rPr>
            <w:rFonts w:ascii="arial" w:eastAsia="arial" w:hAnsi="arial" w:cs="arial"/>
            <w:i/>
            <w:color w:val="0077CC"/>
            <w:sz w:val="20"/>
            <w:u w:val="single"/>
            <w:shd w:val="clear" w:color="auto" w:fill="FFFFFF"/>
            <w:lang w:val="en-US" w:eastAsia="en-US" w:bidi="ar-SA"/>
          </w:rPr>
          <w:t>(1990) 72 D.L.R. (4th) 289</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One of the most difficult issues in this action concerns a determination of the medical standard of care in 1994-1995, in terms of the diagnosis of genital herpes. This difficulty arises from the undisputed fact that during this period, the state of medical knowledge concerning HSV and genital herpes in particular, was evolving at a rapid pace. To put that evolution in perspective, the disease, genital herpes, requires some general description.</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Genital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Herpes is an infection caused by the herpes simplex virus (HSV). There are two types of the virus: Type 1 and Type 2. Type 1 historically causes cold sores around the mouth while Type 2 is associated with genital herpes. However it is now recognized that 40-50% of genital herpes is due to Type 1 HSV.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worst outbreak for any individual is that which follows his or her first exposure to the virus. However, the longer the disease is in place, the less severe the outbreaks usually become. The Type 2 virus will often cause outbreaks 4-10 per year and in the case of women, the outbreaks are often associated with the onset of the menstrual period. The virus resides in a powerhouse of nerves located at the base of the spine (the sacral sensory ganglion). From time to time, the virus is irritated (whether by the approaching menses, or some life stressor, or for no apparent reason) and begins to start reproducing itself, travelling down the nerve to some part of the genital area and produce another outbreak, with more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Classically, the area of skin involved will become red and swollen. The patient very commonly suffers itchiness and sometimes burning in the area affected. There is often a feeling of discomfort and pain. Herpes lesions will then appear which will either take the "classic form", that is a cluster of blisters or vesicles, or the more common atypical form, that is pimple-like lesions or small cracks or cuts or fissures in the skin surface. While a cluster of vesicles is described as the "classic herpes lesion", such blisters are rarely seen in the genital area. Whatever the form of lesions, they eventually leave open sores or ulcers which slowly heal and dry. If the initial outbreak or presentation takes the form of fissures (or small paper-like cuts), then the healing process will follow a different course. With or without treatment, the lesions usually heal within 3-14 days. In severe cases, the healing process may take as long as 3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Assuming the individual is a woman, the symptoms will appear anywhere within the "the boxer short area", that is on the buttocks, the perineum, the labia majora (outer vulva folds), the labia minora (inner vulva folds), and primarily in the case of the first or primary infection, inside the vagina or on the cervix. The locations of each outbreak will vary from individual to individual, and from outbreak to outbreak, within the "boxer short zone". In the case of a recurrent infection, herpetic lesions will not be found inside the vagina.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approximately half of all cases, prior to an outbreak, an individual will experience prodormal symptoms, that is early warning symptoms an outbreak is imminent. Such symptoms may include some numbness and tingling in the area and perhaps some pain in the thigh or the buttock. In effect, the virus irritates the nerve as it becomes reactivated.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also now well recognized that an individual with genital herpes has the virus in the genital area and is thus capable of transmitting it, without ever experiencing any of the symptoms described. This is phenomena known as atypical viral shedding.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Martin fail to meet the 1994-95 Standard of care regarding the diagnosis of genital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Barbara Romanowski, a specialist in internal medicine, with a sub-specialty in the diagnosis and treatment of sexually transmitted diseases, testified on behalf of the plaintiff. In her opinion, given that Dr. Martin had received Dr. Quinn's referral note (alerting him to the fact the patient had earlier been told she had herpes); given his repeated observations of various symptoms consistent with herpes (ie. itching and burning of vulva area, recurrent outbreaks before periods, fine cracks beside clitoris, excoriation of vulva area); and finally given that the patient's apparent yeast infections were not responding completely to antifungal therapy, it was incumbent on Dr. Martin to consider herpes within his differential diagnosis and to take steps to exclude herpes as the possible underlying cause of the patient's symptoms. In effect, she testified that Dr. Martin ought to have cultured the herpetic lesions. If there was no classic presentation of herpes in the form of blisters or lesions (which she testified would be unlikely in any case), then she expected Dr. Martin ought nevertheless to have repeatedly attempted to culture the cracks, or fissures or small cuts in the vulva area, (the atypical lesions) to confirm a herpes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Romanowski conceded however that "somewhere in the decade of the 1990's, our knowledge of herpes changed dramatically". She conceded that even as late as November, 1995, when the Canadian STD (Sexually Transmitted Diseases) Guidelines were published, a diagnosis of genital herpes depended on the physician observing a classical presentation of herpes lesion(s) and obtaining a positive culture for herpes. She agreed that the Guidelines were "consensus guidelines", that is guidelines which were meant to connote an agreed standard of care. In the case of genital herpes, the 1995 Guidelines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diagnosis requires classical clinical presentation AND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was not until the next updated set of Guidelines was published in 1998 that the entire medical profession was alerted to the fact genital herpes could be manifested other than by way of a classic presentation. The updated 1998 Guidelines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Clinical diagnosis requires typical or </w:t>
      </w:r>
      <w:r>
        <w:rPr>
          <w:rFonts w:ascii="arial" w:eastAsia="arial" w:hAnsi="arial" w:cs="arial"/>
          <w:color w:val="000000"/>
          <w:sz w:val="20"/>
          <w:u w:val="single"/>
          <w:lang w:val="en-US" w:eastAsia="en-US" w:bidi="ar-SA"/>
        </w:rPr>
        <w:t>atypical</w:t>
      </w:r>
      <w:r>
        <w:rPr>
          <w:rFonts w:ascii="arial" w:eastAsia="arial" w:hAnsi="arial" w:cs="arial"/>
          <w:color w:val="000000"/>
          <w:sz w:val="20"/>
          <w:lang w:val="en-US" w:eastAsia="en-US" w:bidi="ar-SA"/>
        </w:rPr>
        <w:t xml:space="preserve"> lesions and a culture or other type-specific diagnosis test, eg. DFA.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defence says this change in the Guidelines reflected the purportedly new medical knowledge that genital herpes could manifest itself in other than classical lesions (ie vesicles or blisters) and further that a type-specific swab test (DFA) was then available to determine whether HSV 1 or 2 antibodies or both were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I understand the defence theory, it is that this change in the medical standard of care regarding the diagnosis of herpes was not in place until after Dr. Martin's general gynaecological and prenatal care of the plaintiff had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While I accept the 1998 Guidelines alerted the medical profession at large that a diagnosis of genital herpes was not dependent on a classic presentation of herpes, I am persuaded that by 1995, a competent obstetrician and gynaecologist would already likely have been aware of much of this information and could be deemed to be aware of such an evolution in knowledge,. As Dr. Romanowski testified, whether the newly published 1998 Guidelines informed the physician of new information or merely confirmed dated knowledge, depended on the individual physician's degree of "self-education". She noted that such Guidelines were like books and took as long as two years to publish, thus confirming, in many cases, information which was already well known by at least some physicians in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infer that the defendant, as a specialist in obstetrics and gynaecology and one involved in the publication of guidelines and the teaching of medical students, could be expected to be on the leading edge of current medical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this regard the evidence of Dr. Lynn Simpson, the obstetrician and gynaecologist, who testified on behalf of the defence was particularly illuminating. Dr. Simpson confirmed that the 1994-1995 standard of care relating to the diagnosis of herpes involved: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inspection and identification of a lesion that had the appearance of a herpes lesion - namely a lesion that was painful and was red and raised or vesicular (blistered) or ulcerated. Once such a lesion was identified a swab was taken for a cell culture - this is a specific swab and is different from a swab used for bacterial or fungal culture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She explained that by "red and raised", she was referring to the early stage of the development of a lesion. As time passes, she testified that the red and raised lesion turns into a vesicular lesion. She testified however that the red and raised lesion was not diagnostic. She said that what can be cultured is either the vesicular lesion or an early ulcerated lesion.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However on cross-examination, Dr. Simpson admitted that in 1994, she understood that not all patients with recurrent genital herpes necessarily presented with classic vesicular lesions. She agreed that in the mid-1990's she knew it was "rare" for a doctor to see a vesicular herpetic lesion outside the vagina, where the vesicles commonly become macerated (or rubbed off), leaving small fissures or ulcers in the skin surface. In effect, as I understood her evidence, it was a misnomer, even in 1994, to describe the presence of vesicles or blisters as a "classic" presentation of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Since it would be rare to see such a "classic" presentation of herpes lesions, Dr. Simpson testified that both then and now, a doctor must often rely on the patient to inform him or her of a herpes outbreak, since it might easily be missed on examination. As a result, she agreed that part of the doctor's role was to educate the patient to recognize her own symptoms and thus to identify for herself the starting point of an outbreak, and then to seek out a culturing of any lesions in a timely fashion, during the narrow window of time when a lesion or lesions might be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Thus while Dr. Simpson agreed that the 1995 Canadian STD Guidelines reflected the manner in which a diagnosis of genital herpes could be made at that time, her evidence does not support the conclusion that in 1994-1995, the standard of medical care was such that failing the observation of a classic presentation of herpes, there was no expectation the doctor would continue to consider genital herpes in his differential diagnosis and continue in his investigation of whether there was any underlying disease. To the contrary, Dr. Simpson agreed that since a classic presentation of vesicular lesions is not commonly seen, a doctor will look for other symptoms to arrive at a diagnosis of genital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While Dr. Simpson's formal opinion filed pursuant to Rule 40A rested on the broad assumption that Dr. Martin had never seen any signs or symptoms of genital herpes, she agreed on cross examination that many of the symptoms apparently presented here were indeed consistent with herpes. She agreed that the localized itching of the vulva and the patient's complaint of pain on urination would certainly be suggestive of herpes. While the appearance of cracks or fissures near or at the clitoris would not necessarily be suggestive of herpes in 1994-1995, she admitted that the repeated appearance of fissures in that localized area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She agreed that even assuming no "lesions" were visible on examination, the patient's own description of "pimples" having appeared on the external vaginal area would itself raise a suspicion of herpes. She agreed that a herpetic vesicle could well present to a patient as a pimple and that at certain points, it would be difficult for a doctor to distinguish between a herpetic lesion and a pustule (associated with a staph infection) since at certain stages of their development, both lesions and pustules are similar in size, colour and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agreed that the doctor's heightened consideration of the possibility of a herpes infection would be all the more so in the context of a referral from the patient's family physician alerting the gynaecologist to the fact a Vancouver physician had earlier diagnosed her with herpes. Dr. Simpson testified that in these circumstances, she would very carefully question the patient to determine the prior location of the herpes. If she learned that the herpetic lesion had been on the buttocks rather than in the area of the perineum or vulva, she would still remain suspicious of the possibility the patient had genital herpes. She would attempt to obtain any records from the physician who made such a diagnosis. She would also carefully review the patient's sexual history, since this history would be an important component in the proper diagnosis of any vaginal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note that Dr. Martin's evidence conflicted with that of both Dr. Romanowski and Dr. Simpson on several issues. Dr. Martin agreed that in 1994-95 he recognized that the vesicular stage of a herpetic lesion was often very short, particularly since the top of the blister or vesicle would be rubbed off. He insisted however (contrary to both Dr. Romanowski and Dr. Simpson) that he had seen patients present with classic lesions in his office and that it was common rather than rare for the patient to actually present with visible herpetic lesions. He rejected the suggestion that herpetic lesions had often disappeared by the time of a medical office visit, by virtue of the patient's own itchiness and scratching or the rubbing of the area. Instead, he insisted that over the years, the patients he had observed would not deliberately rub the area and indeed, since the patients were usually concerned, they would seek out medical attention promptly and within a time frame when the vesicles could still be seen by him. His purported experience was contradicted by both Dr. Romanowski and Dr. Simpson.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 also insisted that the sexual history of a patient such as that of the plaintiff was irrelevant, even in the face of persistent vaginitis problems. He insisted that whatever he saw when he examined K.M. were "pustules" rather than herpetic lesions, and he insisted (contrary to Dr. Simpson's evidence) that such lesions always present very differently in terms of the colour of the fluid inside.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agreed that by 1994-1995, he was aware a patient could suffer genital herpes, without ever exhibiting any lesions, in keeping with the known phenomenon of atypical viral shedding. Nonetheless, in the absence of the presentation of a classical lesion, which he described as the "most vital component of the diagnosis", he insisted a diagnosis of genital herpes could not be made. He insisted that standing alone, many of the signs and symptoms here (fine cracks, reddening, eurythma and excoriation of the vulva) would not be suggestive of herpes, unless a monilia or yeast infection was also present-which of course was the case here. Notwithstanding this evidence and notwithstanding his admission that herpes and yeast infections may present concurrently, he insisted that once he received a positive yeast culture, he was justified, at least on each such occasion, in removing herpes from the differential diagnosis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testified that for the most part, throughout his treatment of the patient, he was dealing with a presentation of vulvitis. He admitted that the 1995 Canadian STD Guidelines alerted physicians to the fact the infective cause of vulvitis was either candida (yeast) or HSV. As a result, he conceded that a doctor had to consider the "big picture" when attempting to make a diagnosis, particularly when presented with symptoms consistent with both herpes and yeast infection. However his evidence was that while herpes remained on his differential diagnosis list at the outset of each of the plaintiff's visits, after taking a history from K.M. and performing a vaginal examination, herpes was no longer on the differential since her symptoms were not "compatible with the diagnostic criteria of 1994-1995"-ie. there was no presentation of classic lesions. Clearly, any consideration of herpes was repeatedly excluded once a positive yeast culture was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On the whole, I found much of Dr. Martin's evidence unsatisfactory. He admitted he had no independent recollection of and that he thus relied heavily on his clinical notations. Clearly his handwritten clinical notes were sparse and little more than "memory jogs" used to dictate his consultation report the day following each visit. There is little in the way of recorded observations in his notes. There is no notation of the differential diagnosis list he insists he considered. Apart from his own bald assertion that herpes remained on his differential list throughout, there is nothing in his notes or in his consultation reports to support such a fact. On various occasions, he notes "vaginal lesions" or "pustules", with no description of the lesions, much less the locations-ie vulva, or inside vagina. Nevertheless Dr. Martin was very dogmatic about what he observed during each of the plaintiff's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More significantly, I found portions of Dr. Martin's evidence internally inconsistent. He accepted that the patient told him she had earlier been diagnosed with genital herpes and that he was alert to this possibility and kept it on his differential diagnosis list, yet he insisted that from the outset, it was clear K.M. did not have genital herpes. He conceded that the matter of genital herpes was raised by both the patient and Dr. Quinn (in his referral note), but insists the referral was really directed to her "recurrent vaginitis". He agreed that for the most part the plaintiff presented with vulvitis; that both yeast infections and HSV may cause vulvitis; and that both yeast infections and herpes may present concurrently; yet he insisted that having received positive yeast cultures, he was correct in removing HSV (herpes) from his differential diagnosis list. He conceded that he was aware of the phenomenon of atypical viral shedding (that is an asymptomatic presentation of herpes), yet he insisted that in the absence of a classic presentation of herpes, he could not consider a diagnosis of herpes. In the end result, I am unable to give Dr. Martin's evidence much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am satisfied, based on K.M.'s., Dr. Romanowski's and Dr. Simpson's evidence, the plaintiff has proven on a balance of probabilities that on many occasions during the course of her general gynaecological and pre-natal obstetrical visits in Dr. Martin's office, K.M. did indeed present with symptoms of genital herpes outbreaks, overlaid by yeast and/or staph infections, which outbreaks Dr. Martin negligently diagnosed as yeast and/or staph infections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am satisfied that in 1994-1995, in the circumstances here, the standard of care in the medical community at least required a competent obstetrician and gynaecologist to exclude the possibility of herpes and not to end the investigation on obtaining a positive yeast culture. Even in 1994-95, it was understood that such a positive culture would not exclude the possibility of the HSV virus being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While a conclusive diagnosis would have required a classic presentation of the HSV virus (ie vesicular lesions) as well as a positive herpes culture, I am satisfied that even in the absence of such a classical presentation, the constellation of "red flags" in this case would have caused a competent obstetrician and gynaecologist to pursue his or her investigation far beyond that which occurred here. Even assuming no successful culturing of a lesion could be accomplished (as is often the case), in all likelihood a trial treatment of HSV suppressant therapy alone (a simple, inexpensive and easily available treatment) would have provided an immediate answer to this "unusual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As a result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was never any occasion when Dr. Martin attempted to culture the lesions K.M. presented with in his offices. Nor did Dr. Martin ever counsel K.M. as to how to identify an impending herpes outbreak or how to seek out treatment and culturing at the earliest opportunity. Nor was there ever any occasion when he counselled or warned K.M. concerning the implications of becoming pregnant and the dangers of a baby contracting herpes in the course of a vaginal delivery. (I have already rejected Dr. Martin's evidence that he might have raised this matter during K.M.'s first visit in his offices.)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of pregnant patient with history of recurrent genital herpes - Standard of Care 1994-1995: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I noted earlier, even assuming Dr. Martin negligently failed to diagnose the plaintiff's genital herpes, the defence theory is that the standard of care in 1994-1995 was nevertheless to allow a pregnant woman with a history of recurrent genital herpes to proceed with a vaginal delivery, barring the presence of a herpetic lesion on the vulva or perineal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was no expert evidence specifically adduced by the plaintiff concerning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her report, based on the assumption that Dr. Martin saw no signs or symptoms to found a diagnosis of genital herpes, Dr. Lynn Simpson (the defence expert in Obstetrics &amp; Gynaecology)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can see no reason why Dr. Martin would make arrangements for a caesarean section in advance of K.M.'s due date. ... There was a strong opinion at the time (and still is) that a VBAC (vaginal birth after caesarean section) was the standard of care. A trial of labour was considered the most appropriate management to the point that many obstetricians would not perform a repeat Caesarean section if the only indication was a previous Caesarean section. This was especially true if the woman had had a successful vaginal birth after the Caesarean section such as K.M. had. There was no diagnosis of genital herpes and a number of positive cultures for yeast and staph aureus had explained the vaginal symptoms in the past-neither the presence of yeast nor staph aureus is an indication for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She further noted that even in the case of a patient who has recurrent herpes, Caesarean sections would only be expected to be performed as a matter of standard practice in certain circumstances, due to the very low risk of infection of the neonate: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when it is known that a woman carries the herpes virus and gets genital lesions, a Caesarean section is only proposed when a lesion is present. This was the recommendation of both the Society of Obstetricians and Gynecologists of Canada and the College of Obstetricians and Gynecologists in 1995 and still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risk of infection of the neonate in recurrent disease is very low for reasons that are not completely understood and therefore the recommendation stands that if there is no lesion present, a vaginal delivery is the preferred method of delivery.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Caesarean section would be planned ahead of labour only when the woman was having very frequent genital herpes lesions and lesion-free intervals were scarce and brief or she had a primary lesion during the pregnancy later in the pregnancy so the infant had no time to receive antibody protection. Asymptomatic viral shedding is more common in primary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cross examination, Dr. Simpson conceded that even where a pregnant patient presented to her with no herpetic lesions, there were circumstances in which she would recommend that such a patient undergo a caesarean section. Specifically, she would have recommended that such a patient deliver by way of caesarean section in 1995 where she believed, by virtue of the presentation of other symptoms, that an active herpes infection was present. Likewise, she would recommend a caesarean section at the time of delivery, if the patient was having (prodormal symptoms) suggestive of an ongoing herpes infection or where the patient reported she was about to have a herpes outbreak.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She testified however that she would have to be "convinced" that while not necessarily presenting with clear signs of herpes, the patient was indeed suffering herpes. She explained her evidence in these terms: (see page 33 of transcript, line 25-page 34, line 8):</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there are cases of women where you have a strong suspicion of herpes, but can't prove it through a culture?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you recognize that there are symptoms that seems to be the most likely cause?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 a patient of that nature, when she gets pregnant, what's your practice in terms of what you tell her, and this is as of the mid-90's?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on my history and physical, I was convinced that I was seeing a herpes lesion, and she got pregnant, I would talk to her about herpes and the management, and the fact that a caesarean section is the recommendation if there is a lesion present at the time of labour.</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what if she was somebody who just got prodormal symptoms, but not lesions, specifically, would you still discuss those things with her?</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depend on the prodormal symptoms. If they-if they were quite non-specific, and I could explain them by something else, then I probably wouldn't be thinking about herpes being the cause of the symptoms.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and I'm asking you in the case where you think that herpes is the cause.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 think that herpes is the cause, she has the classic prodormal symptoms, they come and go, there's no other reason that I can find, I can't see anything else that would explain it, then,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If however the patient presented with no lesions but prodormal symptoms only at the time of delivery, she testified that she would only recommend a caesarean section if she was convinced the patient was indeed suffering the outbreak of a herpes infection. Her evidence raises the clear implication that if there is some other explanation for the patient's symptoms, (ie a culture confirming a yeast infection), the doctor might not recommend a caesarean section but leave the decision to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Thus the uncontradicted expert evidence is that in 1994-1995 a Caesarean section was only recommended in the following circumstances: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herpetic lesion is present at the time of labour and delivery;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patient is having such frequent genital herpes lesions that lesion-free intervals are scare and brief;</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patient has a primary lesion later in the pregnancy and there is insufficient time for the fetus to receive antibody protection;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patient presents with prodormal symptoms only, but the doctor is convinced, based on the patient's history, the results of a physical examination and the doctor's investigation ruling out other causes, that the patient is indeed suffering a herpes outbreak at the time of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Dealing with the first indicia, there is no evidence here that there were any active herpes lesions present at the time of delivery. While I have already noted that Dr. Gagnon made no specific visual inspection for lesions during the course of his vaginal examinations of the plaintiff, both Dr. Treisman and Dr. Farquaharson did carefully inspect the vulva area for any abnormalities, including the presence of yeast or a herpetic lesion, and none was noted. Thus the evidence is weighted in favour of a finding there were no herpetic lesions present at the time of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As to the third indicia, there is no evidence the plaintiff ever presented with a primary lesion during the course of this pregnancy, or specifically during the latter stage of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to the fourth indicia, there is no specific evidence that the plaintiff was suffering any prodormal symptoms at or near the time of delivery. While she suffered certain itchiness associated with what was thought to be a yeast infection at the outset of her admission to BCWH (and a yeast infection was indeed confirmed by way of culture at the hospital), there is no record of any continued complaints of itchiness after August 29,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have already noted that while the plaintiff has no specific recollection of her complaints she believes they continued unabated up to the time of delivery. Not surprisingly, since the plaintiff never received any education as to what might constitute prodormal symptoms, she never focused on and therefore has no detailed recollection of what symptoms she was experiencing shortly before the delivery. Thus we have a plaintiff who is unaware of whether she experienced prodormal symptoms before delivery. Nor is there any observation nor any comment by any doctor or nurse at BCWH that she was experiencing prodormal-like symptoms shortly before delivery. Thus while I am confident she was likely suffering prodormal symptoms a few days earlier, the evidence does not support a finding of her experiencing prodormal symptoms just shortly before or at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most difficult and troublesome of the indicia is the second, that is, whether or not K.M. was a patient who was having such frequent genital herpes lesions that it could be said lesion-free intervals were scarce and brief. I have already concluded that on many of the occasions she visited Dr. Martin's office during the course of her general gynaecological and prenatal obstetrical visits, K.M. was indeed presenting with symptoms of genital herpes outbreaks, admittedly overlaid in many cases by yeast and/or staph infections. I have found that Dr. Martin negligently failed to recognized and diagnose her ongoing herpes outbreaks both prior to and during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While the defence places no reliance on Dr. Gagnon's evidence, it does rely heavily on both Dr. Treisman's and Dr. Farquaharson's evidence they saw no signs of infection or herpetic lesion during their examinations prior to delivery. The defence stresses that Dr. Gagnon, Dr. Farquaharson and Dr. Treisman all testified that in 1995, it was only when an active herpes lesion was present at the time of delivery that a woman was offered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note however that Dr. Farquaharson, the most senior of the doctors, agreed that herpetic lesions may be quite small and can be easily missed on examination. He also agreed on examination that while he would be "happiest" if lesions were present on examination, even in the absence of visible herpetic lesions, he would recommend proceeding by way of caesarean section if the patient told him she was experiencing prodormal symptoms consistent with prior herpes outbreaks and if there was a history of recurrent herpes infection. As he put it, "history helps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am confident that had the proper diagnosis been made by Dr. Martin prior to or during the pregnancy, this would have paved the way for an entirely different approach to K.M.'s care at B.C.W.H. The history of genital herpes would have been known to all nurses and doctors or staff; the itchiness associated with the yeast infection would at least have been considered as a potential prodormal symptom; the early vaginal examinations well before labour would have included a careful inspection for both vesicular and atypical herpes lesions; and most significantly, the patient would have had the opportunity to have a considered and thoughtful recommendation from the physicians involved about the risks associated with a vaginal delivery, given her history of frequent herpetic outbreaks.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convinced, even in the absence of a finding of genital herpes lesions at the time of delivery, that in the face of a proper earlier diagnosis and a careful review of her history, the B.C.W.H. staff would, in all likelihood, have concluded K.M. fell into the second category of patients described by Dr. Simpson - that is a patient with lesion-free periods which were scarce and brief, thus militating in favour of a recommendation for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K.M. testified she would have insisted on a Caesarean section if she had known there was any risk of transmission of the HSV virus to her twins. Here, in keeping with standard practice in the medical profession at that time, the doctors encouraged a vaginal birth (even in the case of a VBAC patient) and assured her that since the twins would be smaller than her second baby, there was no concern regarding vaginal tearing and loss of blood. Ultimately, K.M. acceded (and I infer, reluctantly) to the B.C.W.H. doctors'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have no difficulty in concluding that if the B.C.W.H. doctors had recommended a caesarean section (as I find they would have had K.M.'s condition been properly diagnosed and her history thus understood), she would almost certainly have proceeded with a caesarean section, which was her preference from the outset.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 The Infant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Since I have resolved the standard of care issue in favour of the plaintiff, it remains to consider the issue of causation. As I noted earlier, there are three theories as to how the baby contracted herpes: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infant contracted the virus in utero, prior to delivery;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infant contracted the HSV virus at the time of the vaginal delivery, as a result of the virus being present in the maternal genital secretions in the birth canal or as a result of asymptomatic shedding;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infant contracted the HSV virus post delivery from a health caregiver in the Special Care Nursery.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plaintiff's expert, Dr. Charles Prober, a specialist in pediatrics and neonatal herpes, testified that 90-95% of cases of neonatal HSV-2 infections occur at the time of delivery when the baby is exposed to the virus present in the maternal genital secretions, either as a result of an active lesion or because of asymptomatic shedding. He testified that the remaining 5-10% of neonates are infected either in utero or from contact by a caregiver who has an active lesion. He testified that in this case, it was more likely the infant contracted the virus during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Embree, a specialist in pediatric infection diseases, testified on behalf of the defence. Although she agreed with Dr. Prober that in general, most cases of neonatal herpes infection were acquired during delivery, she testified that in her opinion it was more likely that the infant plaintiff (Twin B) fell into the category of the other 10-15% of neonates who were infected either in utero or post-delivery, from contact by a caregiver who has an active HSV lesion after delivery. As I understood her evidence, Dr. Embree reached her opinion based on two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First, and perhaps most significantly, she noted that Twin A was born 10 hours after the rupture of the membranes and the insertion of a fetal monitor electrode in his scalp, culminating in the use of forceps at delivery. Had the HSV-2 virus been present in the mother's genital secretions in the birth canal, Dr. Embree testified that this first-delivered twin would have been exposed to the virus for a considerable period. Not only would he have been exposed for the full 10 hours the membranes had been ruptured, but the likelihood of the infection being transmitted would have been heightened by the breakage of his skin, both on the scalp surface (by virtue of the use of the scalp electrode) and on the body skin surface (by virtue of the use of the forceps at delivery). Both points of breakage of the skin surface would represent portals of entry for the virus. In Dr. Embree's opinion it was significant that C.P.M (Twin B) was born only 3 minutes after her placental membranes were broken, without the use of either forceps or a scalp electrode.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Thus, if the HSV virus was present at delivery, Dr. Embree concludes that Twin A would have had a much longer exposure to the virus and would have been far more likely that CPM (Twin B) to have contracted the virus. She also testified that at 32 weeks' gestation (the approximate fetal age at the time of delivery) both twins should have equally inherited most antibodies from their mother, so as to be able to avoid an infection during delivery. In her opinion, the fact that Twin A was born without an HSV infection points to the likelihood no virus was present at delivery and thus not acquired by Twin B at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On cross examination, Dr. Prober acknowledged it was indeed unusual Twin A did not acquire the virus, given that he was at a much higher risk to have acquired it and was thus more likely to have been infected at delivery had the virus been present. He testified that if he was "a betting man", he would have bet Twin A would have acquired the virus (assuming the virus was present in the birth canal) and he would have "lost the bet". He testified that while Dr. Embree had raised interesting points, the preponderance of the literature nevertheless pointed to the likelihood the baby had contracted the virus at birth. He also noted that while a baby will receive most of her mother's passive antibodies by 31 weeks gestation, a premature infant (which both babies were) is nevertheless short changed, since most of the passive antibodies are transmitted in the last 1/3 of the pregnancy - precisely the period when a premature infant is prematurely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Secondly, and quite apart from her consideration of CPM's period of exposure to the virus, Dr. Embree also rested her opinion on the timing of the presentation of the infant's herpetic lesions which she opined was more consistent with a post-natal rather than a pre-natal pattern of acquisition. She testified that neonatal herpes presents in three forms: (i) skin, eye and mouth disease (SEM) where the infant presents with skin lesions but no other illness; (ii) CNS - that is the infection of the central nervous system; and (iii) finally, disseminated disease such as pneumonia, hepatitis, or severe sepsis syndrome, where the virus has spread to the internal organs.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the infant plaintiff's case, while there was little evidence presented concerning her condition (since the issue of damages remains for another trial), there was suggestion in the Viradae Clinic's report of July 15, 1997 (Exhibit 18) that the infant presents with SEM. Assuming this was the case, Dr. Embree testified that this form of the infection is usually present fairly early following birth, with the vast majority of cases appearing on day 7-10 following birth. She said that it would be improbable an infant would present with SEM herpes as late as 25 days following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Prober agreed that an SEM presentation does usually occur within 7-11 days of life (as his own articles note), yet he stressed that those figures represent only an average taken from various studies of when symptoms presented in the infant participants infected with herpes. He agreed that while CPM's presentation of SEM at 25 days (at the latest) was above the average (in terms of number of days of life or number of days after birth), he insisted that in the case at bar the presentation date still fell within the normal range (ie. 95-98% of the population in those studies) of the time for clinical presentation after initial exposure to the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Thus he opined that it was still plausible, based on the date of clinical presentation alone, that the infant plaintiff contracted the HSV-2 virus during delivery. Further he noted that CPM exhibited signs of sepsis on the 10th day of life - a fact which is consistent with neonatal herpes and close to the average time of clinical presentation after initial exposure, although he noted that no tests for herpes were performed until after SEM appeared and there was thus no way of confirming this was the actual date of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Plaintiff's counsel has submitted, relying on the evidence of Dr. Prober, that the plaintiff has proven, on a balance of probabilities, there is a causal connection between the infant plaintiff acquiring the HSV-2 virus and Dr. Martin's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event the Court is not satisfied the issue of causation has been proven on a balance of probabilities, and in the absence of any positive or scientific proof of causation, the plaintiff submits the Court ought to apply the robust and pragmatic approach mandated by Snell v. Farrell, </w:t>
      </w:r>
      <w:hyperlink r:id="rId65"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infer proof of causation, on the basis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increased the risk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agree with defence counsel, Mr. Lepp, that in the circumstances of this case, where the defence has adduced ample evidence expert evidence on the issue of causation (both in terms of Dr. Embree's evidence and the admissions made by Dr. Prober on cross examination), it is impossible to resolve the causation issue adopting the inferential analysis set out in Snell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Thus the issue arises, has the plaintiff proven on a balance of probabilities a causal connection between Dr, Martin's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infant plaintiff's acquisition of the HSV-2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As I understand the plaintiff's theory of causation it is that K.M., who was discovered after the fact to be infected with the HSV-2 virus, was carrying the virus during the relevant period and exhibited symptoms consistent with a recurrent HSV-2 infection during the pregnancy and shortly before the birth. The plaintiff says that based on the evidence of Dr. Prober, the Court can conclude it is more likely than not the infant plaintiff acquired the virus at the time of the vaginal delivery. Dr. Prober testified and Dr. Embree agreed, 90-95% of infants with neonatal herpes contract the virus from their mothers during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Even though the infant's clinical presentation of skin, eye and mouth disease (SEM) occurred 25 days following delivery, the plaintiff stresses that this date of presentation still falls within the range of what is normal for HSV-2 infections which occur during delivery. Finally the plaintiff stresses that there was no evidence adduced by the defence of any other infants in the Special Care nursery who were infected with herpes at the material time, nor any evidence that any health care workers who did or may have handled the infant were infected with HSV-2.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defence theory of causation rests largely on the evidence of Dr. Embree to the effect that it is highly improbable Twin A would not have acquired the virus like his sister, the infant plaintiff, had the virus been present in the mother's genital secretions at delivery. Further, the defence stresses Dr. Embree's evidence that the clinical presentation of SEM was outside the range of the usual clinical presentation at 7-11 days following birth. Dr. Embree testified that during her days in the Special Care Nursery, the infant would have been exposed to many different health workers, some of whom may themselves have been unaware they were carriers of an HSV-2 virus. Indeed, as Dr. Prober testified, approximately 30% of the general population in the United States (and he assumes Canada as well) test positive for the HSV-2 antibody, although only 5% of the general population recognize they have a past history of genital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the end result, I was impressed with the background and qualifications of both Dr. Prober and Dr. Embree. Both are pediatricians with a special interest and expertise in pediatric infectious diseases. Each doctor agreed the other was a respected pediatric infectious disease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my view, the matter of causation cannot be resolved on a determination of whether the baby indeed suffers SEM and whether the presentation of the disease at 25 days takes her case outside the usual statistical window. There was no particular evidence adduced on precisely what form of the disease the infant suffers other than what is set out in the report of Dr. Sasadevsz of the Viradae Clinic dated July 15, 1997 (Exhibit 18). That evidence was not tendered pursuant to Rule 40A.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Ultimately the issue must be resolved on a consideration of how likely it is the infant plaintiff (Twin B) acquired the virus at the time of delivery, given that her brother, Twin A, did not. Dr. Prober acknowledged that while this set of facts was very unusual, the preponderance of the literature still indicated Twin B contracted the infection at the time of delivery. Dr. Embree strongly disagreed and opined that in all the circumstances, there was an "astronomically greater chance" of Twin A, as opposed to Twin B, acquiring the virus at delivery, if the infection was indeed present in the birth canal.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Having considered and weighed the evidence on both sides, I am not satisfied that either party has proven with any greater certainty when the infant plaintiff acquired the virus. I cannot conclude there is necessarily any causal connection between Dr. Martin's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injuries suffered by the infant plaintiff. Accordingly, the infant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am satisfied however that K.M. has proven her claim against the defendant. In her case, no causation issue arises. Clearly, had the defendant, Dr. Martin, made the necessary diagnosis the pain and discomfort arising from the untreated herpes, the aggravation of the herpes and her ongoing discomfort and anxiety would likely have been avoided. There were no submissions addressing her claim for damages. I will therefore leave this matter to counsel to address either by way of further oral or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Given the mixed result, I would request counsel contact the Registrar to address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BOYD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8"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5"/>
          <w:headerReference w:type="default" r:id="rId896"/>
          <w:footerReference w:type="even" r:id="rId897"/>
          <w:footerReference w:type="default" r:id="rId898"/>
          <w:headerReference w:type="first" r:id="rId899"/>
          <w:footerReference w:type="first" r:id="rId9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1" w:history="1">
        <w:r>
          <w:rPr>
            <w:rFonts w:ascii="arial" w:eastAsia="arial" w:hAnsi="arial" w:cs="arial"/>
            <w:b/>
            <w:bCs/>
            <w:i/>
            <w:color w:val="0077CC"/>
            <w:kern w:val="32"/>
            <w:sz w:val="28"/>
            <w:szCs w:val="32"/>
            <w:u w:val="single"/>
            <w:shd w:val="clear" w:color="auto" w:fill="FFFFFF"/>
            <w:lang w:val="en-US" w:eastAsia="en-US" w:bidi="ar-SA"/>
          </w:rPr>
          <w:t>L'Heureux (Guardian ad litem of) v. Eustache, [2003] B.C.J. No. 530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Lamperson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30553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530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347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144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Chantelle L'Heureux, an infant by her Guardian ad litem, Roger L'Heureux and the said Roger L'Heureux, plaintiffs, and Calvin Eustache and Barbara May Morin,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9"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9" w:name="Keywords_37"/>
      <w:bookmarkEnd w:id="249"/>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liability of owner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driver of owner's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0" w:name="Case Summary_34"/>
            <w:bookmarkEnd w:id="2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Morin to have the plaintiff L'Heureux's action against her dismissed. The action arose as a result of a motor vehicle accident. A vehicle owned by Morin and driven by the defendant Eustache collided with a vehicle in which L'Heureux was a passenger. Morin's husband had taken Morin's vehicle to work on the day of the accident without her consent. Her husband allowed his friend, Eustache, to drive him home as he had been drinking. The husband had a criminal record for impaired driving. Eustache had also been drinking at the time of the accident. Morin testified that she did not allow her husband to drive her car because of his criminal record.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1" w:name="Holdings of Court_30"/>
            <w:bookmarkEnd w:id="25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Morin did not have the willingness or expectation that a third party would have driven her vehicle.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2" w:name="Legislation Cited_27"/>
      <w:bookmarkEnd w:id="2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0"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Rules, Rule 18A. Motor Vehicle Act, </w:t>
      </w:r>
      <w:hyperlink r:id="rId902" w:history="1">
        <w:r>
          <w:rPr>
            <w:rFonts w:ascii="arial" w:eastAsia="arial" w:hAnsi="arial" w:cs="arial"/>
            <w:i/>
            <w:color w:val="0077CC"/>
            <w:sz w:val="20"/>
            <w:u w:val="single"/>
            <w:shd w:val="clear" w:color="auto" w:fill="FFFFFF"/>
            <w:lang w:val="en-US" w:eastAsia="en-US" w:bidi="ar-SA"/>
          </w:rPr>
          <w:t>R.S.B.C.  1996, c.  318, s.  86</w:t>
        </w:r>
      </w:hyperlink>
      <w:r>
        <w:rPr>
          <w:rFonts w:ascii="arial" w:eastAsia="arial" w:hAnsi="arial" w:cs="arial"/>
          <w:color w:val="000000"/>
          <w:sz w:val="20"/>
          <w:lang w:val="en-US" w:eastAsia="en-US" w:bidi="ar-SA"/>
        </w:rPr>
        <w:t>, 86(1).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3" w:name="Counsel_38"/>
      <w:bookmarkEnd w:id="2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1"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Dley, for the plaintiffs. C. Gotuaco, for the defendant, Barbara May Morin and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4" w:name="Judgment_38"/>
      <w:bookmarkEnd w:id="254"/>
      <w:r>
        <w:pict>
          <v:line id="_x0000_s1212" style="position:absolute;z-index:2518507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5" w:name="LAMPERSON J."/>
            <w:bookmarkEnd w:id="255"/>
            <w:r>
              <w:rPr>
                <w:rFonts w:ascii="arial" w:eastAsia="arial" w:hAnsi="arial" w:cs="arial"/>
                <w:b/>
                <w:color w:val="000000"/>
                <w:sz w:val="30"/>
                <w:lang w:val="en-US" w:eastAsia="en-US" w:bidi="ar-SA"/>
              </w:rPr>
              <w:t>LAMPERSON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Mrs. Barbara May Morin applies under Rule 18A to have the plaintiffs' action against her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litigation arises from a motor vehicle accident that occurred on April 13, 1996, on Highway No. 5 near Heffley Creek, British Columbia, when the car owned by the defendant Morin and driven by the defendant Calvin Eustache collided with a vehicle in which the plaintiff was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Morin gave express or implied consent for the defendant Eustache to drive her car; and if not,</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she was negligent in failing to take steps to have her vehicle returned to her forthwith after she realized that her husband had taken it without her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Gerry Morin, the defendant's husband works in Louis Creek which is approximately a 40 minute drive from their residence in Kamloops. When leaving for work early in the morning on April 13, 1996, he discovered that his pickup truck would not start. Consequently, he took his wife's car. She was asleep at the time and had no knowledge of this until she awoke some time around 10:30 or 11:00 a.m. She assumed that her husband had taken the car, but she did nothing despite their understanding that he was not to drive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Gerry Morin finished work, he started drinking with friends and relatives in the Louis Creek area. Realizing that he was very drunk, he decided to have his friend, the defendant, Eustache, drive him home. Unfortunately, it turned out that Eustache was also drunk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Gerry Morin has an alcohol problem and a criminal record for impaired driving. It is for that reason that the defendant Morin does not allow her husband to drive her car. Both understood this. The only time that he is permitted to drive her car is when they are on holidays together and she is a passenger. Both have stated under oath that she would have neither granted him permission to drive the car on the day in question nor would she have allowed a third person to drive it. The evidence in this regard comes from excerpts of the defendant's examination for discovery and from an affidavit of Gerry Morin who was cross-examined thereon. Their evidence is clear, namely that he was not allowed to drive her car. The plaintiff has adduced no evidence to contradict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Section 86(1)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reads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to recover loss or damage sustained by a person by reason of a motor vehicle on a highway, every person driving or operating the motor vehicle who is living with and as a member of the family of the owner of the motor vehicle, and every person driving or operating the motor vehicle who acquired possession of it with the consent, express or implied, of the owner of the motor vehicle, is deemed to be the agent or servant of that owner and employed as such, and is deemed to be driving and operating the motor vehicle in the course of his or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Because Mr. and Mrs. Morin constitute a family, it can be argued that s. 86 deems Mr. Morin to be an agent or servant of Mrs. Morin insofar as the car is concerned. However, it does not necessarily follow that such a finding extends the owner's liability for torts committed by a third person who is driving the car. The test in this regard was discussed by Braidwood J.A. in Godsman v. Peck, </w:t>
      </w:r>
      <w:hyperlink r:id="rId903" w:history="1">
        <w:r>
          <w:rPr>
            <w:rFonts w:ascii="arial" w:eastAsia="arial" w:hAnsi="arial" w:cs="arial"/>
            <w:i/>
            <w:color w:val="0077CC"/>
            <w:sz w:val="20"/>
            <w:u w:val="single"/>
            <w:shd w:val="clear" w:color="auto" w:fill="FFFFFF"/>
            <w:lang w:val="en-US" w:eastAsia="en-US" w:bidi="ar-SA"/>
          </w:rPr>
          <w:t>[1997] B.C.J. No. 377</w:t>
        </w:r>
      </w:hyperlink>
      <w:r>
        <w:rPr>
          <w:rFonts w:ascii="arial" w:eastAsia="arial" w:hAnsi="arial" w:cs="arial"/>
          <w:color w:val="000000"/>
          <w:sz w:val="20"/>
          <w:lang w:val="en-US" w:eastAsia="en-US" w:bidi="ar-SA"/>
        </w:rPr>
        <w:t xml:space="preserve"> (C.A.)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appropriate test that must be applied whenever the issue of implied consent is to be considered pursuant to s. 79(1) [now s. 86(1)] of the Motor Vehicle Act is that approved by the Supreme Court of Canada in Palsky v. Humphrey, </w:t>
      </w:r>
      <w:hyperlink r:id="rId904" w:history="1">
        <w:r>
          <w:rPr>
            <w:rFonts w:ascii="arial" w:eastAsia="arial" w:hAnsi="arial" w:cs="arial"/>
            <w:i/>
            <w:color w:val="0077CC"/>
            <w:sz w:val="20"/>
            <w:u w:val="single"/>
            <w:shd w:val="clear" w:color="auto" w:fill="FFFFFF"/>
            <w:lang w:val="en-US" w:eastAsia="en-US" w:bidi="ar-SA"/>
          </w:rPr>
          <w:t>[1964] S.C.R. 580</w:t>
        </w:r>
      </w:hyperlink>
      <w:r>
        <w:rPr>
          <w:rFonts w:ascii="arial" w:eastAsia="arial" w:hAnsi="arial" w:cs="arial"/>
          <w:color w:val="000000"/>
          <w:sz w:val="20"/>
          <w:lang w:val="en-US" w:eastAsia="en-US" w:bidi="ar-SA"/>
        </w:rPr>
        <w:t xml:space="preserve"> at 662: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consent can be implied because it is clear that had it been sought it would have been granted as a matter of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In concluding whether or not the test is met in the circumstances of a case of that sort (where the vehicle was driven by a third party), an important and relevant consideration is whether or not the evidence supports the conclusion that, at the time the motor vehicle was loaned to the original driver, the owner granted possession of it under circumstances that clearly show that it was acquired with both the willingness and the expectation on the owner's part that it would be driven by a third person. I agree with Verchere J. in Hartley v. Saunders </w:t>
      </w:r>
      <w:hyperlink r:id="rId905" w:history="1">
        <w:r>
          <w:rPr>
            <w:rFonts w:ascii="arial" w:eastAsia="arial" w:hAnsi="arial" w:cs="arial"/>
            <w:i/>
            <w:color w:val="0077CC"/>
            <w:sz w:val="20"/>
            <w:u w:val="single"/>
            <w:shd w:val="clear" w:color="auto" w:fill="FFFFFF"/>
            <w:lang w:val="en-US" w:eastAsia="en-US" w:bidi="ar-SA"/>
          </w:rPr>
          <w:t>(1962) 33 D.L.R. (2d) 638</w:t>
        </w:r>
      </w:hyperlink>
      <w:r>
        <w:rPr>
          <w:rFonts w:ascii="arial" w:eastAsia="arial" w:hAnsi="arial" w:cs="arial"/>
          <w:color w:val="000000"/>
          <w:sz w:val="20"/>
          <w:lang w:val="en-US" w:eastAsia="en-US" w:bidi="ar-SA"/>
        </w:rPr>
        <w:t xml:space="preserve"> at 469, where he says: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the question of implied consent to some person other than the actual borrower operating a motor vehicle, the owner's expectation and willingness to operation by another are material factors to be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There should be evidence to show, or support the inference, that the owner turned his mind to the likelihood of that further transfer of possession. If there is no such evidence, a court finding liability on the owner's part is not implying consent so much as deeming it. One of the commendable goals of s. 79(1) may be to induce owners of motor vehicles to exercise discretion when transferring control of them to others, but to impose liability in a case where such a transfer was not within the contemplation of the owner would do nothing to further that goal, and simply goes too far.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concept of consent, even though it be implied, is not satisfied by general evidence of willingness that another may drive. Willingness is an attitude that must be crystallized by an expectation that another will drive. For general willingness to amount to consent, certain specific circumstances must be within the owner's contemplation. These are the circumstances expected to arise in which possession may be transferred to a third person, and in which the owner would be willing for such a transfer to occur. This willingness and expectation must be in the owner's mind at the time when the vehicle is transferred to the original 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well understood by Mr. and Mrs. Morin that he was not permitted to drive her car. Under those circumstances, it cannot be said that there was both a willingness and expectation on her part that a third person would drive the car. To satisfy the test, the plaintiff must prove both willingness and an expectation. One without the other is not sufficient to meet the test. The plaintiff has not met the burden of proof imposed upon him with respect to either of the two elements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alternative, the plaintiff asserts that the defendant Morin was negligent in not taking steps to retrieve her vehicle from Louis Creek after she realized that her husband had taken it. The basis of the argument is that she ought to have known that he would likely drive while impaired by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It seems to me that to find the defendant liable in the circumstances of this case would be extending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too far. The following comments by Professor Klar referred to by Seaton J.A. in Schulz v. Leeside Developments Ltd. et al </w:t>
      </w:r>
      <w:hyperlink r:id="rId906" w:history="1">
        <w:r>
          <w:rPr>
            <w:rFonts w:ascii="arial" w:eastAsia="arial" w:hAnsi="arial" w:cs="arial"/>
            <w:i/>
            <w:color w:val="0077CC"/>
            <w:sz w:val="20"/>
            <w:u w:val="single"/>
            <w:shd w:val="clear" w:color="auto" w:fill="FFFFFF"/>
            <w:lang w:val="en-US" w:eastAsia="en-US" w:bidi="ar-SA"/>
          </w:rPr>
          <w:t>(1978), 90 D.L.R. (3d) 98</w:t>
        </w:r>
      </w:hyperlink>
      <w:r>
        <w:rPr>
          <w:rFonts w:ascii="arial" w:eastAsia="arial" w:hAnsi="arial" w:cs="arial"/>
          <w:color w:val="000000"/>
          <w:sz w:val="20"/>
          <w:lang w:val="en-US" w:eastAsia="en-US" w:bidi="ar-SA"/>
        </w:rPr>
        <w:t xml:space="preserve"> at 100 (B.C.C.A.) leave to appeal to S.C.C. refused is apropos to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is that there should be compensation owing to plaintiff by defendant only when the conduct of the defendant can be categorized as substandard, objectively speaking. This is not to say that people who are victimized by non-negligent conduct should not be compensated by society. It is not an argument for social injustice. Rather, the point is that, if a choice has been made that compensation will be awarded to a person victimized by another's unreasonable conduct and that this compensation will be effected by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there must be reasonable adherence to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its requirements for a successful action. Trying to overload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attempting to achieve, through it, a system of economic and efficient loss distribution, without regard to causation or fault, discredits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also fails to achieve the goal of effective loss distribution. If society wishes to choose the goal of efficient and economical loss distribution as its primary goal in the area of compensation for personal injury claims, then the tort law system of fault is the wrong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follows from my comments that the application of the defendant is allowed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LAMPERSON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3"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7"/>
          <w:headerReference w:type="default" r:id="rId908"/>
          <w:footerReference w:type="even" r:id="rId909"/>
          <w:footerReference w:type="default" r:id="rId910"/>
          <w:headerReference w:type="first" r:id="rId911"/>
          <w:footerReference w:type="first" r:id="rId9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3" w:history="1">
        <w:r>
          <w:rPr>
            <w:rFonts w:ascii="arial" w:eastAsia="arial" w:hAnsi="arial" w:cs="arial"/>
            <w:b/>
            <w:bCs/>
            <w:i/>
            <w:color w:val="0077CC"/>
            <w:kern w:val="32"/>
            <w:sz w:val="28"/>
            <w:szCs w:val="32"/>
            <w:u w:val="single"/>
            <w:shd w:val="clear" w:color="auto" w:fill="FFFFFF"/>
            <w:lang w:val="en-US" w:eastAsia="en-US" w:bidi="ar-SA"/>
          </w:rPr>
          <w:t>Meisenholder v. Wikdahl, [2005] B.C.J. No. 939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Keighley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April 28,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Cranbrook Registry No. 14139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939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630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448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Crystal Meisenholder, plaintiff, and Robert Alfred Wikdahl,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4"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6" w:name="Keywords_38"/>
      <w:bookmarkEnd w:id="256"/>
      <w:r>
        <w:rPr>
          <w:rFonts w:ascii="arial" w:eastAsia="arial" w:hAnsi="arial" w:cs="arial"/>
          <w:b/>
          <w:color w:val="000000"/>
          <w:sz w:val="20"/>
          <w:lang w:val="en-US" w:eastAsia="en-US" w:bidi="ar-SA"/>
        </w:rPr>
        <w:t>Civil procedure — Pleadings — Amendment of — Statement of defence — To withdraw admission of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7" w:name="Case Summary_35"/>
            <w:bookmarkEnd w:id="2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Wikdahl for leave to withdraw an admission made in his statement of defence. The plaintiff Meisenholder was claiming damages against Wikdahl for personal injuries arising from a motor vehicle accident that occurred in 2003 when Wikdahl turned left in front of Meisenholder. In the statement of claim, Meisenholder alleged Wikdahl was solely responsible for the accident. In the statement of defence, Wikdahl admitted the general issue of liability but denied the specific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in the statement of claim. The statement of defence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After the statement of defence was filed, a defence investigator spoke with an eyewitness who indicated that there was no traffic to be seen when Wikdahl began his turn and that Meisenholder had been speeding and had not decelerated before the accident. No trial date was set.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8" w:name="Holdings of Court_31"/>
            <w:bookmarkEnd w:id="25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withdraw of the general admission was in the interests of justice to allow the pleadings to reflect a triable issue with respect to the issue of liability. Meisenholder would not be prejudiced by the withdrawal as the litigation was in the early stages.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9" w:name="Legislation Cited_28"/>
      <w:bookmarkEnd w:id="2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5"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31, Rule 31(5)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0" w:name="Counsel_39"/>
      <w:bookmarkEnd w:id="26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6"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N.M. Robertson,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R.R. Cundari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1" w:name="Judgment_39"/>
      <w:bookmarkEnd w:id="261"/>
      <w:r>
        <w:pict>
          <v:line id="_x0000_s1217" style="position:absolute;z-index:251851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2" w:name="MASTER KEIGHLEY (orally)"/>
            <w:bookmarkEnd w:id="262"/>
            <w:r>
              <w:rPr>
                <w:rFonts w:ascii="arial" w:eastAsia="arial" w:hAnsi="arial" w:cs="arial"/>
                <w:b/>
                <w:color w:val="000000"/>
                <w:sz w:val="30"/>
                <w:lang w:val="en-US" w:eastAsia="en-US" w:bidi="ar-SA"/>
              </w:rPr>
              <w:t>MASTER KEIGHLEY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for leave to withdraw an admission made in paragraph 2 of the statement of defence, filed August 20, 2004. The defendant seeks leave to amend the statement of defence in accordance with the draft attached to the notice of motion. The defendant also seeks the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case arises out of a motor vehicle accident which occurred on February 18, 2003. The statement of claim in the action was filed on August 11,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her statement of claim, the plaintiff alleges that the defendant, Mr. Wikdahl, was solely responsible for the motor vehicle accident and alleges that the plaintiff suffered extensive and serious injuries. The injuries alleged include bilateral pain in her lower back, hips, pelvis, pubis and groin areas, with radiating or radicular pain in both legs, significant pain in her torso, the result of which has rendered her crippled, of limited liability, subject to constant pain, required to ingest painkilling drugs and further indicates that she suffers sleeplessness and is unable to engage in any physical activity for more than a few minutes at a time. At least at the time the statement of claim was filed, she alleges that she was able to walk only with crutches. She indicates that the diagnosis at that time was of severe myofascial pain, symphysis pubis and mechanical back pain, affecting soft tissues in the left sacroiliac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I indicated, the statement of defence was filed on August 20, 2004. Paragraph 2 of that statement of defence reads as follows:</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admits paragraphs 1 and 2 of the statement of claim herein, and the defendant, for the purposes of this action only, further admits the general issue of liability, but denies the specific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set out in the statement of claim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application to withdraw the admission and amend the statement of defence is opposed by Mr. Robertson, on behalf of the plaintiff, on two grounds. Firstly, that the amendment is unnecessary by virtue of the pleading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contained in paragraph 5 of the statement of defence and detailed in that paragraph. Secondly, Mr. Robertson says that the evidence, which the defendant now says impacts the issue of liability, could not establish complete liability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Now, at the time the statement of defence was prepared, Mr. Cundari says that it was drafted on the basis of evidence which the defendant then believed to be true. Mr. Cundari's instructions indicated that Mr. Wikdahl was liable for the accident as he was apparently executing a left-hand turn in front of the plaintiff and was unable to provide an explanation as to why he had failed to see the plaintiff's vehicle before beginning his turn. Apparently the defendant had, at the scene, indicated to an R.C.M.P. officer that he thought that the plaintiff had been speeding, but was advised by the officer that proposition would be difficult to 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fall of 2004 (and I note the statement of defence was filed August 20th of that year) defendant's counsel retained an investigator, Ms. Ashcroft, to conduct further investigations with respect to the accident. Ms. Ashcroft was, on December 7th of 2004, able to interview an eyewitness, Mr. Gilbert Findlay (phonetic), who indicated to the investigator that he had viewed the accident as it unfolded, in its entirety. His evidence, summarized in a statement before me, was to the effect that he observed the defendant, who was, prior to the accident, known to him, begin his left-hand turn at a time when no traffic could have been seen to the east, the direction from which the plaintiff's vehicle was travelling immediately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Findlay indicated to the investigator that the defendant was not able to complete his turn immediately, as he was obliged to stop in the traffic lane to allow another vehicle to exit the parking lot he was in the process of entering. Mr. Findlay estimated, in his statement to the investigator, that perhaps seventy per cent of the defendant's vehicle was on the highway and that the front portion of the vehicle was entering Granny's Restaurant parking lot. At the time, he observed the plaintiff's vehicle coming at high speed over the crest of the highway. Mr. Findlay indicated that he did not see any braking of the plaintiff's vehicle prior to its impact with the defendant's vehicle. Mr. Findlay was apparently present at the accident scene when the R.C.M.P. arrived, but was not interviewed.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now says that in light of this evidence to be led from Mr. Findlay, the general admission with respect to liability, contained in paragraph 2 of the statement of defence, should not have been made and seeks leave to withdraw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statutory authority to withdraw an admission is found in Rule 31 of the Rules of Court, specifically Rule 31(5)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Withdrawal of admission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is not entitled to withdraw</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admission made in response to a notice to admit,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deemed admission under subrule (2), or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admission made in a pleading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except by consent or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As a general rule, I must consider whether in the circumstances of this case that the interests of justice justify the withdrawal of the admission. Abacus Cities Ltd. v. Port Moody (City) </w:t>
      </w:r>
      <w:hyperlink r:id="rId914" w:history="1">
        <w:r>
          <w:rPr>
            <w:rFonts w:ascii="arial" w:eastAsia="arial" w:hAnsi="arial" w:cs="arial"/>
            <w:i/>
            <w:color w:val="0077CC"/>
            <w:sz w:val="20"/>
            <w:u w:val="single"/>
            <w:shd w:val="clear" w:color="auto" w:fill="FFFFFF"/>
            <w:lang w:val="en-US" w:eastAsia="en-US" w:bidi="ar-SA"/>
          </w:rPr>
          <w:t>(1981), 26 BCLR 381</w:t>
        </w:r>
      </w:hyperlink>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[1981] B.C.J. No. 1668</w:t>
        </w:r>
      </w:hyperlink>
      <w:r>
        <w:rPr>
          <w:rFonts w:ascii="arial" w:eastAsia="arial" w:hAnsi="arial" w:cs="arial"/>
          <w:color w:val="000000"/>
          <w:sz w:val="20"/>
          <w:lang w:val="en-US" w:eastAsia="en-US" w:bidi="ar-SA"/>
        </w:rPr>
        <w:t xml:space="preserv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implementation of Rule 31(5) was considered by this court in the decision of Nesbitt v. Miramar Mining Corporation, reported at </w:t>
      </w:r>
      <w:hyperlink r:id="rId915" w:history="1">
        <w:r>
          <w:rPr>
            <w:rFonts w:ascii="arial" w:eastAsia="arial" w:hAnsi="arial" w:cs="arial"/>
            <w:i/>
            <w:color w:val="0077CC"/>
            <w:sz w:val="20"/>
            <w:u w:val="single"/>
            <w:shd w:val="clear" w:color="auto" w:fill="FFFFFF"/>
            <w:lang w:val="en-US" w:eastAsia="en-US" w:bidi="ar-SA"/>
          </w:rPr>
          <w:t>[2000] B.C.J. No. 279</w:t>
        </w:r>
      </w:hyperlink>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2000 BCSC 187</w:t>
        </w:r>
      </w:hyperlink>
      <w:r>
        <w:rPr>
          <w:rFonts w:ascii="arial" w:eastAsia="arial" w:hAnsi="arial" w:cs="arial"/>
          <w:color w:val="000000"/>
          <w:sz w:val="20"/>
          <w:lang w:val="en-US" w:eastAsia="en-US" w:bidi="ar-SA"/>
        </w:rPr>
        <w:t>, a decision of Justice Drossos. In that case the learned judge set out a non-exhaustive list of factors to be considered on applications under Rule 31(5). They may be grouped under the general headings of delay, loss of trial date, party responsible for the erroneous admission, inadvertence in the making of the admission and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With respect to this latter point, I note that in the case of Drake (Guardian ad litem of) v. Clark </w:t>
      </w:r>
      <w:hyperlink r:id="rId916" w:history="1">
        <w:r>
          <w:rPr>
            <w:rFonts w:ascii="arial" w:eastAsia="arial" w:hAnsi="arial" w:cs="arial"/>
            <w:i/>
            <w:color w:val="0077CC"/>
            <w:sz w:val="20"/>
            <w:u w:val="single"/>
            <w:shd w:val="clear" w:color="auto" w:fill="FFFFFF"/>
            <w:lang w:val="en-US" w:eastAsia="en-US" w:bidi="ar-SA"/>
          </w:rPr>
          <w:t>(1996), 31 BCLR (3d) 289</w:t>
        </w:r>
      </w:hyperlink>
      <w:r>
        <w:rPr>
          <w:rFonts w:ascii="arial" w:eastAsia="arial" w:hAnsi="arial" w:cs="arial"/>
          <w:color w:val="000000"/>
          <w:sz w:val="20"/>
          <w:lang w:val="en-US" w:eastAsia="en-US" w:bidi="ar-SA"/>
        </w:rPr>
        <w:t>, a decision of the British Columbia Court of Appeal, the court held that it is no longer necessary for the doctrine of promissory estoppel to be invoked in applications to withdraw admissions. As under the terms of the rule, withdrawal may be made if such is in the interests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consideration of the factors set forth in the Nesbitt case, in the context of this litigation, reveals the following:</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Delay. The defendant indicates that the new evidence in this case, that is the evidence of Mr. Findlay and its impact on the issue of liability, became known to defence counsel only when Mr. Findlay was interviewed on December 7th of 2004. Mr. Cundari indicates that on January 25th the notice of motion and supporting materials seeking leave to withdraw the admission were mailed to plaintiff's counsel and to the registry for filing. It appears that that delay amounts to approximately six weeks without precise calculation.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loss of trial date. I am advised that no trial date has yet been set in this litigation.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Party responsible for the erroneous admissions changing evidence. The application to withdraw the admission is not based upon an alleged change in the evidence to be given by the defendant or other witnesses in this litigation, but rather to withdraw the admission based on new evidence from an eyewitness.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Inadvertence of admission. Mr. Cundari suggests that the admission of general liability was made inadvertently, in the sense that it was made on the basis of evidence thought to be true at the time the statement of defence was prepared and was at that time thought by counsel to be a proper admission.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Triable issue. The defendant submits that the issue of liability for a motor vehicle accident and specifically an admission with respect to that issue, is clearly a triable issue in light of the new evidence brought forward by Mr. Findlay.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 I indicated, the Nesbitt list is not exhaustive and another factor was contributed for a consideration by the case of Squamish Indian Band v. Canadian Pacific Ltd., reported at </w:t>
      </w:r>
      <w:hyperlink r:id="rId917" w:history="1">
        <w:r>
          <w:rPr>
            <w:rFonts w:ascii="arial" w:eastAsia="arial" w:hAnsi="arial" w:cs="arial"/>
            <w:i/>
            <w:color w:val="0077CC"/>
            <w:sz w:val="20"/>
            <w:u w:val="single"/>
            <w:shd w:val="clear" w:color="auto" w:fill="FFFFFF"/>
            <w:lang w:val="en-US" w:eastAsia="en-US" w:bidi="ar-SA"/>
          </w:rPr>
          <w:t>[1998] B.C.J. No. 1726</w:t>
        </w:r>
      </w:hyperlink>
      <w:r>
        <w:rPr>
          <w:rFonts w:ascii="arial" w:eastAsia="arial" w:hAnsi="arial" w:cs="arial"/>
          <w:color w:val="000000"/>
          <w:sz w:val="20"/>
          <w:lang w:val="en-US" w:eastAsia="en-US" w:bidi="ar-SA"/>
        </w:rPr>
        <w:t>, a decision of Madam Justice Saunders, then of the Supreme Court of British Columbia. The Squamish Indian Band case introduced a consideration of procedural efficiency. Mr. Cundari reports that given the early stage of this litigation, nothing has been lost in procedural efficiency as our trial date has been set and examinations for discovery have neither been held nor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Mr. Cundari also points out, as does Mr. Robertson, each for their client's particular purposes, that paragraph 5 of the statement of defence contains specific allegations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Paragraph 5 of the statement of defence reads as follows: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the defendant says that the alleged injuries of the plaintiff were caused or contributed to by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particulars of which are as follows: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operating a motor vehicle when it was not equipped with a properly attached seat belt assembly, or, in the alternative, in failing to wear the complete seat belt assembly in a properly adjusted and securely fastened manner;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being the operator of a motor vehicle in which a headrest device exists and in failing to properly adjust and utilize the said headrest;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keep any, or alternatively, any adequate lookout;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reduce the speed of the motor vehicle, or alternatively, failing to stop or turn out the motor vehicle seasonably or when she should have seen that a collision would occur, or, in the further alternative, in time to avoid such collision;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driving the motor vehicle without any, or alternatively, defective brakes, or in the further alternative, failing to apply the brakes on the motor vehicle in time to avoid the said collision;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driving the motor vehicle in a defective mechanical condition or alternatively in a condition that was hazardous to others;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keep the motor vehicle under any, or alternatively, under adequate control;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driving the motor vehicle without due care and attention or without reasonable consideration for others, or alternatively, in failing to take any or in the further alternative any reasonable precaution to avoid such collision;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sound the horn or other audible warning signal of her approach or of such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light of these pleadings, Mr. Cundari says that whether or not the application for leave to withdraw the admission is granted, the plaintiff will, by reason of this pleading, have to provide answers for the court in order to exculpate herself of blame with respect to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Robertson says that this pleading, in particular the general words at the beginning of the paragraph, indicating that the plaintiff's injuries were "caused or contributed to by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 specific allegations in subparagraph (c), (d), (e), (g) and (h), render withdrawal of the admission of liability unnecessary as the pleading already supports the potential for a finding that the plaintiff was entirely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this regard, Mr. Cundari refers me to the decision of Bernard v. Robinson, a decision of Master Groves of the Supreme Court of British Columbia, reported at </w:t>
      </w:r>
      <w:hyperlink r:id="rId918" w:history="1">
        <w:r>
          <w:rPr>
            <w:rFonts w:ascii="arial" w:eastAsia="arial" w:hAnsi="arial" w:cs="arial"/>
            <w:i/>
            <w:color w:val="0077CC"/>
            <w:sz w:val="20"/>
            <w:u w:val="single"/>
            <w:shd w:val="clear" w:color="auto" w:fill="FFFFFF"/>
            <w:lang w:val="en-US" w:eastAsia="en-US" w:bidi="ar-SA"/>
          </w:rPr>
          <w:t>[2003] B.C.J. No. 2146</w:t>
        </w:r>
      </w:hyperlink>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2003 BCSC 1424</w:t>
        </w:r>
      </w:hyperlink>
      <w:r>
        <w:rPr>
          <w:rFonts w:ascii="arial" w:eastAsia="arial" w:hAnsi="arial" w:cs="arial"/>
          <w:color w:val="000000"/>
          <w:sz w:val="20"/>
          <w:lang w:val="en-US" w:eastAsia="en-US" w:bidi="ar-SA"/>
        </w:rPr>
        <w:t>. In that case, Master Groves, considering an application of a similar nature, reviewed the factors set forth in the Nesbitt case and approved of and applied them. At paragraph 21 of his decision he said as follows: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note earlier, the admission that is requested to be withdrawn is inconsistent with the balance of the original statement of defence. Though liability is admitted, a number of other paragraphs of the statement of defence purport to raise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in fact deny liability. The amended statement of defence further articulates those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result of these allegations and the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without the admission being withdrawn, it would still be open to the defendant to argue that the plaintiff was 99 per cent responsible for the accident based on the principles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net effect of the withdrawal of the admission is to allow the defendant to argue that the plaintiff is 100 per cent responsible for the accident not just 99 per cent. Based on that consideration as well, I am not satisfied that prejudice has been established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satisfied that leave to withdraw the general admission should be granted in this case, in the interests of justice, to allow the pleadings to reflect a triable issue with respect to the issue of liability, subject to consideration of the possibility of prejudice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Robertson candidly concedes that he is not presently aware of any prejudice which the plaintiff will suffer with respect to withdrawal of the admission at this early stage of this litigation and I am unable to see, on the basis of the material before me, any reasonable suggestion that the plaintiff will be so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I indicated, the litigation is in its very early stages, no trial date has been set and examinations for discovery have neither been scheduled or held. It appears as though the only step which has taken place in the litigation, apart from the closing of the pleadings, has been the exchange of lists of documents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applying the principles set forth in the Nesbitt case, the Squamish Indian Band case and in the absence of prejudice to the plaintiff, there will be an order granting the defendant leave, pursuant to Rule 31(5) to withdraw the general admission contained in paragraph 2 of the statement of defence. There will also be an order granting the defendant leave to amend its statement of defence in the terms of the draft attached to the notice of motion which brought this application before the court. Costs, gentlemen?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CUNDARI: I just ask that costs follow the event. Costs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COURT: What do you say, Mr. Robertson?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ROBERTSON: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ROBERTSON: I think that's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All right. Costs will be in the cause. Thank you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CUNDARI: Thank you, Your Honour.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KEIGHLEY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8"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9"/>
          <w:headerReference w:type="default" r:id="rId920"/>
          <w:footerReference w:type="even" r:id="rId921"/>
          <w:footerReference w:type="default" r:id="rId922"/>
          <w:headerReference w:type="first" r:id="rId923"/>
          <w:footerReference w:type="first" r:id="rId9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5" w:history="1">
        <w:r>
          <w:rPr>
            <w:rFonts w:ascii="arial" w:eastAsia="arial" w:hAnsi="arial" w:cs="arial"/>
            <w:b/>
            <w:bCs/>
            <w:i/>
            <w:color w:val="0077CC"/>
            <w:kern w:val="32"/>
            <w:sz w:val="28"/>
            <w:szCs w:val="32"/>
            <w:u w:val="single"/>
            <w:shd w:val="clear" w:color="auto" w:fill="FFFFFF"/>
            <w:lang w:val="en-US" w:eastAsia="en-US" w:bidi="ar-SA"/>
          </w:rPr>
          <w:t>Patriquin v. Laurentian Trust of Canada Inc., [2000] B.C.J. No. 792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27 - 29,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C976521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792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453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E. Patriquin, plaintiff, and Laurentian Trust of Canada Inc., Capital Productions Inc., Frank Biller, Brian Slobogian, Eron Mortgage Corporation and Douglas F. Jackie,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9"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3" w:name="Keywords_39"/>
      <w:bookmarkEnd w:id="263"/>
      <w:r>
        <w:rPr>
          <w:rFonts w:ascii="arial" w:eastAsia="arial" w:hAnsi="arial" w:cs="arial"/>
          <w:b/>
          <w:color w:val="000000"/>
          <w:sz w:val="20"/>
          <w:lang w:val="en-US" w:eastAsia="en-US" w:bidi="ar-SA"/>
        </w:rPr>
        <w:t>Practice — Judgments and orders — Summary judgments — To dismiss action — Equity — Fiduciary or confidential relationships — Breach of fiduciary relationship — Commercial relationships — Mortgages — Broker and principal.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4" w:name="Case Summary_36"/>
            <w:bookmarkEnd w:id="2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Jackie and Laurentian Trust to dismiss Patriquin's claims against them. Laurentian was the trustee of RRSP funds held on behalf of Patriquin. The defendants Biller and Slobogian were the principals of the defendant Eron Mortgage Corporation. Jackie was a lawyer who had acted for Patriquin in a number of mortgage transactions. Patriquin hired another lawyer to negotiate his participation in an Eron-funded mortgage, through the defendant Capital Productions. Jackie received instructions from Eron to fund the transaction. Patriquin was on the list of investors, but there were no instructions to give Patriquin priority. Patriquin advanced funds which were forwarded to a firm of Alberta solicitors, who registered the mortgage on the Alberta property. The Registrar of Mortgage Brokers issued an order suspending the registrations of Eron, Slobogian and Biller as mortgage brokers, and Eron's assets were frozen. A receiver and judicial trustee were appointed. Patriquin brought an action for loss of the profits he might have realized had the mortgage investment been realized. Patriquin claimed that Jackie and Laurentian breached the duty of care owed to him.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5" w:name="Holdings of Court_32"/>
            <w:bookmarkEnd w:id="265"/>
            <w:r>
              <w:rPr>
                <w:rFonts w:ascii="arial" w:eastAsia="arial" w:hAnsi="arial" w:cs="arial"/>
                <w:color w:val="000000"/>
                <w:sz w:val="20"/>
                <w:lang w:val="en-US" w:eastAsia="en-US" w:bidi="ar-SA"/>
              </w:rPr>
              <w:t>HELD: Application allowed and Patriquin's claim as against Jackie and Laurentian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damages alleged apparently arose out of the particular agreement Patriquin negotiated with Eron and Capital Productions, which was outside the security afforded by the mortgage. The arrangement was concluded without any involvement on Jackie's part, before Jackie did, or failed to do, any of the things upon which Patriquin based his claim. Jackie did not owe a fiduciary duty to Patriquin, he met the standard of care imposed on him in the circumstances, and there was no breach of that standard of care that caused any damages. There was no abuse of the relationship by Laurentian or anything that could have been construed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fiduciary duty. Patriquin did not prove that even if the release of the funds occurred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Laurentian, he was in a worse position than he would have been had there been better evidence of his agreement.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6" w:name="Legislation Cited_29"/>
      <w:bookmarkEnd w:id="2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0"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7" w:name="Counsel_40"/>
      <w:bookmarkEnd w:id="2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1"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D.G. Fredricksen, for the plaintiff. S.P. Strukoff, B.G. Baynham, Q.C., and R.P. Attisha, for the defendants, Laurentian Trust, Douglas F. Jackie.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8" w:name="Judgment_40"/>
      <w:bookmarkEnd w:id="268"/>
      <w:r>
        <w:pict>
          <v:line id="_x0000_s1222"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9" w:name="McEWAN J."/>
            <w:bookmarkEnd w:id="269"/>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Douglas F. Jackie and Laurentian Trust of Canada Inc. apply for dismissal of the claims the plaintiff brings against them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for his part, seeks judgment pursuant to Rule 18A against the same defendants, in separate motions, for $924,552.10.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arises out of the plaintiff's participation in July and August of 1997 as an investor in a syndicated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a real estate investor and businessman of considerable experience. He considers himself a "risk taker" and says he is "willing to take a risk for high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about 1993 the plaintiff began to invest money through Eron Mortgage Corporation, a mortgage broker. He says he would insist upon a combination of lenders' fees and interest rates that would give him a rate of return of 30-50% per annum, depending on the transaction and the degree of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Brian Slobogian and Frank Biller were principals of Eron Mortgage Corporation. The plaintiff had a direct personal relationship with Messrs. Slobogian and Biller. It was, in fact, Mr. Patriquin who introduced Mr. Jackie to Brian Slobogian in 1993, following which Mr. Jackie began to perform legal work for Eron. Before that time Mr. Jackie had, from time to time, acted for Mr. Patriquin in a number of mortgage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Laurentian Trust of Canada Ltd. was the trustee of certain R.R.S.P. funds held on behalf of Mr. Patriquin. It had been involved in two previous transactions with Eron involving Mr. Patriquin.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1996 Mr. Patriquin had advanced approximately $500,000 out of his Laurentian Trust R.R.S.P. to an Eron mortgage on property owned by an entity called Gateway Developments. Mr. Patriquin felt that the security Mr. Jackie prepared did not reflect his total agreement with Eron. In the aftermath of this transaction Mr. Patriquin resolved that in any further Eron transactions involving Mr. Jackie he would seek his own lawyer to protect his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Patriquin had discussions with Eron's principals in July of 1997 concerning the possibility of his participation in an Eron-funded mortgage - through Capital Productions - on property in Edmonton. Mr. Patriquin said that as a result of his past experience he wanted to be very careful to ensure that he got the security he bargained for. Accordingly on July 10, 1997 he engaged a solicitor, Mr. Brad Hara, to act in his interest in connection with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Patriquin negotiated the terms upon which he would advance funds to this mortgage directly with Mr. Slobogian. On July 11, 1997, Mr. Patriquin sent a note to Mr. Hara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 has made a deposit of $400,000. We are repaying this equity. If the statement of adjustments shows they only need $1,300,000 that's the amount, if $1,500,000 that's also OK. We are only supplying what they need to close.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intends our funding to be part of a much larger mortgage. That's OK as long as the $1,400,000 has priority within the mortgage and any additional funding going into the mortgage must be used to pay us down. The $400,000 has to stay in the deal and can go into the mortgage but must rank behind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to follow, maybe.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13, 1997 he sent Mr. Hara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Brad, I have not been able to discuss the final terms of the mortgage with Brian. Please hold off doing more on the file untill [sic] you hear from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next documented activity was on July 31, 1997. Mr. Patriquin sent Mr. Hara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Brad, the Edmonton deal is back on. Closes today.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Doug Jackie is drawing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advancing $1,500,000 + fee into a debenture of approximately $4,000,000.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Funds from RRSP's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to have a first priority over all other funds in debenture.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Term 90 days.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fee for advancing for 90 days and then further 5% fee for additional 90 day extensions. If not repaid each 90 day period to have 5%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Interest rate 15% per annum payable monthly.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Debenture in 2nd. place behind a bank conventional 1st.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Amount of 1st. is either 5 or 5.5 million.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we are to receive a standby fee of $7,000 as we collapsed a term early to fund this deal a couple weeks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said mortgage guaranteed by Chambers, Slobogian and Biller.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to receive a term sheet this morning and will forward to you if received.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Look at previous correspondence to see if I have missed anything.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Submit your bill for payment from closing.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leaving for Seattle at noon and will be at the WestCoast Paramount Hotel.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cell phone is the best to try. New # 612 7999.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Patriquin also sent a copy of this memorandum to Mr. Jackie.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his affidavit of April 30, 1999 Mr. Patriquin explains his position:</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July 31, 1997, it had been tentatively agreed between Mr. Slobogian and I that Phyllis and I would together loan from our R.R.S.P. accounts a total of $1,500,000.00. This was the largest single loan I had ever made and I wanted to be sure that I was protected in respect of the loan. There were a number of terms which I insisted upon in order to provide me with adequate protection. I wanted to have priority over all of the other investors who were investing in the mortgage. To me that meant that I would be paid my funds back before any of the other investors received anything. This would provide additional protection to me in the unlikely event that it was necessary to foreclose on the property.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was to be paid a five percent fee in respect of the initial advance, and then a further five percent fee for each additional 90 day extension if repayment was not made within 90 days. As well, the repayment of my funds was to be guaranteed by Martin Chambers, and by Brian Slobogian and Frank Biller, both of whom were principals involved with Eron Mortgage Corporation. These last two terms, that is, the additional five percent fee for each 90 day period and the guarantees, indicated to me that Eron Mortgage Corporation and its principals would make sure that I was paid out within the initial 90 day period as it would be costly to them if I was not paid out within the initial 90 day period.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upon my dealing with Brian Slobogian on a number of mortgages which I funded through Eron Mortgage Corporation, I was very aware that as long as Brian Slobogian and Eron Mortgage Corporation needed my money in order to fund a mortgage I had bargaining power with Eron Mortgage Corporation and Brian Slobogian. As soon as they received my money, or the money of other investors so that they did not need my money, I had little or no bargaining power.</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sent by fax a copy of the memorandum to Doug Jackie, who I understood at the time was drafting the documents which would carry out the terms of any agreement which I made with Eron Mortgage Corporation, and which would provide me with my security. I wanted Mr. Jackie to know the terms on which I was prepared to advance funds and I wanted him to know that in respect of this particular transaction, I was represented by Brad Hara. I knew that Mr. Jackie would then have to deal with Mr. Hara in order to finalize any of the documents which were to be provided to me as security. Mr. Hara would then have a chance to review the documents and discuss them with me so that we could jointly determine whether I was being provided with all of the security which had been agreed upon between Mr. Slobogian and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memorandum referred to in paragraph 22 of the affidavit is the memorandum reproduced in paragraph [12]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Jackie's reaction is set out in his affidavit of March 2, 1999:</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receipt of the fax from Patriquin, I immediately sent a fax to John Taylor of Eron. Eron could not provide priority for Patriquin over any other investor - all investors were to be treated equally. Whatever side-arrangement Patriquin had arranged with Eron through his solicitor was not part of the mortgage itself. . .</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immediately contacted Patriquin's solicitor, Mr. Hara, to advise him that Eron could not provide Patriquin with any greater priority than the other investors in the Mortgage. I specifically told Mr. Hara that it was up to him as Patriquin's lawyer to work out the loan arrangements with Eron. I told him that I acted solely for Eron and not for Patriquin. I further informed him to ensure that his client did not contact me in the future with respect to the transaction.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fax note to Mr. Taylor in Mr. Jackie's handwriting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find fax I received this am from David Patriquin.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is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fearful of receiving documents like this from David. The last time this happened, the deal went sideways &amp; David threatened to sue me because I did not follow his instructions. Then, as now, I did not act in any way for David. Please call me to clarify.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notes of Mr. Jackie's telephone conversation with Mr. Hara read:</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can't give D/P anything till more than oth inv.</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Hara to deal w D/P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Hara described these events in his affidavit of April 30, 1999 as follows:</w:t>
      </w:r>
      <w:r>
        <w:rPr>
          <w:rFonts w:ascii="arial" w:eastAsia="arial" w:hAnsi="arial" w:cs="arial"/>
          <w:sz w:val="20"/>
          <w:lang w:val="en-US" w:eastAsia="en-US" w:bidi="ar-SA"/>
        </w:rPr>
        <w:cr/>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31, 1997, I discussed with Doug Jackie the possibility that the Patriquins could be provided priority over other investors. Mr. Jackie indicated that the priority might be given by use of two separate schedules to be attached to the Declaration of Trust. Those persons on "Schedule A" would have priority over those persons who were listed on "Schedule B". Mr. Jackie further informed me that the term of the mortgage was one year, with an expiry date of July 31, 1998. He indicated to me that within the mortgage there were no personal guarantees by anyone and no fund had been set aside for payment of legal expenses. Mr. Jackie suggested that I send my account for services rendered on behalf of Mr. Patriquin to Eron Mortgage Corporation which I considered synonymous with Capital Productions Inc. Mr. Jackie further indicated that Mr. Patriquin had a term sheet which contained the terms of his agreement with Eron Mortgage Corporation in respect of the mortgage funding. Mr. Jackie also advised me that as at that time Eron was "still short of funds" which I understood to mean that Eron had still not found sufficient investors in order to fund the entire amount of the mortgage. Mr. Jackie did not emphatically tell me that priority could not be granted to the Patriquins. He had suggested a way in which priority could be granted but suggested he could not provide any commitment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term sheet reads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AGREEMENT FOR MORTGAGE FUNDING $4,300,000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CAPITAL PLACE - TOWER ON THE PARK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98th Ave. &amp; 110th St. Edmonton Alberta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 storey apartment hotel and 9 storey office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483"/>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BORROWER: CAPITAL PLACE - TOWER ON PARK</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INVT #30404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LENDER: Patriquin, David E.</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MORT# 4002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INVR# 5885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Address of Lender: 2308 Folkstone Way</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BRKR# ATMB</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West Vancouver, BC V7B 3C7</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Phone: (604) 926-6226</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acceptance by Capital Productions Inc. by an authorized signature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to participate in the above noted term of expire 5 Nov. 1997 and to the syndication of this mortgage and the terms under which I will participate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510"/>
        <w:gridCol w:w="2195"/>
        <w:gridCol w:w="419"/>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Principle Funded</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$1,400,000.00</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RSLT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Lender Fee</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$70,000.00</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IFEE Fee Status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Included in Amount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$187.25</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RRFE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Participation $1,470,187.25 Compounded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Frequency Monthly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Interest Rate 15.000% Per annum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Approximate Payment $18,377.34 to Laurentian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 Canada Inc. RRSP# 299-4001293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First Payment Date 31 Aug 1997 (OR ONE Month after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Mortgage Funding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Second Mortgage charge on subject Property subject to a new First Mortgage $4,500,000 from the Royal Bank of Canada at Prime - 1.75%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Second Assignment of Rents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Covenant of Borrower 708804 Alberta Ltd. FRANK BILLER, BRIAN SLOBOGIAN, ERON MORTGAGE CORP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Corporate Guarantee of 570 Dunsmur Holdings Ltd. (parent company).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Security Agreement over all other assets on the property.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$90,000 additional lender fee earned if loan is not paid out by Nov 5, 1997, and [illegible] 90 days thereafter.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acknowledge that CAPITAL PRODUCTIONS INC. (Capital) will appoint legal counsel to prepare and register the security required for the loan. The mortgage will be held by a numbered company acting as a Bare Trustee for all the investors in the mortgage pursuant to a Declaration on which my name will be registered to secure my investment. Legal counsel appointed by Capital will process the advance of funds and register the name and investment value for each investor on the Declaration. The Declaration shall be issued by the Bare Trustee to each investor along with a copy of the security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August 5, 1997 Mr. Jackie received instructions from Eron to fund the transaction. The Patriquin's were on the list of investors. There were no instructions to give them priority. Mr. Jackie prepared a declaration "fracturing" the mortgage, that is, setting out the respective interests of the various participants in the mortgage. This was then forwarded to Laurentian with a list of lenders, and Laurentian returned funds of $2,470,157, including $1,500,000 from Mr. Patriquin and his wife. Mr. Patriquin's participation in the mortgage was $1,400,000, together with a lender fee of $70,000 and a R.R.S.P. fee reimbursement of $187.25. Mrs. Patriquin's share was $100,000 with a lender fee of $12,000 and a R.R.S.P. fee reimbursement of $187.25.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Jackie then advanced the funds to a firm of Alberta solicitors, who registered the mortgage on the Alberta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Jackie next heard from Mr. Hara on October 2, 1997 in a letter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tried unsuccessfully on numerous occasions to have the Term Sheets executed by the parties confirming the loan by the Patriquins. We enclose our letter dated July 31, 1997, confirming that the Patriquins would not be prepared to provide funds unless Term Sheets could be completed. We further enclose our letter dated August 21, 1997, in which we had indicated that there was no authority for the disbursement of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advise immediately what steps will be taken to remedy this situation. If we have not received satisfactory response from you by Monday, October 5, 1997, we have been instructed by our client to take all legal steps to recover the funds and any damages flowing from the unauthorized use of those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attached letters read, respectively:</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31, 1997 to Capital Productions Ltd., Attention John Taylor from Bradley T. Hara: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Further to our telephone conversation of today's date, we confirm that you are checking with corporate counsel to determine whether Mr. and Mrs. Patriquin can be granted priority over other investors by virtue of a declaration of trust. Please advise us as soon as possible as to that determination. If Mr. and Mrs. Patriquin cannot be provided priority, they are not prepared to forward funds. If Mr. and Mrs. Patriquin will be granted priority, we will require amendments to be made to the term sheet.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21, 1997 to Capital Productions Ltd., Attention Messrs John Taylor and Frank Biller from Bradley T. Hara: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have tried unsuccessfully to have a correct Term Sheet executed by the parties confirming the loan by the Patriquins in the amount of $1,500,000.00. In the absence of the executed Term Sheet, there is no authority for the disbursement of the funds for Capital Place - Tower on the Park. Please be advised that we require your immediate attention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Jackie had never seen this correspondence. The July 31 letter is also the letter referred to in paragraph 12 of Mr. Hara's affidavit reproduced in paragraph [18]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October 3, 1997 the Registrar of Mortgage Brokers issued an order suspending the registrations of Eron, Slobogian and Biller as mortgage brokers, and Eron's assets were frozen. Mr. Justice Tysoe, of this court, issued an order appointing a receiver and judicial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October 8, 1997 Mr. Hara wrote Mr. Jackie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fax dated October 2, 1997, and given the recent events regarding Capital Productions Inc., we have been instructed by our client to advise you that civil action is contemplated against all persons involved, including you. We note that if you had reviewed our clients' Term Sheets there were requirements for payment upon ninety day extensions, among other terms, which have not been incorporated into the mortgage. Please advise what steps you propose to remedy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Jackie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your letters of October 8, 1997 and the copy of the letter you sent to Capital Productions on October 2, 1997.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reviewed my file on this matter and the following is clear: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thing on the morning of July 31, 1997 I received a fax from David Patriquin - copy follows.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I sent a copy of his fax to John Taylor at Eron with my comments noted on the fax cover sheet - copy follows.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day I talked to you on the matter - my discussion with you was to the same effect as similar conversations I have had with David on several other deals, namely that it is not possible for me to give any preference or priority to any investor participating in a mortgage and I left it with you to deal with Eron on the matter - copy of my notes to this effect follow.</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of July 31, 1997 you sent to John Taylor (copy enclosed with our fax to me of October 2, 1997) was likely the action you took following my discussion with you set out in 3. I was not aware of this correspondence before you sent it to me nor was it relevant to me on October 2, 1997, as you were responsible for satisfying David's concerns.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5, 1997 I received fax instructions from Eron setting out the cash and RRSP investors that were participating in the funding. A copy of the instructions from Eron follow. You will see that the names and participation of David Patriquin and Phyllis Patriquin are set out at the bottom of page 3 of the investor 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5.(sic) The cheque for the cash portion was delivered to me mid day on August 5th and Barbara Murphy made the RRSP funds available for pickup at 3:50 pm. Laurentian's letter of instructions follow. You will see this letter states ... "With reference to the letters of direction received from our planholders ...". In other words, Laurentian is saying that David and Phyllis Patriquin signed directions authorizing Laurentian to fund, and delivered them either to Laurentian directly or to Eron, who in turn sent them on to Laurentian.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result, no authorizations were ever delivered to me nor were any term sheets regarding the investments. This is entirely consistent with my role as acting solely for Eron in the funding and specifically not for the investors. In David's case, this situation was made abundantly clear by the exchanges set out in 1, 2 and 3 above and confirmed by your letter in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trust this clarifies my role in this transaction and gives you the information as to where you might want to make further enquiries.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January 25, 1998 following the issue of pleadings in this matter, Mr. Jackie had counsel put Mr. Patriquin on notice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letter of October 8th, 1997, Mr. Patriquin's previous lawyer, Bradley Hara, was provided with copies of the documentation relating to this action. It is abundantly clear from the documentation that if your client has any claim, it is against Mr. Hara rather than Mr. Jackie. For some reason you have chosen not to sue Mr. Hara. Based on the documentation and information already provided to your client, it should be apparent that your client does not have a claim against Mr. Jackie. Mr. Jackie advised your client that he was not acting for him and would seek instructions from his own client. We are hereby requesting you to consent to a dismissal of the action against Mr. Jackie. If you do not consent to such dismissal then we will be seeking increased or special costs against your client. In that regard we draw your attention to the decision of Roberge v. Huberman and Cristall, </w:t>
      </w:r>
      <w:hyperlink r:id="rId926" w:history="1">
        <w:r>
          <w:rPr>
            <w:rFonts w:ascii="arial" w:eastAsia="arial" w:hAnsi="arial" w:cs="arial"/>
            <w:i/>
            <w:color w:val="0077CC"/>
            <w:sz w:val="20"/>
            <w:u w:val="single"/>
            <w:shd w:val="clear" w:color="auto" w:fill="FFFFFF"/>
            <w:lang w:val="en-US" w:eastAsia="en-US" w:bidi="ar-SA"/>
          </w:rPr>
          <w:t>[1996] B.C.J. No. 139</w:t>
        </w:r>
      </w:hyperlink>
      <w:r>
        <w:rPr>
          <w:rFonts w:ascii="arial" w:eastAsia="arial" w:hAnsi="arial" w:cs="arial"/>
          <w:color w:val="000000"/>
          <w:sz w:val="20"/>
          <w:lang w:val="en-US" w:eastAsia="en-US" w:bidi="ar-SA"/>
        </w:rPr>
        <w:t>, (Jan. 30th, 1996, Vancouver Registry No. C933818).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claim by Mr. Patriquin is for loss of the profits he might have realized had the mortgage investment in Capital Place gone well. He did get back his investment of $1,400,000 and his lender's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theory of Mr. Patriquin's claims against the defendant Jackie is set out in his Outline as follows: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31, 1997, Patriquin, by means of a faxed memorandum which was addressed to Brad Hara, a lawyer, a copy of which went to Jackie, advised Jackie of the terms under which Patriquin was prepared to loan his funds to the borrower. The memorandum further alerted Jackie to the fact that in respect of the Capital Place Project loan transaction, the Plaintiff was represented by a lawyer, Brad Hara.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31, 1997, Jackie spoke with Brad Hara by telephone and advised Brad Hara that Mr. Hara and Mr. Patriquin should directly negotiate the terms of the loan agreement with Capital Productions Inc.</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both directly and through Mr. Hara, further negotiated the terms on which he was prepared to advance funds to the borrower. An agreement was reached between Capital Productions Inc., which was acing as a mortgage broker, and Patriquin during the weekend of August 2 - 4, 1997.</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5, 1997, Jackie was aware that some or all of the terms of the agreement reached between Capital Productions Inc. and Patriquin were embodied in a written document referred to as a "term sheet".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5, 1997, Jackie wrote to Laurentian Trust, the agent and trustee of the Plaintiff, who held the Plaintiff's funds in an R.R.S.P. account, and requested Laurentian Trust to advance to Jackie $1.5 million of the Plaintiff's funds.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Jackie placed the Plaintiff's funds into his trust account, and 11 minutes later paid the funds out of his trust account to the solicitors for the borrower in Alberta.</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Jackie paid the funds to the solicitor for the borrower, he knew that Patriquin had not received the security which Patriquin had indicated was required in his memo of July 31, 1997.</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Jackie had no information which indicated that Patriquin had changed his position with respect to the terms on which he was prepared to advance the terms. Jackie did not contact Mr. Hara to request funding from Mr. Patriquin even though Jackie knew that Mr. Hara was acting for Mr. Patriquin in connection with the transaction.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Patriquin received all of the amounts which he had been promised in his agreement with Capital Productions Inc., he would have been paid on April 13, 1999, $2,501,904.90. He in fact received on April 13, 1999, $1,577,352.81, an amount which is $924,552.10 less than he should have received.</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Jackie not breached his duties to the Plaintiff, the Plaintiff would have received at least an additional $600,000.00 plus interest, which amount would have been fully secured by Capital Productions Inc.</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 of the circumstances, Jackie owed the following overlapping duties to the Plaintiff:</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arising from placing himself in a sufficient relationship of proximity to the Plaintiff that it was reasonably foreseeable that the Plaintiff could be harmed by the actions or inactions of Jackie.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arising out of the fact that Jackie agreed to exercise his professional special skill in connection with the Plaintiff's funding of the Capital Place Mortgage.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fiduciary duty arising from the fact that Jackie called for and obtained possession of $1.4 million of the Plaintiff's funds at a time when Jackie knew or ought to have known that the Plaintiff was only prepared to have those funds advanced to the borrower on the terms outlined in the Plaintiff's memorandum of July 31, 1997, or on other terms agreed to by the Plaintiff.</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ethical duty, breach of which is actionable, to refrain from dealing with any person other than Brad Hara in connection with Patriquin's involvement with the Capital Place Mortgage transaction.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breach by Jackie each of the four separate but overlapping duties which Jackie owed to the Plaintiff, the Plaintiff has suffered compensable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theory of his claim against the defendant Laurentian is set out in his Outline as follows: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Basis for seeking relief:</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Laurentian Trust acted as a trustee for the Plaintiff, and according owed fiduciary duties and a duty of care to the Plaintiff.</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Laurentian Trust breached its fiduciary duty and its duty of care to the Plaintiff when Laurentian Trust forwarded to Douglas Jackie, a solicitor acting for Eron Mortgage Corporation and Capital Productions Inc., $1.4 million of the trust funds which Laurentian Trust was holding as trustee for the Plaintiff, directly contrary to the Plaintiff's instructions with respect to the funds, or in the alternative, without authorization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facts do not support the claims the plaintiff asserts.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of July 31, 1997 it is clear on the material that Mr. Patriquin was still attempting to negotiate more favourable terms with the principals of Eron/Capital Place. Mr. Jackie made it clear to Mr. Hara that he could not give priority to Mr. Patriquin. This is confirmed in Mr. Hara's own affidavit (paragraph 9, paragraph [18] above). Whether or not there was a discussion, as Mr. Hara asserts, respecting a mechanism by which priority could be given to Mr. Patriquin, it was clear that any such arrangement would be a matter of negotiation and discussion between Mr. Patriquin, or his representatives, and the principals of Eron/Capital, Slobogian or Biller.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Following discussions on the August long weekend, all Mr. Jackie knew was that, according to his client, the transaction was to go through, and that Mr. Patriquin would be a funding participant in the mortgage. On the material before me, Mr. Jackie had made it clear he was not acting for Mr. Patriquin; that he could not make any commitment to give Mr. Patriquin any priority; and that such considerations would be a matter of negotiations between Mr. Patriquin and the principals of Eron/Capital.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legal status of the additional terms Mr. Patriquin negotiated are accurately set out in Mr. Hara's letter of August 6, 1997 to Mr. Patriquin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the transaction had been put through: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received by facsimile this morning, the term sheets, which we note have not been signed by Capital Productions Inc., Frank Biller, Brian Slobogian or Eron Mortgage Corporation. In reviewing the term sheets, we note that it does not include the stand by fee, our legal fees in the approximate amount of $325.00 and the requirement for an actuarial certificate of the annual rate of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covenants of Mr. Biller, Mr. Slobogian and Eron Mortgage Corporation, each should sign the term sheet.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We further confirm our advice that the terms of this agreement are not contained within the mortgage document which has been registered in Alberta. A default under the term sheet would not allow you to foreclose the Alberta property. Rather, the term sheet constitutes a separate contract made between yourself, Phyllis, Capital Productions Inc., Frank Biller, Brian Slobogian and Eron Mortgage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you require any further assistance, please contact the writer.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Neither Mr. Patriquin nor Mr. Hara has provided any evidence that the additional terms were drawn to Mr. Jackie's attention or that there was any communication to Eron/Capital or Mr. Jackie that there was any form of condition precedent to the advance of funds. Mr. Hara deposed that 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expected that once Mr. Patriquin and Capital Productions Inc. had finalized the terms of their business arrangement, [he] would be provided with a copy of the fully executed term sheet which evidenced that agreement and that draft security documents would be provided to me by the lawyer who prepared them. [He] would then review with Mr. Patriquin those documents and the terms of the agreement which Mr. Patriquin had made with or through Capital Productions Inc. to ensure that all of the terms of Mr. Patriquin's agreement were complied with and that Mr. Patriquin received the security that he had bargained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Hara said he was "surprised and upset" that no one told him the funds were going to be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Patriquin deposes that he was "livid" when he found that Capital Productions Inc. had "obtained the money . . . without our consent, without the knowledge of our lawyer, Mr. Hara, and contrary to my instructions to Laurentian Trust to advance the funds in respect of this transaction to Mr. Hara."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most surprising, in the face of these assertions, that neither Mr. Hara nor Mr. Patriquin protested or did anything to address the situation on August 6, 1997. Mr. Hara's only ongoing involvement was not to put Mr. Jackie and Laurentian on notice, or to seek to reverse the transaction, but to, apparently, attempt to "shore up" the additional security Mr. Patriquin had negotiated directly with Eron/Capital.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Patriquin acknowledged that advances were typically made on the basis of term sheets, and that neither he nor Mr. Hara advised Laurentian, Mr. Jackie, or anyone else that Mr. Hara expected funds to flow through his account before being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circumstances none of the duties alleged by Mr. Patriquin are made out. In particular, dealing with the allegations Mr. Patriquin made in turn:</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"relationship of proximity to the plaintiff that it was reasonably foreseeable that the plaintiff could be harmed by the actions of inactions of Jackie."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Jackie owed a duty to Eron/Capital to carry out its instructions and to prepare documents effective to their purposes. There is no suggestion he did not do so. The suggestion is that somehow Mr. Jackie, knowing nothing of the collateral arrangements between Eron/Capital and Mr. Patriquin except that there were discussions as of July 31, 1997 - which he had he declined to have anything to do with - was obliged, because he received instructions to fund the mortgage from money that included Mr. Patriquin's investment, to question whether matters had been resolved. He was under no such duty, and breached no duty in failing to hold the transaction up, or to make queries on behalf of Mr. Patriquin on his own, contrary to his instructions from Eron, and without instructions from Mr. Patriquin.</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"duty of care arising out of the fact that Jackie agreed to exercise his professional special skill in connection with the plaintiff's funding of the Capital Place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no evidence of any agreement on Mr. Jackie's part to exercise any skill on behalf of Mr. Patriquin. On the contrary, he made it clear throughout that he did not act for Mr. Patriquin. Mr. Patriquin, for his part, made it clear that he was relying on Mr. Hara to advise him. As I have already observed, there was no lack of skill demonstrated by Mr. Jackie in the tasks he was actually obliged to perform.</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"fiduciary duty arising from the fact that Jackie called for and obtained possession of $1.4 million of the plaintiff's funds at a time when Jackie knew or ought to have known that the plaintiff was only prepared to have those funds advanced to the borrower on the terms outlined in the plaintiff's memorandum of July 31, 1997 or on other terms agreed to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Jackie clearly refused to deal with Mr. Patriquin respecting his July 31 memorandum and made it clear that those matters were to be resolved in discussions that did not include him. All he knew was that by August 5 these matters had apparently resolved, inasmuch as Mr. Patriquin's money was to form part of the money advanced on the mortgage. Mr. Patriquin could not, merely by sending a copy of his July 31, 1997 "wish list" to Mr. Jackie - particularly where Mr. Jackie refused to deal with it - somehow impose a particular obligation on Mr. Jackie to make enquiries on his behalf before putting through the transaction.</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breach of "an ethical duty to refrain from dealing with any person other than Brad Hara in connection with Patriquin's investment with the Capital Place Mortgage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Jackie did deal with Mr. Hara respecting Mr. Patriquin's investment. Mr. Hara was specifically retained by Mr. Patriquin in connection with his negotiations with Eron. If there was an impediment to Mr. Patriquin's participation in the mortgage, or if conditions precedent were to be imposed, that would be the responsibility of his own solicitor. Mr. Jackie was not in a position where he was on any duty ethically to deal with each of the individual investors or their representatives directly - they dealt with Eron/Capital, and he simply took instructions from Eron/Capital.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should say that quite apart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Mr. Patriquin would have to show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established, caused him damage. Here the damages alleged all apparently arise out of the particular agreement Mr. Patriquin negotiated with Eron/Capital, which was outside the security afforded by the mortgage. This arrangement was concluded without any involvement on Mr. Jackie's part, before Mr. Jackie did, or failed to do, any of the things upon which Mr. Patriquin basis his claim. The only theory as to damages that could possibly implicate Mr. Jackie would be if he had an overarching duty to protect Mr. Patriquin from himself, notwithstanding the retention of his own lawyer. He had no such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summary therefore I find:</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the circumstances the defendant did not owe the particular duty of care alleged by Mr. Patriquin.</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Jackie met the general standard of care imposed on him in the circumstances.</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no breach of that standard of care that caused any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Patriquin's claim against Mr. Jackie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respect to the claim against Laurentian, the plaintiff produced a memorandum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10/07/97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Barbara Murphy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From:</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David E. Patriquin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Barbara, we have agreed to loan by way of mortgage $750,000 on a property in Edmonton.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Brad Hara of Hara company is looking after our legal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advance the funds to Brad at his request.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want to use all of Phyllis' funds first and the balance from my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[signed] David E. Patriquin</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Phyllis Patriquin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Laurentian says that it does not have this memorandum and Mr. Patriquin cannot establish that it was, in fact, 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Patriquin's position is that as a result of the dealings that occurred as of August 1, 1997 he did not think he would be participating in the Eron/Capital mortgage on August 5, 1997 "unless Mr. Hara first satisfied himself that Mr. Patriquin had been provided with appropriate security and unless Mr. Hara forwarded funds on behalf of Mr. Patriquin to Capital Productions".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Patriquin apparently came to terms with Eron, upon which he was prepared to advance R.R.S.P. funds, over the weekend. He knew that these terms would be outside the mortgage security that Mr. Jackie would be preparing.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Patriquin executed a "term sheet" on August 5, 1997 setting out the terms - including those outside the mortgage -on which the funds would be advanced. A memorandum in the name of his wife, Phyllis Patriquin, was sent to Barbara Murphy at Eron on August 5, 1997 as well, It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thought when David cashed in his GIC mine was cashed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committed to fund today $100,000 of the above funding.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cash my GIC today to be able to meet this funding.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know Bran [sic] Hara is acting for us and I think Doug Jackie is working with Capital Productions.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there a way to have Laurentian take all instructions from David re my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Patriquin submits that these communications together with Mr. Jackie's knowledge that Mr. Hara was acting for him, should have been sufficient to alert Laurentian that he intended that the funds would not be advanced until Mr. Hara had seen that his security was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Patriquin submits that when Laurentian advanced funds to Mr. Jackie, it did so on the basis of the "term sheet" even though Mr. Patriquin had not specifically given any authorization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he says, was a breach of Laurentian's duty of care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Laurentian's position that on one occasion that did not involve a syndicate mortgage, Laurentian had dealt directly with Mr. Hara on behalf of Mr. Patriquin, but that where the investment was a syndicated mortgage involving other investors, Mr. Jackie prepared the mortgage and related security documents for 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clear that a practice grew up in connection with such transactions that Eron and Mr. Patriquin would negotiate and that Eron would then send a signed term sheet over to Laurentian, where it would be checked for a signature and as to amount. Laurentian did not check whether the security provided in the term sheet was in place, but treated receipt of a term sheet as authorization to release the funds to Mr. Jackie. This practice was followed in two syndicated Eron/Patriquin transactions that immediately preceded this investment. Mr. Patriquin had never taken the position that this procedure was incorrect or that another step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Respecting the August 5 instructions, Barbara Murphy, the employee of Laurentian who handled this matter, did not interpret the mention of Mr. Hara in the memo to be a direction to fund through Mr. Hara, nor did Mr. Hara communicate with her. She deposed she would have expected that he would do so if funds were to come to him. Mr. Patriquin acknowledged that he did not instruct Mr. Hara to receive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appears from Mr. Patriquin's evidence on discovery, moreover, that he heard about the advance of funds on August 5, 1997, which was certainly consistent with the memo he issued respecting funding "that day". If he was "livid" that day, as he suggests, he certainly did not make his feelings known. This was not consistent, according to Mrs. Murphy, with past experience in dealing with Mr. Patriquin, who could be aggressive in pursuing his own interests. No effort was made to put a stop to his transaction. There was no immediate demand for return of the money. Rather, Mr. Patriquin's preoccupation in the immediate aftermath of Eron's collapse appears to have been with Mr. Jackie and not with Laurentian.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Respecting damages, Mr. Patriquin acknowledges that he got his money back and that the claim is really for loss of profits on penalty fees that would have been due every 90 days under the terms he negotiated.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circumstances, as I have said, Mr. Patriquin is unable to prove that the memorandum of July 10, 1997 was ever sent to Laurentian. The breach of duty alleged rests on the communications surrounding the advance on August 5, 1997 and on practices which had developed between the parties which might fairly assist in interpreting the impact of these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To begin with no case of breach of fiduciary duty is made out on the facts. There is no hint of any abuse of the relationship by Laurentian or anything that could be construed as conduct other than a breach of instructions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Laurentian asserts in this regard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"gross" to be actionable in terms of its account agreement.</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The trustee shall invest the assets in the annuitant's Plan according to the annuitant's instructions. However, all investments must at all times comply with the trustte's policies.</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instructions from the annuitant, the trustee may invest the contribution according to the last written intstruction recieved from the annuitant or in any other way it deems advisable, without however being obligated, notwithstanding the laws of all jurisdictions, regarding investing the property of others, and without incurring any responsibility in the regard.</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trustee shall not be liable for any act or omission, except in the case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trustee, its employees, or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do not think it necessary to address this specifically except to say that I think a failure to observe a clear condition precedent or to fulfil an instruction not to pay out a sum like $1,400,000 might well amount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a very marked departure from the appropriate standard of conduct, if such conduct were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no such conduct on this case, however. The evidence is that the term sheet received by Laurentian from Eron was, in accordance with an established practice between the parties, sufficient authorization to advance, provided Mr. Patriquin had signed it and the amount was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On the established facts, any other course of action would have been a departure from the customary and expected dealings between the parties. Mr. Patriquin cannot establish that he gave any notice that things would be different with this particular transaction. I do not find that the reference to Mr. Hara in the August 5th, 1997 communication constituted any notice, in the circumstances, that he was to be involved in the advance: to the contrary, I accept Ms. Murphy's evidence that she would have expected Mr. Hara or Mr. Patriquin to have communicated such a significant direction to her, and that neither did. She had no reason to depart from the established practice. Accordingly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Laurentian in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should go on to say that I do not think that in any event, there was a proven case of damages, even 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first place, it is apparent that once he knew the funds had been advanced Mr. Patriquin did nothing to reverse the situation, at a time when it might well have been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Secondly, Mr. Patriquin had an oral agreement respecting the security he was to receive from Eron before the money was advanced. The whole distinction appears to be that he did not have the quality of proof he might have hoped for respecting this security, but it has not been shown that this ever caused Mr. Patriquin a loss. Eron's insolvency would have caused the same problem either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Mr. Patriquin has not shown, on a balance of probabilities that, even if the release of the funds occurred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Laurentian, he is in a worse position now than he would have been in had there been better evidence of 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Patriquin's case against Laurentian is accordingly dismissed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believe I agreed to allow further submissions on the issue of costs, once a decision was rendered. Unless counsel seek an opportunity for direction as to submissions on costs within 30 days, I shall make an order for costs and will address the issue of special costs raised by Mr. Jackie on the basis of the material in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3"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Pete v. Axworthy, [2002] B.C.J. No. 1063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Smithers,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Harvey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8 (In Chambers at Vancouver) and</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May 8, 2002 (by videoconference at Smithers).</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16, 2002.</w:t>
      </w:r>
    </w:p>
    <w:p>
      <w:pPr>
        <w:spacing w:before="120" w:line="260" w:lineRule="atLeast"/>
        <w:jc w:val="center"/>
        <w:rPr>
          <w:lang w:val="en-US" w:eastAsia="en-US" w:bidi="ar-SA"/>
        </w:rPr>
      </w:pPr>
      <w:r>
        <w:rPr>
          <w:rFonts w:ascii="arial" w:eastAsia="arial" w:hAnsi="arial" w:cs="arial"/>
          <w:color w:val="000000"/>
          <w:sz w:val="20"/>
          <w:lang w:val="en-US" w:eastAsia="en-US" w:bidi="ar-SA"/>
        </w:rPr>
        <w:t>Smithers Registry No. 11169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1063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758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113 A.C.W.S. (3d) 608</w:t>
      </w:r>
    </w:p>
    <w:p>
      <w:pPr>
        <w:spacing w:before="120" w:line="260" w:lineRule="atLeast"/>
        <w:rPr>
          <w:lang w:val="en-US" w:eastAsia="en-US" w:bidi="ar-SA"/>
        </w:rPr>
      </w:pPr>
      <w:r>
        <w:rPr>
          <w:rFonts w:ascii="arial" w:eastAsia="arial" w:hAnsi="arial" w:cs="arial"/>
          <w:color w:val="000000"/>
          <w:sz w:val="20"/>
          <w:lang w:val="en-US" w:eastAsia="en-US" w:bidi="ar-SA"/>
        </w:rPr>
        <w:t>Between Gordon Patrick Pete, plaintiff, and James Axworthy, Her Majesty the Queen in Right of the Province of British Columbia, as represented by the Ministry of Attorney General, Nicholas Carr, Terrace Regional Health Care Society, and Terrace and Area Health Council,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(29 paras.)</w:t>
      </w:r>
    </w:p>
    <w:p>
      <w:pPr>
        <w:jc w:val="both"/>
        <w:rPr>
          <w:lang w:val="en-US" w:eastAsia="en-US" w:bidi="ar-SA"/>
        </w:rPr>
      </w:pPr>
      <w:bookmarkStart w:id="270" w:name="Counsel_41"/>
      <w:bookmarkEnd w:id="27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24" style="position:absolute;z-index:2517012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 Lawson, for the plaintiff. M. Wilhelmson, for the defendants, Terrace Regional Health Care Society and Terrace and Area Health Council.</w:t>
      </w:r>
      <w:r>
        <w:rPr>
          <w:lang w:val="en-US" w:eastAsia="en-US" w:bidi="ar-SA"/>
        </w:rPr>
        <w:cr/>
      </w:r>
    </w:p>
    <w:p>
      <w:pPr>
        <w:spacing w:after="240"/>
        <w:rPr>
          <w:lang w:val="en-US" w:eastAsia="en-US" w:bidi="ar-SA"/>
        </w:rPr>
      </w:pPr>
      <w:bookmarkStart w:id="271" w:name="Judgment_41"/>
      <w:bookmarkEnd w:id="271"/>
      <w:r>
        <w:pict>
          <v:line id="_x0000_s1225" style="position:absolute;z-index:25175244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72" w:name="HARVEY J._0"/>
            <w:bookmarkEnd w:id="272"/>
            <w:r>
              <w:rPr>
                <w:rFonts w:ascii="arial" w:eastAsia="arial" w:hAnsi="arial" w:cs="arial"/>
                <w:b/>
                <w:color w:val="000000"/>
                <w:sz w:val="30"/>
                <w:lang w:val="en-US" w:eastAsia="en-US" w:bidi="ar-SA"/>
              </w:rPr>
              <w:t>HARVEY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Terrace Regional Health Care Society and Terrace and Area Health Council (the Hospital) apply under Rule 18A for judgment dismissing the claim of the plaintiff as against the defendants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notice of motion was directed to all co-defendants and their respective solicitors.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material facts very briefly are as follows.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or about November 1, 1997, while the plaintiff was an inmate at the Terrace Correctional Centre, he alleges he was assaulted by a fellow inmate, the defendant James Axworthy.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a result of the assault, the plaintiff suffered, inter alia, a fractured jaw.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delayed reporting the incident, and when he did so he was not truthful regarding how his injuries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November 2, 1997, he was examined at the emergency room of the Hospital, at which time x-rays were taken. He was returned to the correctional centre.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5, 1997, at the Hospital, he was seen and examined by the defendant Nicholas Carr, a visiting plastic surgeon. Dr. Carr concluded at that time the plaintiff had suffered trauma to the mandible in circumstances of a previous bilateral mandibular fracture. Dr. Carr proposed to realign the left ramus by an intra-operative mandibulo-maxillary fixation with rigid fixation f the left ramus fracture.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November 5, 1997, Dr. Carr performed this procedure at the Hospital. When the fracture was exposed, it was found to be moderately comminuted. Dr. Carr reported the bone to be of poor quality and observed evidence of previous callus and fracture. Dr. Carr had intended to use a L-shaped or straight plate in performing the procedure. Immediately prior to commencing the procedure, Dr. Carr noted that only a T-shaped plate was available. He decided to proceed with the operation.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Because of the importance I attach to the status of the pleadings at this time, I will refer to the following paragraphs in the statements of defence of the co-defendants, save and except the defendant Axworthy.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Statement of Defence of the Defendant Nicholas Carr</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"In the further alternative, and in further answer to the whole of the Statement of Claim, if the Plaintiff suffered injury, loss, or damage, which is denied, such injury, loss or damage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James Axworthy, Her Majesty the Queen in Right of the Province of British Columbia, as represented by the Ministry of Attorney General, Terrace Regional Health Care Society, and Terrace and Area Health Council and this Defendant seeks an apportionment of liability pursuant to the provisions of the Negligent Act, R.S.B.C., 1996, c. 333 and amendments thereto."</w:t>
      </w:r>
    </w:p>
    <w:p>
      <w:pPr>
        <w:spacing w:before="120" w:line="260" w:lineRule="atLeast"/>
        <w:ind w:left="720"/>
        <w:rPr>
          <w:lang w:val="en-US" w:eastAsia="en-US" w:bidi="ar-SA"/>
        </w:rPr>
      </w:pPr>
      <w:r>
        <w:rPr>
          <w:rFonts w:ascii="arial" w:eastAsia="arial" w:hAnsi="arial" w:cs="arial"/>
          <w:color w:val="000000"/>
          <w:sz w:val="20"/>
          <w:lang w:val="en-US" w:eastAsia="en-US" w:bidi="ar-SA"/>
        </w:rPr>
        <w:t>Statement of Defence of Her Majesty the Queen in Right of the Province of British Columbia</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"In the further alternative and in further answer to the whole of the Statement of Claim, if the assault occurred as alleged in the Statement of Claim, or at all, and if the Plaintiff suffered any injury, loss or damage as alleged, or at all, all of which is denied, then the assault, injury, loss or damage was no caused or contributed to be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a duty of care, statutory or otherwise, by the Provincial Crown, but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Nicholas Carr, Terrace Regional Health Care Society, and Terrance and Area Health Council."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both statements of defence referred to supra,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are pleaded.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can be seen from the appearances, counsel representing these defendants did not appear on this application. Counsel for the defendant Hospital informed the court that counsel representing these parties had informed him the said defendants took no position one way or the other on the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keeping with the decision I have reached, I do not consider any useful purpose would be served in reviewing the submissions of counsel at length and the authority to which I was referred relating to the various issues arising in the action. I consider it sufficient to say in the course of his able submission, counsel for the Hospital reviewed the claims of the plaintiff against the said Hospital, submitting they were without merit. Included in his review of the evidence was what he described as shortcomings of the evidence, including even if the Hospital could be considered at fault in some way related to a failure to have certain equipment available, there was no evidence of a causal connection between the use of the particular piece of equipment which was used or any piece in particular, and the poor outcome of the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the plaintiff submitted there was some evidence indicating the defendant Hospital may have led the defendant Carr to believe there was appropriate or proper equipment available (a mandibular set of plates as opposed to a metacarpal set of plates) and if so this " may be something to consider".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comment in passing I cannot give this particular submission credence because if such was the case, surely the defendant Carr would have said so, either in a pleading or upon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I indicated to counsel during the course of submissions, I had concern with the application, particularly in the circumstances when pleadings of the co-defendants, save and except Axworthy, contain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Hospital as stated, supra.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appreciate the absence of the said co-defendants on the hearing of the application is capable of an inference they do not seriously oppose the application. It seems to me, however, their absence is capable of other inferences, otherwise why would they not have abandoned such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the course of his submission, counsel for the plaintiff referred to and relied upon the judgment of McEachern CJSC as he then was in Thompson v. Kootenay Lake District Hospital and Health Society et al </w:t>
      </w:r>
      <w:hyperlink r:id="rId934" w:history="1">
        <w:r>
          <w:rPr>
            <w:rFonts w:ascii="arial" w:eastAsia="arial" w:hAnsi="arial" w:cs="arial"/>
            <w:i/>
            <w:color w:val="0077CC"/>
            <w:sz w:val="20"/>
            <w:u w:val="single"/>
            <w:shd w:val="clear" w:color="auto" w:fill="FFFFFF"/>
            <w:lang w:val="en-US" w:eastAsia="en-US" w:bidi="ar-SA"/>
          </w:rPr>
          <w:t>(1985), 68 B.C.L.R. 142</w:t>
        </w:r>
      </w:hyperlink>
      <w:r>
        <w:rPr>
          <w:rFonts w:ascii="arial" w:eastAsia="arial" w:hAnsi="arial" w:cs="arial"/>
          <w:color w:val="000000"/>
          <w:sz w:val="20"/>
          <w:lang w:val="en-US" w:eastAsia="en-US" w:bidi="ar-SA"/>
        </w:rPr>
        <w:t xml:space="preserve">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authority is well known and has been commented upon from time to time since the Chief Justice delivered his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keeping with the importance of this decision, I invited counsel to make further submissions in relation to the judgment if they wished to do so. Counsel for the Hospital has provided me with a letter in which he has commented upon Thompson and decisions of this Court since that time bearing upon the questions under consideration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Thompson, Chief Justice McEachern as he then was made the following statement: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If I regard the application therefore as a summary trial on affidavit evidence, I should have regard for the principle that in some classes of cases it has always been considered wise and fair, and therefore presumably just, not to grant a nonsuit where there are co-actors who are both defendants. The reason for this, of course, is to prevent the remaining defendant from throwing blame on the absent defendant to the prejudice of the plaintiff. That situation could arise in this case if I accede to the motion. I therefore regard it as prejudicial to the plaintiff in her case against the remaining defendant to accede to the motion and, as this creates a risk of injustice, I think, I should not grant the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that time, Chief Justice McEachern was considering an action for medical malpractice against a surgeon and an anaesthetist.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perspective, and having regard to this type of motion, in my view the circumstances there should be carefully noted. For example, in Thompson, in my view it is important to keep in mind that all parties had exchanged copies of expert reports. More importantly, the time had expired for filing further reports and it was not suggested that any additional opinion evidence would be forthcoming.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circumstances here, there is no trial date. Accordingly, the time has not expired for the filing of an expert report or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time this application was heard, the judgment of the Chief Justice as reported was silent with regard to the state of the pleadings. I am grateful to counsel for the defendant in pointing out that in one of the decisions referred to his letter, the actual pleadings in Thompson are referred to and there were no allegations between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sympathetic to the position of the defendant Hospital because upon consideration of the evidence available at this time, the plaintiff's case against it appears to be, at best, marginal. Further, there is a serious question of causation even accepting, as counsel for the defendant Hospital put it, the worst scenario.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same time however, while I would not put it quite the way counsel for the plaintiff did, "the door is still open" suggesting evidence may be forthcoming to bolster the plaintiff's case, the fact is there is no trial date and the time has not expired for filing an expert report or reports and other evidence may be adduced.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the result, I have concluded for these reasons and in the face of the co-defendants, save and except Axworthy,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against the defendant Hospital remaining extant, it would not be appropriate to grant the summary judgment sought at this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application is dismissed with costs to the plaintiff.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HARVEY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Scholpp v. Porter, [2002] B.C.J. No. 3267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Stromberg-Stein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8, 2002.</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November 10, 2004.</w:t>
      </w:r>
    </w:p>
    <w:p>
      <w:pPr>
        <w:spacing w:before="120" w:line="260" w:lineRule="atLeast"/>
        <w:jc w:val="center"/>
        <w:rPr>
          <w:lang w:val="en-US" w:eastAsia="en-US" w:bidi="ar-SA"/>
        </w:rPr>
      </w:pPr>
      <w:r>
        <w:rPr>
          <w:rFonts w:ascii="arial" w:eastAsia="arial" w:hAnsi="arial" w:cs="arial"/>
          <w:color w:val="000000"/>
          <w:sz w:val="20"/>
          <w:lang w:val="en-US" w:eastAsia="en-US" w:bidi="ar-SA"/>
        </w:rPr>
        <w:t>Kamloops Registry No. 29843/30212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3267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1372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135 A.C.W.S. (3d) 1184</w:t>
      </w:r>
    </w:p>
    <w:p>
      <w:pPr>
        <w:spacing w:before="120" w:line="260" w:lineRule="atLeast"/>
        <w:rPr>
          <w:lang w:val="en-US" w:eastAsia="en-US" w:bidi="ar-SA"/>
        </w:rPr>
      </w:pPr>
      <w:r>
        <w:rPr>
          <w:rFonts w:ascii="arial" w:eastAsia="arial" w:hAnsi="arial" w:cs="arial"/>
          <w:color w:val="000000"/>
          <w:sz w:val="20"/>
          <w:lang w:val="en-US" w:eastAsia="en-US" w:bidi="ar-SA"/>
        </w:rPr>
        <w:t>Between Chales Candice Christian Scholpp, plaintiff, and Amanda Lynn Porter and Nels Terry Porter, defendants And between Deanne Marie Scholpp, plaintiff, and Chales Candice Christian Scholpp, Amanda Lynn Porter and Nels Terry Porter,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27" style="position:absolute;z-index:2517022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73" w:name="Keywords_40"/>
      <w:bookmarkEnd w:id="27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standard of care of driver — Duty to pay attention — Rules of the road — Making turns, left turns.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74" w:name="Case Summary_37"/>
            <w:bookmarkEnd w:id="27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Scholpps for damages for personal injuries sustained in a motor vehicle accident. The daughter was the driver and owner of the car and the mother was the passenger in the car hit by Porter. There was no issue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Amanda Porter nor was there any issue Nels Porter, as owner of the truck, was vicariously liable. At issue was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Scholpp. The accident occurred at 7:00 pm in late October. Scholpp was travelling northbound on the highway at the posted speed with headlights illuminated. Porter, who was travelling westbound on a side road, slowed but did not stop before rolling through the intersection, onto the highway, and into the path of Scholpp's car. Porter, who had intended to turn left, admitted that she looked right but failed to look left until she began entering the intersection. Porter argued that her truck posed an apparent threat because it was there to be seen and had Scholpp driven with due care and attention she could and should have appreciated the risk and taken reasonable care to avoid the collision. </w:t>
            </w:r>
            <w:r>
              <w:rPr>
                <w:lang w:val="en-US" w:eastAsia="en-US" w:bidi="ar-SA"/>
              </w:rPr>
              <w:cr/>
            </w:r>
          </w:p>
          <w:p>
            <w:pPr>
              <w:spacing w:before="120" w:line="260" w:lineRule="atLeast"/>
              <w:ind w:left="240"/>
              <w:jc w:val="both"/>
              <w:rPr>
                <w:lang w:val="en-US" w:eastAsia="en-US" w:bidi="ar-SA"/>
              </w:rPr>
            </w:pPr>
            <w:bookmarkStart w:id="275" w:name="Holdings of Court_33"/>
            <w:bookmarkEnd w:id="275"/>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Porters were solely responsible for the accident that caused the Scholpps' injuries. Porter did not stop at the stop sign. She rolled into the intersection intending to turn left and only looked to her left once she was in the intersection.There was no evidence that Scholpp was driving in a manner other than as a reasonable and prudent driver. Scholpp was entitled to assume that the Porter truck would stop at the intersection and she would be given the right of way as she travelled on the main highway. </w:t>
            </w:r>
            <w:r>
              <w:rPr>
                <w:lang w:val="en-US" w:eastAsia="en-US" w:bidi="ar-SA"/>
              </w:rPr>
              <w:cr/>
            </w:r>
          </w:p>
          <w:p>
            <w:pPr>
              <w:rPr>
                <w:lang w:val="en-US" w:eastAsia="en-US" w:bidi="ar-SA"/>
              </w:rPr>
            </w:pPr>
          </w:p>
        </w:tc>
      </w:tr>
    </w:tbl>
    <w:p>
      <w:pPr>
        <w:jc w:val="both"/>
        <w:rPr>
          <w:lang w:val="en-US" w:eastAsia="en-US" w:bidi="ar-SA"/>
        </w:rPr>
      </w:pPr>
      <w:bookmarkStart w:id="276" w:name="Legislation Cited_30"/>
      <w:bookmarkEnd w:id="27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28" style="position:absolute;z-index:2517534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Motor Vehicle Act, ss. 175(1)(c), 186.</w:t>
      </w:r>
      <w:r>
        <w:rPr>
          <w:lang w:val="en-US" w:eastAsia="en-US" w:bidi="ar-SA"/>
        </w:rPr>
        <w:cr/>
      </w:r>
    </w:p>
    <w:p>
      <w:pPr>
        <w:keepNext/>
        <w:spacing w:before="240" w:line="340" w:lineRule="atLeast"/>
        <w:rPr>
          <w:lang w:val="en-US" w:eastAsia="en-US" w:bidi="ar-SA"/>
        </w:rPr>
      </w:pPr>
      <w:bookmarkStart w:id="277" w:name="Counsel_42"/>
      <w:bookmarkEnd w:id="27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29" style="position:absolute;z-index:2518046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C. Scholpp: D.K. Hori</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 Scholpp: G.P. Weatherill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A. Porter and N. Porter: K.D. Cowan</w:t>
      </w:r>
      <w:r>
        <w:rPr>
          <w:lang w:val="en-US" w:eastAsia="en-US" w:bidi="ar-SA"/>
        </w:rPr>
        <w:cr/>
      </w:r>
    </w:p>
    <w:p>
      <w:pPr>
        <w:spacing w:after="240"/>
        <w:rPr>
          <w:lang w:val="en-US" w:eastAsia="en-US" w:bidi="ar-SA"/>
        </w:rPr>
      </w:pPr>
      <w:bookmarkStart w:id="278" w:name="Judgment_42"/>
      <w:bookmarkEnd w:id="278"/>
      <w:r>
        <w:pict>
          <v:line id="_x0000_s1230" style="position:absolute;z-index:25185382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79" w:name="STROMBERG-STEIN J. (orally)"/>
            <w:bookmarkEnd w:id="279"/>
            <w:r>
              <w:rPr>
                <w:rFonts w:ascii="arial" w:eastAsia="arial" w:hAnsi="arial" w:cs="arial"/>
                <w:b/>
                <w:color w:val="000000"/>
                <w:sz w:val="30"/>
                <w:lang w:val="en-US" w:eastAsia="en-US" w:bidi="ar-SA"/>
              </w:rPr>
              <w:t>STROMBERG-STEIN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Liability arising from a motor vehicle accident is the sole issue for determination. Quantum of damages will be determined in a separate proceeding. Two actions are being heard together pursuant to a consent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Kamloops Registry Action Number 29843, Chales Scholpp is the plaintiff. She was the driver and owner of the car involved in the accident. The defendants in that action are Amanda Porter, the driver of a pick-up truck, and her father, Nels Porter, the owner of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Kamloops Registry Action Number 30212, Deanne Scholpp is the plaintiff. She is the mother of Chales Scholpp and was a passenger in the car. The defendants in that action are Chales Scholpp and the Porters.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is no issue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Amanda Porter. There is no issue Nels Porter, as owner of the truck, is vicariously liable since Amanda Porter was driving the truck with his consent. The only issue is whether there is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Chales Scholpp so as to apportion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on October 27, 1998, at 7:00 p.m. at the intersection of Highway 97 and Park Road. The Scholpp car was northbound on Highway 97, a main highway running through Cache Creek, travelling at the posted speed of fifty kilometres per hour with headlights illuminated. At this location, Highway 97 narrows from two lanes and consists of one northbound and one southbound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Porter truck was travelling at a slow speed westbound on Park Road, an east/west side road, with vehicle lights illuminated. Vehicles entering Highway 97 from Park Road must stop at a stop sign and yield to other traffic. The Porter truck slowed but did not stop before rolling through the intersection, onto the highway, and into the path of the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application of the facts to the law is in dispute. The law is not in dispute. The test for apportionment of liability is set out in the often quoted case Walker v. Brownlee and Harmon, </w:t>
      </w:r>
      <w:hyperlink r:id="rId942"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(S.C.C.) at 461. I am not going to repeat it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Weatherill, counsel for Deanne Scholpp, sets out the law succinctly in his submission. Section 186 of the Motor Vehicle Act requires that a driver stop at a stop sign. Section 175(1)(c) requires that a driver who has stopped at a stop sign must yield the right of way to traffic that has entered an intersection on a through highway or is approaching so closely that it constitutes an immediate hazard. An oncoming vehicle is an immediate hazard if it presents a threat or a danger of a collision to a stopped vehicle that is entering a through highway. Users of the highway are entitled to proceed on the assumption that other users will observe traffic regulations. However, the right to drive on that assumption is not absolute. However, there is no obligation to maintain special preparation for unseen emergencies or mere possibilities, but if the possibility of danger which, in fact, materializes is reasonably apparent, failure to take precautions will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burden is on the defendants to establish sufficient opportunity to avoid the collision if driving prudently. Finally, before a driver can be found liable for an accident, there must be some evidence to support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review some of the evidence; I will not refer to the entirety of the evidence although I have carefully considered it. The evidence for the most part is not in conflict. The exception is the evidence of Shannon Mueller whose evidence conflicts with the evidence of other witnesses and with the photographic evidence. I reject her evidence where it is inconsistent.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it was dusk, there was enough light and no obstructions to see in all directions for some distance. There was nothing about the condition of the road, weather, lighting, visibility, speed or traffic that caused or contributed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Amanda Porter admitted as she approached the intersection she was looking to the right. At trial, she could not recall if she looked to the left, the direction of the approaching car. At her examination for discovery, she admitted looking to her right as she rolled through the stop sign. She did not see anything coming from the right so she kept on going, looking to the left and seeing the car for the first time when it was only a car length away.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find Amanda Porter did not stop at the stop sign. She rolled into the intersection intending to turn left and only looked to her left once she was in the intersection. At that point, the Scholpp car was one car length away travelling at the speed limit. Ms. Porter did not see the Scholpp car before this point in time although there were no obstructions blocking her view and visibility was good. She did not see the car because she was not looking for it. She was issued a ticket for failing to yield the right of way and did not dispute her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Chales Scholpp maintains she had no opportunity to avoid the collision. Although she may have been talking or laughing or singing with her mother, she was not distracted while driving. She was driving the speed limit. She saw the truck travelling on Park Road toward the intersection but had no concerns about the speed of the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evidence the truck was slowing down as it approached the highway. Ms. Scholpp was entitled to assume that the truck would stop at the intersection and she would be given the right of way as she travelled on the main highway. The Porter truck rolled into the intersection, into the path of her oncoming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Scholpp reacted as soon as she appreciated the truck had not stopped at the intersection. At less than a car length or two away, she attempted unsuccessfully to avoid the collision between her right front passenger side and the right front truck bumper.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Cowan, counsel for the Porters, argues that the Porter truck posed an apparent threat because it was there to be seen and had Ms. Scholpp driven with due care and attention she could and should have appreciated the risk and taken reasonable care to avoid the collision. He submits that it is speculative to assume that the accident could have been avoided had Ms. Porter stopped at the stop sign. I do not agree with his submission.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Scholpp was entitled to assume Ms. Porter would stop and yield the right of way to her. She was entitled to assume Ms. Porter would obey the rules of the road. She had no warning that the Porter vehicle would not stop. There was nothing in the manner the truck was being driven to alert Ms. Scholpp that the truck would not stop. She had no reason to anticipate the truck posed a threat or a hazard of collision until it suddenly entered the highway in front of her. She attempted to avoid the collision when she was first aware or ought to have been aware of the encroachment of the Porter vehicle to her path. She had no opportunity to avoid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There is no evidence that Ms. Scholpp was driving in a manner other than as a reasonable and prudent driver. I agree with Mr. Hori, counsel for Chales Scholpp, that a standard of perfection is not imposed on every driver that requires the driver to be on the lookout for every conceivable eventuality. I conclude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Chales Scholpp. There is no evidence she was inattentive or driving without due care or attention or reasonable consideration for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conclude the accident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Amanda Porter and Nels Porter. There will be judgment on the issue of liability in favour of Chales Scholpp against Amanda and Nels Porter with damages to be assessed. Chales Scholpp is entitled to her costs of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Is there anything further that I need to deal with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HORI: Announcement on the other action, My Lady, may be in order. Deanne Scholpp has brought an action against both the Porters and against her daughter and I expect that on the record there should be some resolution to that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Okay. I would think that my -- general enough to do that, but because I am dealing with both 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HORI: That's true. All right. Thank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COURT: If you want me to add something I will.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HORI: I think we can draft the order. The order is -- there will have to be an order drafted, of course, finding liability against Ms. Porter in the Deanna Scholpp action and I take it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That's correct.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HORI: -- dismissing the action against Chales Scholpp and the order should reflect the court's pronouncement, I would think.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Okay. Then I will make the necessary order. I guess it is implicit in what I have said, judgment on the issue of liability in favour of Chales Scholpp against Amanda and Nels Porter with damages to be assessed. So in the Deanne Scholpp action, the finding of liability will be with respect to the Porters alone and not Chales Scholpp. So however you want to draft it, that is certainly the intention, to deal with both 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HORI: There is one matter that I would like to raise at this point and that is the matter of an offer to settle that was made in these proceedings by Chales Scholpp in the action that she brings as plaintiff. There was an offer to settle in this matter delivered on the 24th of October to my friend's office offering to resolve this matter if the defendant, Porter, accepted one hundred percent of the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Now that the decision has been rendered and there has been a finding that Amanda Porter is one hundred percent responsible, that meets the offer that was made and there, in the rules, is an opportunity for Ms. Scholpp to request double costs from the date of the offer, essentially double costs for the trial process here. I know my friend has some thoughts on that. I have some authority as well on that issue if Your Ladyship would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All right. I will hear you on that but you had better give me some paper because I did not bring any paper to write. Thanks.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(SUBMISSIONS ON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COURT: All right. Having regard to the decision of Mr. Justice Ralph cited as Kroonen v. Trail, </w:t>
      </w:r>
      <w:hyperlink r:id="rId943" w:history="1">
        <w:r>
          <w:rPr>
            <w:rFonts w:ascii="arial" w:eastAsia="arial" w:hAnsi="arial" w:cs="arial"/>
            <w:i/>
            <w:color w:val="0077CC"/>
            <w:sz w:val="20"/>
            <w:u w:val="single"/>
            <w:shd w:val="clear" w:color="auto" w:fill="FFFFFF"/>
            <w:lang w:val="en-US" w:eastAsia="en-US" w:bidi="ar-SA"/>
          </w:rPr>
          <w:t>[2000] B.C.J. No. 1889</w:t>
        </w:r>
      </w:hyperlink>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2000 BCSC 1390</w:t>
        </w:r>
      </w:hyperlink>
      <w:r>
        <w:rPr>
          <w:rFonts w:ascii="arial" w:eastAsia="arial" w:hAnsi="arial" w:cs="arial"/>
          <w:color w:val="000000"/>
          <w:sz w:val="20"/>
          <w:lang w:val="en-US" w:eastAsia="en-US" w:bidi="ar-SA"/>
        </w:rPr>
        <w:t xml:space="preserve"> and having regard to Rule 37(25), I am satisfied there was an offer to settle and as a result the plaintiff is entitled to her costs to the date of the offer and double costs to be assessed from that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HORI: Thank you, My Lady.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STROMBERG-STEIN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4"/>
          <w:headerReference w:type="default" r:id="rId945"/>
          <w:footerReference w:type="even" r:id="rId946"/>
          <w:footerReference w:type="default" r:id="rId947"/>
          <w:headerReference w:type="first" r:id="rId948"/>
          <w:footerReference w:type="first" r:id="rId9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0" w:history="1">
        <w:r>
          <w:rPr>
            <w:rFonts w:ascii="arial" w:eastAsia="arial" w:hAnsi="arial" w:cs="arial"/>
            <w:b/>
            <w:bCs/>
            <w:i/>
            <w:color w:val="0077CC"/>
            <w:kern w:val="32"/>
            <w:sz w:val="28"/>
            <w:szCs w:val="32"/>
            <w:u w:val="single"/>
            <w:shd w:val="clear" w:color="auto" w:fill="FFFFFF"/>
            <w:lang w:val="en-US" w:eastAsia="en-US" w:bidi="ar-SA"/>
          </w:rPr>
          <w:t>Solmundson v. Bull, Housser &amp; Tupper, [2000] B.C.J. No. 2484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Skipp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30 - November 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C973459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2484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1640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631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S. Solmundson, plaintiff, and Bull, Housser &amp; Tupper,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0" w:name="Keywords_41"/>
      <w:bookmarkEnd w:id="280"/>
      <w:r>
        <w:rPr>
          <w:rFonts w:ascii="arial" w:eastAsia="arial" w:hAnsi="arial" w:cs="arial"/>
          <w:b/>
          <w:color w:val="000000"/>
          <w:sz w:val="20"/>
          <w:lang w:val="en-US" w:eastAsia="en-US" w:bidi="ar-SA"/>
        </w:rPr>
        <w:t xml:space="preserve">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Particular negligent acts — Failure to protect client's interests — Damages — Measure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1" w:name="Case Summary_38"/>
            <w:bookmarkEnd w:id="2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Solmundson against his lawyer, McLaughlin,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Solmundson and Davies had been in business together. They had a falling out. They agreed in writing to terms of settlement. One of the terms of settlement was that Davies would give Solmundson an option to purchase 45,000 shares of Pemco Resources at $1.80 per share. Solmundson wrote to McLaughlin and enclosed a copy of the agreement. He also enclosed a copy of a letter that he wrote to Davies inquiring as to how the options would be granted. Solmundson asked McLaughlin how the options should be structured. McLaughlin advised him that the settlement agreement was sufficient. Solmundson then tried to exercise his options. Davies refused. At that time, the shares were worth $9.50. Had Solmundson been able to exercise the options, he would have had a profit of $333,175. Solmundson sued Davies and realized $46,288 on a judgment of $200,412. Expert evidence was adduced that a reasonably competent practitioner in the field of commercial litigation should have advised Solmundson to request that the requisite number of shares, in transferable form, be held by an escrow agent. McLaughlin did not turn his mind to this possibility.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2" w:name="Holdings of Court_34"/>
            <w:bookmarkEnd w:id="28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McLaughlin failed to meet the standard of a reasonably competent solicitor in foreseeing difficulties in exercising the options and proposing solutions. He was negligent.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Solmundson to sustain a loss. Solmundson was awarded damages of $109,825. The potential profit of $333,175 was discounted by 50 per cent for the contingency that Davies would refuse to enter into an escrow agreement. The monies recovered from Davies were deducted from the amount otherwise payable.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3" w:name="Counsel_43"/>
      <w:bookmarkEnd w:id="2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3"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Rees Brock, Q.C., and L. Beukman, for the plaintiff. B.G. Baynham, Q.C.,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4" w:name="Judgment_43"/>
      <w:bookmarkEnd w:id="284"/>
      <w:r>
        <w:pict>
          <v:line id="_x0000_s1234" style="position:absolute;z-index:2518056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5" w:name="SKIPP J."/>
            <w:bookmarkEnd w:id="285"/>
            <w:r>
              <w:rPr>
                <w:rFonts w:ascii="arial" w:eastAsia="arial" w:hAnsi="arial" w:cs="arial"/>
                <w:b/>
                <w:color w:val="000000"/>
                <w:sz w:val="30"/>
                <w:lang w:val="en-US" w:eastAsia="en-US" w:bidi="ar-SA"/>
              </w:rPr>
              <w:t>SKIPP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 civil engineer, moved to British Columbia in 1992 and before that he was the principal in a consulting engineering company in Winnipeg. He sold his interest in 1990. The defendants are a well known Vancouver law firm, an Associate of which firm at all relevant times was solicitor McLaughlin.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early 1991 the plaintiff retained the defendant law firm to advise him in connection with certain difficulties that he had become embroiled in involving one Davies, whom the plaintiff had met in 1990. Davies at that time was working on a development for the Tsawwassen Indian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engaged as the development engineer on the Tsawwassen project, because of his familiarity with Bio Clear technology. Briefly stated, this technology involves a batch processing treatment system for sewage. The plaintiff described it as an efficient waste management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Davies, a developer of some experience, was interested in this Bio Clear technology and he was desirous of obtaining the franchise for the area and he contacted the plaintiff and his suggestion was "lets work together". The company in which each was to own 50% of the shares became Inviro Tech Industries Ltd., (hereinafter "Inviro Tech") and in fact Davies and the plaintiff became equal shareholders in that company as of August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Davies and the plaintiff soon fell out, with the plaintiff pressing for a shareholder's agreement, a need which was not accorded a high priority by Davies.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October of 1990, Davies agreed to a loan from Inviro Tech to the plaintiff for $60,000.00 to enable the plaintiff to obtain his release from an obligation he had with respect to his engineering company in Winnipeg whereunder he had guaranteed up to $100,000.00 of that company's $450,000.00 line of credit. The plaintiff prepared and signed a promissory note in favour of Inviro Tech to cover the $60,000.00, which loan he was to make payments on from time to time from his anticipated earnings from Inviro 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Davies refused to let the plaintiff inspect the minute book of Inviro Tech. He had used what I take to have been a shelf company of his own and had changed its name to Inviro Tech Industries Ltd. The plaintiff eventually, in the face of Davies' refusal to let him inspect the minute book, went to the registered office of Inviro Tech, being a lawyer's office. He was allowed access to the minute book and photocopies of its contents were given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without disclosing to Davies that he had gained access to the minute book, travelled to Calgary and there was informed that Davies had been trying to contact him and that Davies was furious that the plaintiff had managed to inspect the minute book. Davies demanded that the plaintiff immediately repay to Inviro Tech the $60,000.00 and that the plaintiff return his Inviro Tech shares to Davies.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inspection of the minute book revealed that all of Davies' family were shareholders and directors. The plaintiff was registered as a shareholder and president. Counsel retained by the plaintiff advised him that the company set up of Inviro Tech would allow Davies to issue more shares at any time he decided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early January 1991, Davies caused Inviro Tech to sue the plaintiff, and a writ of summons and statement of claim were served upon him and the cause of action was the promissory note for $60,000.00 that the plaintiff had signed. Upon being served with those documents the plaintiff consulted the defendant law firm. A member of the defendant law firm, Mr. McLaughlin, was assigned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and Davies from time to time acted without the assistance of their respective counsel, and on occasion they directly negotiated with each other. They eventually met in Winnipeg in September 1991, and arrived at a settlement of the Inviro Tech law suit which is Exhibit 1 document 31(b) herein. That handwritten agreement was signed by the plaintiff and Davies on or about 6 September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months leading up to the Winnipeg accord, Davies had been unyielding in his determination to extract the $60,000.00 from the plaintiff, but by the time of the Winnipeg agreement he had softened noticeably. That change in attitude was a result of the refusal of Bio Clear to make available to Davies the Bio-Clear technology which he intended to use to promote his public company PEMCO Resources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Bio Clear, in a letter to Davies, had advised him that the technology would not be available to him until he and the plaintiff settled their differences. At that point Davies became amenable to arriving at a settlement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agreement arrived at in Winnipeg between the plaintiff and Davies on 6 September 1991, set out the following terms:</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 Solmundson sell to Fred Davies his shares in Inviro Tech Industries (Canada) Limited for the sum of $60,000.00.</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interest owing on this loan would be paid for by Inviro Tech Industries (Canada) Limited.</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Fred Davies have delivered to R. Solmundson, free of conditions or encumbrances, 5,000 shares in PECO. These shares have a market value of approximately $9,000,00 and are meant to be a form of compensation for legal fees which Solmundson has encountered as a result of legal actions taken by both parties. These shares may be sold immediately by Solmundson to obtain the cash should he desire to do so.</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Fred Davies has agreed to give R. Solmundson an option to purchase 45,000 shares of Pemco Resources Ltd. (I.E.S.) at a price of $1.80 per share. This option is valid for the period of one year effective September 1, 1991 to September 1, 1992.</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Fred Davies will cause Venture Capital to hire the services of Bob Solmundson in an engineering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or about 9 September 1991, the plaintiff wrote to McLaughlin, his lawyer, advising him that he wanted to terminate the law suit immediately and he enclosed a copy of a letter he had sent to Davies and a copy of the handwritten agreement, document 31(b), which they both signed in Winnipeg on Friday, 6 September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that letter to Davies the following passage appeared: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item which you did not mention, and I am not sure how this will be done, is the option of 45,000 shares. Will we be entering into an agreement for engineering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testified that he sent to McLaughlin a copy of his letter to Davies because he wanted him to know that the option was an issue and that he did not know how to deal with it, or he did not know how he would structure the option on the 45,000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testified that on or about 6 September 1991, he said on the telephone to Mr. McLaughlin, amongst other things, "How do you structure a deal on share options?" He said that Mr. McLaughlin told him that the agreement document 31(b) was adequate, or good enough, and that it would be attached to a settlement document that would be a court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mid-March of 1992 the plaintiff went to Inviro Tech's office in Vancouver where he informed Davies that he would like to exercise his option. He testified that Davies' reply was "what option?". After that rebuff, the plaintiff attended at the defendant law firm and instructed McLaughlin to send a letter to Davies exercising the option. That letter elicited no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thereupon sued Davies and recovered judgment against him, from the late Mr. Justice MacDonell. Davies appealed that decision and the Court of Appeal upheld the trial judgment with a modification, holding that the option had been validly exercised verbally on the occasion of the plaintiff's attendance at Davies' office in mid-March of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has realized approximately $46,288.84 on the MacDonell judgment of $200,412.50, and counsel agree, that should the plaintiff succeed in this action that that amount is to be deducted from any damage award. Counsel also agree that in that event, the plaintiff will assign that judgment to the defendant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mid-March of 1992, when the plaintiff was desirous of exercising his option to purchase 45,000 shares of Pemco Resources Limited, and attempted to do so, the market price of the shares was $9.50 per share. According to the Cooney report, (Exhibit 3 herein), had he possessed the share certificates he could have sold the shares and enjoyed a profit of $346,000.00 less a commission of approximately $12,285.00 for a gain of $333,175.00.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herein pleads that the conduct of the defendant firm, and particularly Mr. McLaughlin of that firm, constituted a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and had he been properly advised by them as in the circumstances he was entitled to be, he could either have obtained physical possession of the share certificates or the right to obtain immediate possession thereof through an escrow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alternative, the plaintiff alleges that by reason of the inadequate and negligent advice received from the defendant the plaintiff lost the opportunity to negotiate with Davies to improve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difficulty the plaintiff encountered with respect to the option was not because it was not legally binding and it was found to be so by MacDonell, J. and by the British Columbia Court of Appeal. Rather, it was because the option agreement lacked a provision enabling the plaintiff to obtain possession of the share certificates in the event of a repudiation as was delivered by Davies.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market value of shares in a public company is, to say the least, mercurial. In mid-March of 1992 the plaintiff required the Pemco share certificates in order to sell the shares and by the time he recovered judgment in the Supreme Court of British Columbia and by the time it was upheld by the British Columbia Court of Appeal, the shares were worthless. The plaintiff submits that the measure of his loss is the net profit he would have enjoyed had he been able to sell the shares on or about March 15,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Peter Donald MacDonald is a solicitor whose qualifications as an expert in the area of commercial litigation are set out in Schedule "B" to his report (Exhibit 4 herein). He provided his opinion in response to this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it sufficient for Mr. McLaughlin to have advised Mr. Solmundson that the Settlement Agreement was enforceable...without also providing him advice as to the advisability of having either possession of a share certificate regarding the 45,000 shares or immediate access to one through an escrow arrangement to permit the sale of the shares on his exercise of the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Exhibit 4 of Mr. MacDonald's report under the heading of "Opinion"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A reasonably competent practitioner in the field of commercial litigation in Vancouver in 1991 should have advised Mr. Solmundson to request (and require, if possible) that the requisite number of shares, in bearer of transferable form, be held by an escrow agent, acceptable to both parties, during the term of the Option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Under section 6.1 of his report the expert wrote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finalizing the settlement documents, Mr. McLaughlin had received a copy of the Settlement Agreement, a handwritten note from Mr. Solmundson along with Mr. Solmundson's letter of September 9, 1991 to Davies.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letter to Davies stated, in paragraph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item which you did not mention, and I am not sure how this will be done, is the Option on 45,000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was Mr. MacDonald's opinion that a reasonably competent counsel practising commercial law in Vancouver in 1991, if presented with this option agreement would have done the following:</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identified the possible problems with the form of the option agreement;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advised the client of the potential problems identified;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solutions;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recommended and if instructed, prepared as part of the settlement documents, a form of notice, agreed to by the parties which would contain all of the information and details necessary to exercise the options;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recommended, and if instructed, ensured that the option shares were in bearer or transferable form and that they would remain in the possession of an acceptable escrow agent during the term of the option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found Mr. McLaughlin to be credible and I had no difficulty in accepting as more or less accurate the majority of his testimony. As he pointed out, the events with which we are concerned occurred some nine years ago, and most of his exchanges with the plaintiff were by telephone between Winnipeg and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McLaughlin testified that on being presented with the settlement agreement by the plaintiff, he asked himself if the parties were described with sufficient clarity and he concluded that they had been. He asked further if there was an intention to create contractual relations and concluded that there had been and he concluded that there had been consideration. He asked himself were the terms certain enough to be enforced by a court without more and he concluded that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Commenting generally on his recollection back to the time when the settlement agreement was presented to him, he stated that he formed the opinion that the parties were satisfied with what they had accomplished. He added, "I was kept on a short leash". He felt that the whole idea of the plaintiff meeting with Davies in Winnipeg was to cut the lawyers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can be no question that the plaintiff was concerned about legal fees and with respect to legal fees he had received Pemco shares from Davies that Davies estimated had a value of $9,000.00 which funds were, pursuant to the settlement agreement, to compensate the plaintiff for his legal fees. The plaintiff apparently was under the impression that Davies was going to pay the legal fees for the rest of the work that was necessary after the settlement agreement was signed on 6 September 1991, but this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McLaughlin in cross examination testified that on 11 September 1991, when the plaintiff phoned him from Winnipeg with respect to the settlement and inquired: "Is what we've drawn up legally binding?" that it was a narrow focus request and that he was not asked for general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testimony of Mr. McLaughlin suggests that he did not direct his mind to potential problems with respect to the plaintiff exercising his option and that he did not think about any problems that the plaintiff might encounter in getting possession of the share certificates so that he could be in a position to sell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McLaughlin was asked whether he had considered whether Davies would be obligated to deliver the shares when he looked at the settlement agreement and McLaughlin replied "Not in those precise terms". He said he had asked the plaintiff about document 31(b), being the settlement agreement. His questions were: "What is this about? What is Pemco?" McLaughlin testified that the plaintiff replied with respect to Pemco, "it is one of Davies' companies" and McLaughlin added that that was all that he could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McLaughlin was asked in cross examination whether he thought about the plaintiff's position were Davies to deny the option and his response was that if Davies was to deny any part of the agreement including the option, that he was of the opinion that Davies would be in breach of contract and that the plaintiff could sue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McLaughlin was asked in cross examination whether he had considered an escrow arrangement with respect to the Pemco shares. His answer was "I do not recall thinking about that in 1991." He was asked if he inquired as to whether Davies owned 45,000 shares in Pemco and he replied: "No". He added that he had not put that specific question to the plaintiff but that he had asked the plaintiff: "What can you tell me about the option paragraph and what is Pemco".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McLaughlin agreed on cross examination that it was a live issue as to how the option agreement would be handled. He added, "I think that is a fair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Further in the cross examination counsel for the plaintiff put to Mr. McLaughlin: "You will accept that if you had explained those risks and the need for a notice provision and the desirability of an escrow agreement, the plaintiff could have gone back to Davies or asked you to do it." Mr. McLaughlin replied: "Yes". His reservation about that was that it would have risked upsetting the entire deal. He then added: "I didn't direct my mind to those questions but I have thought about it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for the plaintiff then put to Mr. McLaughlin the suggestion that by failing to give appropriate advice to the plaintiff he had deprived the plaintiff of the chance of going back to Davies, or of the plaintiff instructing McLaughlin to go back to Davies. His answer was "I didn't tell him about the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McLaughlin in his discovery testified that Mr. Solmundson, as he recalled it, wanted his advice as to whether the document was legally enforceable as it stood, or if anything more formal was required to make a binding settlement agreement. He remarked of the plaintiff that he certainly was concerned to keep the legal costs down but he conceded that the plaintiff, if he had been advised that the settlement agreement was not enough would have wanted to have had a more formal agreement drawn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From all of the evidence of Mr. McLaughlin both in direct and in cross and in his discovery, it is clear that the practical deficiencies of the option never occurred to Mr. McLaughlin. I am satisfied that Mr. McLaughlin was the plaintiff's solicitor at all relative times. I am satisfied that as such he owed a duty to the plaintiff to protect his interests and from all of the evidence I am satisfied that he did not discharge that duty. In other words, I find that Mr. McLaughlin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MacDonald in his expert opinion adverts to the possibility that Mr. Solmundson, had he been informed about enforcement options, may not have decided to take any further steps in September 1991 to secure a possible future interest in the Pemco shares then trading at only market value. It was his view, however, that the plaintiff ought to have been asked and that he also ought to have been warned of the risks in his not taking additional steps to secure his position under the option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MacDonald acknowledged that the settlement had been agreed upon by the parties prior to Mr. McLaughlin receiving it, but noted that the parties did execute other settlement documents, including a mutual release and various corporate documents, after the settlement agreement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MacDonald testified that it would not have been sufficient for a reasonably competent commercial litigator in Vancouver in 1991 to have confined his advice to advising the plaintiff that the settlement agreement was adequate or enforceable in its handwritten form. And finally, Mr. MacDonald's opinion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failing to provide any advice or warning with respect to the Option Agreement, and, in particular, advice about how to ensure the optionor's performance, it is my opinion that Mr. McLaughlin met neither the standards owed to Mr. Solmundson in tort or in contract by a reasonably competent commercial lawyer practising in Vancouver in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agreed on the following three admissions during the course of the trial:</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sought to exercise its option with Davies in mid-March of 1992 but was refused.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had had the 45,000 shares (Pemco) which he sought pursuant to his agreement with Davies or had access thereto upon exercising his option, he would have been able to commence selling the shares forthwith.</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one applies the Iliffe formula, the amount the plaintiff would have obtained upon a sale of the shares would have been somewhere between the amount set out in the Cooney report of $330,175.00 and the amount awarded to the plaintiff at the trial by Mr. Justice Macdonell of $200,412.50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refer to the defendant's written argument at para. 16 where he cites Wong v. 407527 Ontario Ltd. </w:t>
      </w:r>
      <w:hyperlink r:id="rId951" w:history="1">
        <w:r>
          <w:rPr>
            <w:rFonts w:ascii="arial" w:eastAsia="arial" w:hAnsi="arial" w:cs="arial"/>
            <w:i/>
            <w:color w:val="0077CC"/>
            <w:sz w:val="20"/>
            <w:u w:val="single"/>
            <w:shd w:val="clear" w:color="auto" w:fill="FFFFFF"/>
            <w:lang w:val="en-US" w:eastAsia="en-US" w:bidi="ar-SA"/>
          </w:rPr>
          <w:t>(1999), 179 D.L.R. (4th) 38</w:t>
        </w:r>
      </w:hyperlink>
      <w:r>
        <w:rPr>
          <w:rFonts w:ascii="arial" w:eastAsia="arial" w:hAnsi="arial" w:cs="arial"/>
          <w:color w:val="000000"/>
          <w:sz w:val="20"/>
          <w:lang w:val="en-US" w:eastAsia="en-US" w:bidi="ar-SA"/>
        </w:rPr>
        <w:t xml:space="preserve"> for the proposition that as the defendants herein were consulted only after the settlement was signed they should not be found to be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distinguish Wong in that here, although Mr. McLaughlin was consulted by the plaintiff about the option clause after he and Davies had executed document 31(b) in Exhibit 1 on September 6th, 1991 he was after that consulted by the plaintiff about the efficacy of the option clause in the settlement agreement. The plaintiff's question essentially was: "Is anything more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McLaughlin was made aware of the general untrustworthiness of Davies and, at the very least, he was aware that such was the plaintiff's opinion of Davies and yet his advice to the plaintiff with respect to his client with respect to the settlement agreement and specifically to the option clause was, "It's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a reasonably competent solicitor would have foreseen the difficulties that could ensue upon the plaintiff attempting to exercise his option to purchase the shares given this option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my further opinion that a reasonably competent solicitor would have understood that when an option is given to purchase shares in a publicly traded company, that such shares commonly fluctuate markedly in value. With respect to the option clause, it is my view that a solicitor in general practice with two or three years experience would have identified the problem with it. As the expert witness put it, such an option can be described as a car without an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view a reasonably competent solicitor practising commercial law would have known that a mechanism to get possession of the share certificates without delay would be a standard and vital provision in such an option agreement to protect the client from precisely the situation which occurred upon the plaintiff attempting to exercise his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Informed advice from a reasonably competent practitioner in commercial law would, at the very least, have entailed drawing to the attention of his client all of the potential inadequacies and pitfalls of the option agreement including the chief inadequacy that it lacked a mechanism to assure that the plaintiff could, independently of Davies, obtain possession of the Pemco share certificates at the appropriate time when they could have been sold at an enhanced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Apparently one of the reasons why Mr. McLaughlin did not inform the plaintiff of the problems inherent in the option clause was his apprehension about upsetting the settlement arrived at, had Davies been approached and requested to deposit 45,000 shares of Pemco into escrow. I find this submission to be unconvincing, and in my view, Mr. McLaughlin, had he thought about it, which I am not convinced that he did. should have informed the plaintiff of the pitfalls inherent in the option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McLaughlin should have identified those pitfalls, discussed them with the plaintiff and he should have then taken the plaintiff's instructions. At that point nothing would have happened to alarm Davies. Whether or not the plaintiff would have instructed Mr. McLaughlin to pursue the matter with Davies should have been a course of action for him to decide upon. He was denied that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for the defendant submitted that there were four parts to his submission as follows:</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law firm.</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court should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has been no loss of opportunity made out. On the contrary, there was a good opportunity.</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court nevertheless find that there was a loss of opportunity that there were no damages.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court find that there were damages that those damages should be deeply discounted.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my view, there is no merit in the first three submissions. I find that Mr. McLaughlin was negligent. I find that there was a loss of opportunity or chance sustained by the plaintiff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resulted in damages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With respect to the issue of damages a number of authorities were made available by counsel including Eastwalsh Homes Limited v. Anatal Developments Limited </w:t>
      </w:r>
      <w:hyperlink r:id="rId952" w:history="1">
        <w:r>
          <w:rPr>
            <w:rFonts w:ascii="arial" w:eastAsia="arial" w:hAnsi="arial" w:cs="arial"/>
            <w:i/>
            <w:color w:val="0077CC"/>
            <w:sz w:val="20"/>
            <w:u w:val="single"/>
            <w:shd w:val="clear" w:color="auto" w:fill="FFFFFF"/>
            <w:lang w:val="en-US" w:eastAsia="en-US" w:bidi="ar-SA"/>
          </w:rPr>
          <w:t>(1993), 12 O.R. (3d) 675</w:t>
        </w:r>
      </w:hyperlink>
      <w:r>
        <w:rPr>
          <w:rFonts w:ascii="arial" w:eastAsia="arial" w:hAnsi="arial" w:cs="arial"/>
          <w:color w:val="000000"/>
          <w:sz w:val="20"/>
          <w:lang w:val="en-US" w:eastAsia="en-US" w:bidi="ar-SA"/>
        </w:rPr>
        <w:t>, a decision of the Ontario Court of Appeal and I set out a portion of the headnote: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the burden is on the plaintiff to establish on a balance of probabilities that as a reasonable and probable consequence of the breach, the plaintiff suffered the damages claimed. Second, where it is clear that the breach caused loss to the plaintiff, but it is very difficult to quantify that loss, the difficulty in assessment is not a basis for not making an award. If the plaintiff cannot prove loss of a definite benefit but only the loss of the "chance" of receiving benefit, the court will estimate the value of the lost chance and award damages proportionately. The plaintiff, however, must prove that the chance constitutes some reasonable probability of realizing an advantage of some real substantial monetary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for the plaintiff referred to the law of contract in Canada 4th Edition Fridman and to the following excerpt from page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decision has been applied not only to other cases of a similar kind, involving competitions, but also to situations in which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 breach of contract by solicitors has resulted in loss of an expected or probable profit or advantage...The plaintiff has the onus of proving that a chance had been lost. However, proof of the loss of a mere chance is not enough. The plaintiff must prove that the chance constitutes some reasonable probability of realizing an advantage of some real substantial monetary value...Thus, truly speculative loss is never recoverable, since it is not a loss that can be traced to the defendant's breach of contract, nor is necessary loss which the plaintiff has suffered. Loss that is difficult to assess or calculate is nonetheless definitely loss suffered by the plaintiff attributable to the wrongdoing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testified that had he been able to exercise his option to buy 45,000 shares of Pemco at $1.80 per share in mid-March of 1992 which he could have done because he had been guaranteed the necessary financing by his broker, that he would have exercised his option and that he would have started to sell his shares then at $9.50 a share. I find the plaintiff to have been credible and I accept his evidence that he would have exercised his option and that he would have then sold the shares in the neighbourhood of $9.50 per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since the trial have agreed as to what the plaintiff would have succeeded in selling the shares for in mid-March of 1992, and that amount is $312,228.00. That $312,228.00 is agreed to be the profit on the sale of the shares after payment of the option price and after deduction of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refer to Pan-Asia Development Corp. v. Smith </w:t>
      </w:r>
      <w:hyperlink r:id="rId953" w:history="1">
        <w:r>
          <w:rPr>
            <w:rFonts w:ascii="arial" w:eastAsia="arial" w:hAnsi="arial" w:cs="arial"/>
            <w:i/>
            <w:color w:val="0077CC"/>
            <w:sz w:val="20"/>
            <w:u w:val="single"/>
            <w:shd w:val="clear" w:color="auto" w:fill="FFFFFF"/>
            <w:lang w:val="en-US" w:eastAsia="en-US" w:bidi="ar-SA"/>
          </w:rPr>
          <w:t>(1996), 31 C.C.L.T. (2d) 82</w:t>
        </w:r>
      </w:hyperlink>
      <w:r>
        <w:rPr>
          <w:rFonts w:ascii="arial" w:eastAsia="arial" w:hAnsi="arial" w:cs="arial"/>
          <w:color w:val="000000"/>
          <w:sz w:val="20"/>
          <w:lang w:val="en-US" w:eastAsia="en-US" w:bidi="ar-SA"/>
        </w:rPr>
        <w:t>, a decision of Baker J. rendered 6 September 1996, and set out a portion of the headnote from page 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plaintiff proves that, but for a defendant's conduct, the plaintiff had a reasonable probability of realizing an advantage of real monetary value, the court must attempt to estimate the value of the lost chance and award damages on a proportionate basis, by discounting the value of the chance by the improbability of its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Counsel for the plaintiff submitted argument with respect to contingencies and discounting and he conceded that it cannot be known what Davies would have done if a modified option agreement had been presented to him in September 1991. However, he made the following submissions:</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consider the great number of shares that Davies had in September 1991 of Pemco, being 1,500,000.</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consider the fact that Davies in September 1991 was desirous of getting the plaintiff out of Inviro Tech.</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consider Davies' need of obtaining for his public company Pemco, the Bio Clear technology which Bio Clear would not extend to him until such time as the differences between the plaintiff and Davies were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Counsel for the plaintiff submits, bearing in mind the foregoing, that had Mr. McLaughlin presented to Davies a modification of the option clause in or about September 1991, that Davies would have agreed to the addition of a term requiring him to lodge the shares in escrow.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for the plaintiff relies on the evidence of one Lambertson, an employee of Inviro Tech in 1990 and 1991, a witness called by the plaintiff, to the effect that at one point Davies would not answer the plaintiff's telephone calls but that when Bio Clear informed Davies that there would be no Bio Clear technology forthcoming to Inviro Tech or Davies, until such time as Davies reached an accommodation with the plaintiff, that Davies then contacted the plaintiff and arranged the Winnipeg meeting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QUANTIFYING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Counsel for the defendant submits that should the court decide that a damage award is appropriate, the court should arrive at a total damage award and then award the plaintiff 20% of that amount. In this regard he relies on Wong et al v. 407527 Ontario Limited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Wong, Wong the agent had failed to obtain security on the warranty and the damage award was to compensate the plaintiff for the loss of opportunity to obtain that security. The Ontario Court of Appeal was of the view that the best estimate possible on the evidence was to value the reasonable probability of the purchasers successfully negotiating realizable security for the vendor's warranty at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set out a passage from the judgment of Laskin J. at page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Still, in my opinion, the lost opportunity to negotiate security for the warranty had value for which Phoenix should compensate the respondents. With no suggestion of any other prospective purchaser for the building and with the vendor apparently anxious to sell, the respondents had some negotiating leverage, however modest. And, according to Lebow, a holdback on the purchase price or vendor take back mortgage with a set off for any rental deficiency are common methods of securing a vendor's warranty. Doing the best I can with this evidence, I would value the reasonable probability of Laing successfully negotiating realizable security for the vendor's warranty at 20%. I therefore hold Phoenix responsible for only 20% of the rental loss and associated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must then value the reasonable probability of the plaintiff securing from Davies, in the period immediately following on 6 September 1991, an amendment to the option clause in document 31(b) herein, whereunder share certificates for 45,000 shares of Pemco would be deposited in escrow by Davies, such that upon the plaintiff lodging the purchase price of $1.80 per share with an escrow agent the share certificates would have been released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my view, the plaintiff's best opportunity would have been in the immediate vicinity of 6 September 1991, the closer to that date the better. The share value at that time was relatively modest, and had the modification been requested in the period within which Davies would have been dealing with Bio Clear to secure the batch processing technology, the plaintiff's chances of securing a modification to the option clauses would have been at their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counsel for the plaintiff has submitted, the evidence is that Davies then had a considerable number of Pemco shares, (1,500,00 shares), and I bear in mind that the plaintiff would simply have been requesting Davies to make effective the agreement that he had already agreed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bear in mind that as counsel for the plaintiff has submitted, Davies, as well as requiring the Bio Clear technology, wanted the plaintiff's shares in Inviro Tech transferred to him, and I as well bear in mind, that after the settlement agreement was signed on 6 September 1991 in Winnipeg, that it was left to the defendant solicitors herein, and to Davies' Vancouver solicitors, to exchange the necessary documents to perfect the settlement. In my view, that was a period when it would have been in the best interests of both parties to continue to get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many of the lost opportunity authorities the auguries were not particular propitious as far as the various plaintiff's chances of securing the opportunity lost and the discounting was consequently severe but I have concluded that here the plaintiff's chances of success were better than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have come to the conclusion that the probability of the plaintiff securing from Davies an amendment to the settlement agreement (Exhibit 1, Document 31(b)) pursuant to which Davies would have deposited 45,000 shares of Pemco in escrow is 50% and I so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Referring to para. [63] herein, the profit on the sale of the Pemco shares accruing to the plaintiff would have been $312,228.00. One half of that amount is $156,114.00. Counsel agree, and I so order, that from that amount there shall be deducted $46,288.84 being the amount the plaintiff recovered pursuant to his judgment against Davies. The remainder I calculate at $109,825.16, and there will be judgment for the plaintiff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as well, is entitled to his costs on scale 3, and to Court Order Interest at rates that are from time to time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SKIPP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4"/>
          <w:headerReference w:type="default" r:id="rId955"/>
          <w:footerReference w:type="even" r:id="rId956"/>
          <w:footerReference w:type="default" r:id="rId957"/>
          <w:headerReference w:type="first" r:id="rId958"/>
          <w:footerReference w:type="first" r:id="rId9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0" w:history="1">
        <w:r>
          <w:rPr>
            <w:rFonts w:ascii="arial" w:eastAsia="arial" w:hAnsi="arial" w:cs="arial"/>
            <w:b/>
            <w:bCs/>
            <w:i/>
            <w:color w:val="0077CC"/>
            <w:kern w:val="32"/>
            <w:sz w:val="28"/>
            <w:szCs w:val="32"/>
            <w:u w:val="single"/>
            <w:shd w:val="clear" w:color="auto" w:fill="FFFFFF"/>
            <w:lang w:val="en-US" w:eastAsia="en-US" w:bidi="ar-SA"/>
          </w:rPr>
          <w:t>Stone v. Ellerman, [2007] B.C.J. No. 1464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4 - 8, 11 - 13, 15 and 18 - 21,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S80452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1464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969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159 A.C.W.S. (3d) 382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74 B.C.L.R. (4th) 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1616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Holly Stone, Plaintiff, and Andrew J. Ellerman and Wai Wah Enterprises Ltd. Also known as Wai Wah Enterprises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jc w:val="both"/>
        <w:rPr>
          <w:rFonts w:ascii="arial" w:eastAsia="arial" w:hAnsi="arial" w:cs="arial"/>
          <w:sz w:val="20"/>
          <w:lang w:val="en-US" w:eastAsia="en-US" w:bidi="ar-SA"/>
        </w:rPr>
      </w:pPr>
      <w:bookmarkStart w:id="286" w:name="Counsel_44"/>
      <w:bookmarkEnd w:id="2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6"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 Spraggs, O.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Dyer, K. Armstrong.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7" w:name="Judgment_44"/>
      <w:bookmarkEnd w:id="287"/>
      <w:r>
        <w:pict>
          <v:line id="_x0000_s1237" style="position:absolute;z-index:2517555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8" w:name="STEWART J."/>
            <w:bookmarkEnd w:id="288"/>
            <w:r>
              <w:rPr>
                <w:rFonts w:ascii="arial" w:eastAsia="arial" w:hAnsi="arial" w:cs="arial"/>
                <w:b/>
                <w:color w:val="000000"/>
                <w:sz w:val="30"/>
                <w:lang w:val="en-US" w:eastAsia="en-US" w:bidi="ar-SA"/>
              </w:rPr>
              <w:t>STEWART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cause of action sounds in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arises out of a collision which occurred on August 15, 2002 at an intersection in Port Coquitlam here in the Province of British Columbia. At the material time the plaintiff was driving a Honda Civic. It was stopped. A pickup truck, also stopped, was immediately in front of the Honda. A Toyota Corolla driven by the defendant Andrew Ellerman slammed into the rear of the plaintiff's Honda Civic. The force of the blow shot the Honda Civic forward and into the rear of the pickup.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It is admitted that "the accident ...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Andrew J. Ellerman." (Statement of Defence paragraph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At the trial counsel for the defendants, sensibly, conceded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Ellerman had caused the plaintiff injury and loss. What is in dispute is the extent of the plaintiff's injuries, the scope of her resulting loss and at what amount damages should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onus of proof is on the plaintiff on every issue save and except with respect to an allegation made by the defendant of failure by the plaintiff to mitigate her loss. On that issue the onus of proof is on the defendant. The standard of proof for both plaintiff and defendant is proof on a balance of probabilities. Hypothetical events - such as how the plaintiff's life would have proceeded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what might have occurred in the future or may occur in the future - are given weight according to my view of their relative likelihood. The caveat is that only real and substantial possibilities are of interest. Mere speculation is of no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My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Court of Appeal made plain in </w:t>
      </w:r>
      <w:r>
        <w:rPr>
          <w:rFonts w:ascii="arial" w:eastAsia="arial" w:hAnsi="arial" w:cs="arial"/>
          <w:b/>
          <w:i/>
          <w:color w:val="000000"/>
          <w:sz w:val="20"/>
          <w:lang w:val="en-US" w:eastAsia="en-US" w:bidi="ar-SA"/>
        </w:rPr>
        <w:t>F.H. v. McDougall</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[2007] B.C.J. No. 721</w:t>
        </w:r>
      </w:hyperlink>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2007 BCCA 212</w:t>
        </w:r>
      </w:hyperlink>
      <w:r>
        <w:rPr>
          <w:rFonts w:ascii="arial" w:eastAsia="arial" w:hAnsi="arial" w:cs="arial"/>
          <w:color w:val="000000"/>
          <w:sz w:val="20"/>
          <w:lang w:val="en-US" w:eastAsia="en-US" w:bidi="ar-SA"/>
        </w:rPr>
        <w:t xml:space="preserve"> that controlling authorities from the Supreme Court of Canada and the Court of Appeal on the irreducible elements of a trial judge's reasons for judgment have application on the civil side as well as on the criminal side, the side from which the relevant case law has sprung.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Supreme Court of Canada has said, in effect, that a trial court judge must provide reasons for judgment which, </w:t>
      </w:r>
      <w:r>
        <w:rPr>
          <w:rFonts w:ascii="arial" w:eastAsia="arial" w:hAnsi="arial" w:cs="arial"/>
          <w:color w:val="000000"/>
          <w:sz w:val="20"/>
          <w:u w:val="single"/>
          <w:lang w:val="en-US" w:eastAsia="en-US" w:bidi="ar-SA"/>
        </w:rPr>
        <w:t>having regard to the particular circumstances of the case</w:t>
      </w:r>
      <w:r>
        <w:rPr>
          <w:rFonts w:ascii="arial" w:eastAsia="arial" w:hAnsi="arial" w:cs="arial"/>
          <w:color w:val="000000"/>
          <w:sz w:val="20"/>
          <w:lang w:val="en-US" w:eastAsia="en-US" w:bidi="ar-SA"/>
        </w:rPr>
        <w:t>, are reasonably intelligible to the parties and provide the basis for meaningful appellate review. (</w:t>
      </w:r>
      <w:r>
        <w:rPr>
          <w:rFonts w:ascii="arial" w:eastAsia="arial" w:hAnsi="arial" w:cs="arial"/>
          <w:b/>
          <w:i/>
          <w:color w:val="000000"/>
          <w:sz w:val="20"/>
          <w:lang w:val="en-US" w:eastAsia="en-US" w:bidi="ar-SA"/>
        </w:rPr>
        <w:t>R. v. Sheppard</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[2002] 1 S.C.R. 869</w:t>
        </w:r>
      </w:hyperlink>
      <w:r>
        <w:rPr>
          <w:rFonts w:ascii="arial" w:eastAsia="arial" w:hAnsi="arial" w:cs="arial"/>
          <w:color w:val="000000"/>
          <w:sz w:val="20"/>
          <w:lang w:val="en-US" w:eastAsia="en-US" w:bidi="ar-SA"/>
        </w:rPr>
        <w:t>.) Our Court of Appeal has added a gloss: the trial court judge is required to "state his findings in a way that [makes] the pathway to [judgment] clear." (</w:t>
      </w:r>
      <w:r>
        <w:rPr>
          <w:rFonts w:ascii="arial" w:eastAsia="arial" w:hAnsi="arial" w:cs="arial"/>
          <w:b/>
          <w:i/>
          <w:color w:val="000000"/>
          <w:sz w:val="20"/>
          <w:lang w:val="en-US" w:eastAsia="en-US" w:bidi="ar-SA"/>
        </w:rPr>
        <w:t>R. v. Bains</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[2007] B.C.J. No. 200</w:t>
        </w:r>
      </w:hyperlink>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2007 BCCA 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It is trite that a trial court judge need not refer to each witness or bit of testimony, let alone produce what could only be a bad "transcript" of the evidence. (See </w:t>
      </w:r>
      <w:r>
        <w:rPr>
          <w:rFonts w:ascii="arial" w:eastAsia="arial" w:hAnsi="arial" w:cs="arial"/>
          <w:b/>
          <w:i/>
          <w:color w:val="000000"/>
          <w:sz w:val="20"/>
          <w:lang w:val="en-US" w:eastAsia="en-US" w:bidi="ar-SA"/>
        </w:rPr>
        <w:t>R. v. Yang</w:t>
      </w:r>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2004 BCCA 235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Because of our Court of Appeal's recent focussing on whether a trial judge's reasons for judgment clearly state the "pathway" to judgment I note two things:</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centrality in the case at bar of issues of testimonial reliability - of superordinate importance in the case of the plaintiff as witness - means that here the Court of Appeal's demand for clarity of the "pathway" must be read in the light of the Supreme Court of Canada's binding statement in </w:t>
      </w:r>
      <w:r>
        <w:rPr>
          <w:rFonts w:ascii="arial" w:eastAsia="arial" w:hAnsi="arial" w:cs="arial"/>
          <w:b/>
          <w:i/>
          <w:color w:val="000000"/>
          <w:sz w:val="20"/>
          <w:lang w:val="en-US" w:eastAsia="en-US" w:bidi="ar-SA"/>
        </w:rPr>
        <w:t>R. v. Gagnon</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[2006] 1 S.C.R. 621</w:t>
        </w:r>
      </w:hyperlink>
      <w:r>
        <w:rPr>
          <w:rFonts w:ascii="arial" w:eastAsia="arial" w:hAnsi="arial" w:cs="arial"/>
          <w:color w:val="000000"/>
          <w:sz w:val="20"/>
          <w:lang w:val="en-US" w:eastAsia="en-US" w:bidi="ar-SA"/>
        </w:rPr>
        <w:t xml:space="preserve"> at paras. 20 and 21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Assessing credibility is not a science. It is very difficult for a trial judge to articulate with precision the complex intermingling of impressions that emerge after watching and listening to witnesses and attempting to reconcile the various versions of events. That is why this Court decided, most recently in </w:t>
      </w:r>
      <w:r>
        <w:rPr>
          <w:rFonts w:ascii="arial" w:eastAsia="arial" w:hAnsi="arial" w:cs="arial"/>
          <w:i/>
          <w:color w:val="000000"/>
          <w:sz w:val="20"/>
          <w:u w:val="single"/>
          <w:lang w:val="en-US" w:eastAsia="en-US" w:bidi="ar-SA"/>
        </w:rPr>
        <w:t>H.L.</w:t>
      </w:r>
      <w:r>
        <w:rPr>
          <w:rFonts w:ascii="arial" w:eastAsia="arial" w:hAnsi="arial" w:cs="arial"/>
          <w:color w:val="000000"/>
          <w:sz w:val="20"/>
          <w:u w:val="single"/>
          <w:lang w:val="en-US" w:eastAsia="en-US" w:bidi="ar-SA"/>
        </w:rPr>
        <w:t>, that in the absence of a palpable and overriding error by the trial judge, his or her perceptions should be respected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does not mean that a court of appeal can abdicate its responsibility for reviewing the record to see whether the findings of fact are reasonably available. Moreover, where the charge is a serious one and where, as here, the evidence of a child contradicts the denial of an adult, an accused is entitled to know why the trial judge is left with no reasonable doubt.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the Court of Appeal's demanding that a trial court judge provide a clear "pathway" to judgment cannot, and does not, change, alter, add to or delete from what is simply a fact: Before taking pen in hand I considered the whole of the evidence together and arrived at the substance of my judgment. The limits of language and the fact certain topics must be discussed individually, or not at all, may give the impression of a piecemeal consideration of the issues and the evidence - or of a discarding of evidence prior to a decision's having been arrived at - but the reality is the exact opposite.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find that the force generated by the collision in question in the case at bar was enormous.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his examination for discovery the defendant, Ellerman, estimated that his car was travelling at 50 kilometres per hour when it slammed into the rear of the plaintiff's stopped vehicle. The plaintiff's vehicle shot forward into the back of the pickup truck stopped in front of it. The damage to the front and rear of the plaintiff's vehicle was not just impressive and expensive to fix - the car never was fixed, it was junked - but of a magnitude that resulted in a bending or bowing of the platform on which the car is constructed. You can see it in the photos: Exhibit 6 Tab 205. The damage to the Toyota (Exhibit 6 Tab 207) tends to confirm or support the proposition that the collision was very violent.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common ground that at the moment of impact the plaintiff was in the driver's seat of the Honda and was belted in by a three-way seatbelt. The short belt was across her pelvis and the longer belt came down from her left side across her body and was secured to her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find that the mechanism of injury was what the plaintiff's expert witness, Dr. Hershler (a specialist in Physical Medicine and Rehabilitative Medicine), told me it was: the force generated first by the blow from the rear and then by the striking of the pickup to the front was applied to the plaintiff's body in the usual whiplash way as far as her upper body was concerned; as for the plaintiff's lower body, because the plaintiff's body was pinned as it was, asymmetrically - and because the force applied to the plaintiff's body was enormous - there was not just an action and reaction forward and backwards but greater movement of the right side of the plaintiff's pelvis relative to the left side and resulting injury to the soft tissue structures in and about the right sacroiliac joint culminating in pelvic malalignment.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It is inherent in the finding I have just made that I reject the defendant's attack on the weight to be given to Dr. Hershler's opinion as to injury to the soft tissue structures in and about the right sacroiliac joint and pelvic malalignment. In a nutshell it comes to this: having considered the whole of the evidence together I am satisfied that this is a case in which early, often and consistently, the plaintiff made relevant, meaningful complaints of pain in the area later pinpointed by Dr. Hershler (Examples: Exhibit 5 Tab 304 Page 1; Tab 305 Page 1; Tab 308 August 20, 2002, August 23, 2002, September 24, 2002, October 3, 2002, October 21, 2002, November 5, 2002, November 14, 2002, February 25, 2003, May 20, 2003); there is nothing destructive of Dr. Hershler's conclusion in the testimony of the plaintiff's family doctors, as what they wrestled with is consistent with Dr. Hershler's opinion; the negative results of various diagnostic tests taken over time are not inconsistent with Dr. Hershler's opinion as x-rays, CT scans, bone scans, etc. are blind to the soft tissue damage graphically described by Dr. Hershler; and the interplay between the evidence of Dr. Hershler - a specialist in Physical Medicine and Rehabilitation who made his diagnosis of soft tissue injury in the area of the right sacroiliac joint and pelvic malalignment on February 13, 2006 - and the evidence of Dr. Reebye - a specialist in Physical Medicine and Rehabilitation - who made no such diagnosis on September 26, 2006, is simply this: as the trier of fact I am convinced that Dr. Hershler, not just by his training but by his particular professional interests, was, purely by good luck, the medical specialist perfectly situated to make the diagnosis in question while Dr. Reebye, who was not attuned to such a problem in the same way as Dr. Hershler, carefully told me from the witness box, in effect, that he respects Dr. Hershler's opinion, would have expected to have seen what Dr. Hershler saw if it were there to be seen - as it must have been - on September 26, 2006 but had not been alerted to Dr. Hershler's diagnosis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he examined the plaintiff on September 26, 2006. He cannot state flatly - for he did not - that Dr. Hershler could not have seen what he, Dr. Hershler, tells me he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Results for the Plaintiff of the Defendant's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turn to the result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August 15,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begin by stating that I reject the defendant's attack on the plaintiff's testimonial reliability. I am the trier of fact. I say that having considered the whole of it together I find that the plaintiff's story of persistent, significant and ongoing pain by way of headaches, neck and upper body pain and lower body pain centred in the sacroiliac joint and radiating elsewhere confirmed by the good impression she made upon me when she testified before me, the content of the clinical records of her caregivers and the telling reports of significant pain and discomfort new to her after August 15, 2002 and remembered by her employers since August 15, 2002 (Sandy Arychuk, Candice Paskas), her parents and her boyfriend, Kurtis Wilson. I pause to note that the fact the plaintiff said nothing to her employer Graham Fox of the Cactus Club about the motor vehicle accident, or its results for her, makes perfect sense. He, unlike Sandy Arychuk and Candice Paskas, knew nothing of what the plaintiff was like before August 15, 2002 and had no relationship to the plaintiff other than being her boss in an industry - the food industry - where employment is only as certain as one's last shift. (Judges do live in the real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what the defendant pointed to as grounding the defendant's attack on the plaintiff's testimonial reliability actually amounts to only this: quibbles; insignificant differences between the plaintiff's testimony and the testimony of other witnesses; decontextualized use of a photo which appears at Exhibit 11 Photo 17; prior inconsistent statements properly examined upon during cross-examination of the plaintiff but resulting in nothing that really matters; alleged prior inconsistent statements anchored in experts' report as to what the plaintiff had allegedly told the expert but about which the plaintiff was not confronted during cross-examination; and other equally unimpressive points. As demanded by law (</w:t>
      </w:r>
      <w:r>
        <w:rPr>
          <w:rFonts w:ascii="arial" w:eastAsia="arial" w:hAnsi="arial" w:cs="arial"/>
          <w:b/>
          <w:i/>
          <w:color w:val="000000"/>
          <w:sz w:val="20"/>
          <w:lang w:val="en-US" w:eastAsia="en-US" w:bidi="ar-SA"/>
        </w:rPr>
        <w:t>R. v. Bowe</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[1993] B.C.J. No. 758</w:t>
        </w:r>
      </w:hyperlink>
      <w:r>
        <w:rPr>
          <w:rFonts w:ascii="arial" w:eastAsia="arial" w:hAnsi="arial" w:cs="arial"/>
          <w:color w:val="000000"/>
          <w:sz w:val="20"/>
          <w:lang w:val="en-US" w:eastAsia="en-US" w:bidi="ar-SA"/>
        </w:rPr>
        <w:t>, Court of Appeal 015042 April 8, 1993) I considered the cumulative or synergistic effect of all of the points made by counsel for the defendants in his attack on the plaintiff's testimonial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 accept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on August 15, 2002 the plaintiff would not have suffered from - and, I note, will continue to suffer from: headaches which are different from migraine headaches, a form of headache the plaintiff was alive to before August 15, 2002; pain in the area of the neck and upper body, located most especially between the shoulder blades; and pain having its head and source in the injury to the soft tissues associated with the right sacroiliac joint and resulting pelvic malalignment.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find that the plaintiff's level of pain has plateaued, shows little or no sign of abating and is very serious. I reject the defendant's submission that the seriousness of the plaintiff's pain can be gauged simply by looking at the extensive hours the plaintiff has worked since August 15, 2002. The plaintiff's assertion that she works in spite of severe pain is confirmed or supported by: the evidence of her employers Sandy Arychuk and Candice Paskas of the plaintiff's value as an employee and of their making allowances for her post-August 15, 2002 needs; and by Graham Fox's unwitting confirmation that what had been a good and valuable employee - the plaintiff - in two positions (hostess and expediter at the restaurant) which (unbeknownst to Graham Fox) permitted her to work within her reduced capacity for lifting and carrying significant weight became an unfriendly and unsuitable employee when promoted to the much more physically demanding and lucrative position of server - a position with which, I find, she would have had no trouble at all absent the effect on her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turn to the defendant's allegation that the plaintiff has failed to mitigate her loss. In this connection the onus is on the defendant and the defendant cannot succeed unless I am convinced on a balance of probabilities that the plaintiff has failed to mitigate her loss. (</w:t>
      </w:r>
      <w:r>
        <w:rPr>
          <w:rFonts w:ascii="arial" w:eastAsia="arial" w:hAnsi="arial" w:cs="arial"/>
          <w:b/>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[2001] B.C.J. No. 1291</w:t>
        </w:r>
      </w:hyperlink>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not so convinced.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Properly analyzed, the defendant's case on failure to mitigate comes to this at its heart: there is no significant evidence of the plaintiff's refusing or neglecting to undertake a course of action recommended to her by her caregivers - and available to her - but there is evidence that she and her counsel learned from medical practitioners drawn into the litigation for litigation purposes of alternate courses of treatment, therapy or conduct that could have been brought home to her immediate caregivers - her family doctors - and resulted, perhaps, in an improvement of her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Counsel relies in this connection on the case of </w:t>
      </w:r>
      <w:r>
        <w:rPr>
          <w:rFonts w:ascii="arial" w:eastAsia="arial" w:hAnsi="arial" w:cs="arial"/>
          <w:b/>
          <w:i/>
          <w:color w:val="000000"/>
          <w:sz w:val="20"/>
          <w:lang w:val="en-US" w:eastAsia="en-US" w:bidi="ar-SA"/>
        </w:rPr>
        <w:t>Zahynacz v. Kozak</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[1998] B.C.J. No. 1947</w:t>
        </w:r>
      </w:hyperlink>
      <w:r>
        <w:rPr>
          <w:rFonts w:ascii="arial" w:eastAsia="arial" w:hAnsi="arial" w:cs="arial"/>
          <w:color w:val="000000"/>
          <w:sz w:val="20"/>
          <w:lang w:val="en-US" w:eastAsia="en-US" w:bidi="ar-SA"/>
        </w:rPr>
        <w:t>, paras. 67-76, and what is said there about a "gatekeeper" role adopted by plaintiff's counsel in that particular case and counsel's failure to pass on information to the plaintiff's attending physician. In that case the trial judge left it that whether one called "the failure to communicate and treat an intervening act, an unforeseeable circumstance or a failure to mitigate" he was left with an unsatisfactory evidential background and reduced the award of damages from what it otherwise would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find nothing in </w:t>
      </w:r>
      <w:r>
        <w:rPr>
          <w:rFonts w:ascii="arial" w:eastAsia="arial" w:hAnsi="arial" w:cs="arial"/>
          <w:b/>
          <w:i/>
          <w:color w:val="000000"/>
          <w:sz w:val="20"/>
          <w:lang w:val="en-US" w:eastAsia="en-US" w:bidi="ar-SA"/>
        </w:rPr>
        <w:t>Zahynacz v. Kozak</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that assists the defendant in the case at bar. The decision in </w:t>
      </w:r>
      <w:r>
        <w:rPr>
          <w:rFonts w:ascii="arial" w:eastAsia="arial" w:hAnsi="arial" w:cs="arial"/>
          <w:b/>
          <w:i/>
          <w:color w:val="000000"/>
          <w:sz w:val="20"/>
          <w:lang w:val="en-US" w:eastAsia="en-US" w:bidi="ar-SA"/>
        </w:rPr>
        <w:t>Zahynacz v. Kozak</w:t>
      </w:r>
      <w:r>
        <w:rPr>
          <w:rFonts w:ascii="arial" w:eastAsia="arial" w:hAnsi="arial" w:cs="arial"/>
          <w:color w:val="000000"/>
          <w:sz w:val="20"/>
          <w:lang w:val="en-US" w:eastAsia="en-US" w:bidi="ar-SA"/>
        </w:rPr>
        <w:t xml:space="preserve"> was case specific, failed to settle on an analytical tool and devoid of any reference to controlling case law such as </w:t>
      </w:r>
      <w:r>
        <w:rPr>
          <w:rFonts w:ascii="arial" w:eastAsia="arial" w:hAnsi="arial" w:cs="arial"/>
          <w:b/>
          <w:i/>
          <w:color w:val="000000"/>
          <w:sz w:val="20"/>
          <w:lang w:val="en-US" w:eastAsia="en-US" w:bidi="ar-SA"/>
        </w:rPr>
        <w:t>Chiu v. Chiu</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[2002] B.C.J. No. 2537</w:t>
        </w:r>
      </w:hyperlink>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paragraph 57, which orders a trier of fact, such as I, to dismiss an allegation of a failure to mitigate absent proof of, inter alia, a recommendation of reasonably available treatment and an unreasonable refusal by the plaintiff to so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balance of the defendant's case on the allegation of failure to mitigate deals with lack of persistence, says the defendant, by the plaintiff in getting on with the program of exercise that she was given by her caregivers. Chronic pain - which is obviously what the plaintiff has to live with - is enervating. The pattern revealed not just by the plaintiff's evidence but by the evidence of others, such as her employers (Sandy Arychuk, Candice Paskas) and her boyfriend (Kurtis Wilson), makes perfect sense, i.e. she exhausts herself at work and has but little left for anything else, including exercising. In the result I accept that she has, to the best of her ability, followed the course of conduct suggested by her caregivers.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turn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was born on May 16, 1983. She was 19 years of age on August 15, 2002, the date of the motor vehicle accident that bottoms the litigation in the case at bar. She had graduated from high school in June 2001. She is not a scholar. Her skills lie elsewhere. She has worked since she was 11 years of age. At that tender age she began working in her father's dog salon business. At 16 years of age she became employed as a clerk at a clothing store called "Off The Wall" in Coquitlam. She worked the kind of hours students work until she graduated from high school. At the date of the motor vehicle accident, and for some time before that date, she had been classified as a "full time employee", which we learned at the trial does not automatically convert to a 40 hour week. I accept the evidence of the plaintiff, her manager at Off The Wall (Sandy Arychuk), and her co-worker at Off The Wall, Candice Paskas, that before August 15, 2002 the plaintiff was a happy, valuable worker who excelled at her job - a job that was more physically demanding than I would have assumed absent the evidence of these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find that after the motor vehicle accident, and because of economic need and what the Court of Appeal calls in </w:t>
      </w:r>
      <w:r>
        <w:rPr>
          <w:rFonts w:ascii="arial" w:eastAsia="arial" w:hAnsi="arial" w:cs="arial"/>
          <w:b/>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an individual's "inherent resources or will-power" the plaintiff increased the number of hours she worked and, at times, worked at two jobs. (She worked at Off The Wall and Rogers Video for several months in 2004 and later at Off The Wall and the Cactus Club. She trained for, and worked at, hairdressing only enough to learn that it was too much for her. She now works full time at a liquor store.) I find that the plaintiff has accomplished what she has only by a combination of working in spite of the pain, sacrificing her time away from work largely to simply getting ready to go back to work, and having her characteristics as an employee other than her physical stamina valued so highly by her employers - Sandy Arychuk at Off The Wall and Candice Paskas at the Boon County Liquor Store where the plaintiff now works - that they made concessions to her pain and discomfort by carving down what would otherwise have been her duties and letting her rest when no other employee is permitted to rest. And the plaintiff increased her hours of work, and worked at two jobs, in spite of one other thing that was new to her work history after August 15, 2002 and the advent of the motor vehicle accident in the case at bar: she learned to fail. In addition to working at a Cactus Club where, as above, the physical demands imposed on a server proved too much for the plaintiff, the plaintiff gained employment at a video rental store i.e. the Rogers Video mentioned above. She thought better of it, I find, after the physical demands - which included exactly the kind of overhead reaching and lifting proscribed by both the plaintiff's occupational therapist Ms. Quastel and the defendant's occupational therapist Ms. Fisher - proved too much for her. The evidence of those two experts (See Exhibit 14 and Exhibit 20) is not of interest because of their differing procedures or choice of language in describing the results of their investigations but for the fact that it is common ground that the plaintiff's capacity to undertake certain otherwise normal activities for prolonged periods of time is compromised and her ability to function in certain job capacities is in turn a function of her capacity to accept "discomfort". (See Exhibit 20 Pages 23-26).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accept that as at August 15, 2002 the plaintiff's recreational activities were unfocused. But she was a 19 year old female in excellent physical condition with a history of strenuous physical activity and an ongoing interest in keeping very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find that after August 15, 2002 that the plaintiff was, and is, reduced to selective periods of walking, exercising and other low impact activities. She depends on others for the performance of the heavier chores involved in housework. She is consigned to a routine that involves working in spite of pain, suffering reduced energy, putting up with severely interrupted sleep and accepting her inability to participate in any rigorous activity. None of these things is less than significant. And having the joy of honest work reduced or destroyed by chronic pain is an enormous loss. I pause at this point to note that there was no sufficient medical evidence placed before me for a finding that the plaintiff's urinary difficulties can be laid at the feet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find that all of this would not have been her lot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on August 15, 2002 and that it will be her lot to the grave as the evidence reveals only the slightest possibility that one or more of the proposed treatments discussed during the trial - including such intrusive therapies as prolotherapy and controversial therapies such as Magnetic Pulse Therapy - may alleviate her symptoms. And there's another thing that is relevant. The plaintiff is pregnant. Such medical evidence as is before me is to the effect that the plaintiff's ability to carry a child to full term and deliver the baby will not be compromised by the effects on her lower body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the medical evidence confirms what common sense would suggest, i.e. a reduced capacity to lift and carry will interfere with her ability to comfortably nurse, cuddle, comfort and, ultimately, raise the child. In my opinion that is a huge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take into account all that I have said and turn to my assessment of damages for the plaintiff's non-pecuniary loss both to the date of trial and into the future. I have considered all of the cases placed before me by counsel. In light of the findings of fact I have made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plaintiff's relative youth and the "extremely guarded" prognosis for significant recovery that flows not just from Dr. Hershler's evidence (Exhibit 16 Page 2) but the whole of the evidence I have heard, I assess the plaintiff's non-pecuniary damages at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turn to the question of loss of or impairment of the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Court of Appeal rationalized this area of the law in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[2004] B.C.J. No. 2509</w:t>
        </w:r>
      </w:hyperlink>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[2005] B.C.J. No. 523</w:t>
        </w:r>
      </w:hyperlink>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the result it is loss of or diminishment of a capital asset that is of interest in considering the effect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plaintiff </w:t>
      </w:r>
      <w:r>
        <w:rPr>
          <w:rFonts w:ascii="arial" w:eastAsia="arial" w:hAnsi="arial" w:cs="arial"/>
          <w:color w:val="000000"/>
          <w:sz w:val="20"/>
          <w:u w:val="single"/>
          <w:lang w:val="en-US" w:eastAsia="en-US" w:bidi="ar-SA"/>
        </w:rPr>
        <w:t>both</w:t>
      </w:r>
      <w:r>
        <w:rPr>
          <w:rFonts w:ascii="arial" w:eastAsia="arial" w:hAnsi="arial" w:cs="arial"/>
          <w:color w:val="000000"/>
          <w:sz w:val="20"/>
          <w:lang w:val="en-US" w:eastAsia="en-US" w:bidi="ar-SA"/>
        </w:rPr>
        <w:t xml:space="preserve"> before and after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addition, in </w:t>
      </w:r>
      <w:r>
        <w:rPr>
          <w:rFonts w:ascii="arial" w:eastAsia="arial" w:hAnsi="arial" w:cs="arial"/>
          <w:b/>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[2005] B.C.J. No. 499</w:t>
        </w:r>
      </w:hyperlink>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the Court of Appeal's premise is that proof of a reduction in the capacity to earn income </w:t>
      </w:r>
      <w:r>
        <w:rPr>
          <w:rFonts w:ascii="arial" w:eastAsia="arial" w:hAnsi="arial" w:cs="arial"/>
          <w:color w:val="000000"/>
          <w:sz w:val="20"/>
          <w:u w:val="single"/>
          <w:lang w:val="en-US" w:eastAsia="en-US" w:bidi="ar-SA"/>
        </w:rPr>
        <w:t>prior</w:t>
      </w:r>
      <w:r>
        <w:rPr>
          <w:rFonts w:ascii="arial" w:eastAsia="arial" w:hAnsi="arial" w:cs="arial"/>
          <w:color w:val="000000"/>
          <w:sz w:val="20"/>
          <w:lang w:val="en-US" w:eastAsia="en-US" w:bidi="ar-SA"/>
        </w:rPr>
        <w:t xml:space="preserve"> to trial results in no award of damages absent a sufficient basis in the record for the estimating of "hypothetical past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case at bar there is no such basis in the evidence. That the law, in effect, punishes the plaintiff for having the grit and determination to work through her pain is simply a fact. I find that the submission of counsel for the plaintiff that I should award the plaintiff $61,687.00 for "past wage loss" is anchored in the evidence of a Consulting Economist, Frank Atkins, Ph.D. (Exhibit 4). That evidence is in turn grounded in assumptions of a general nature which are divorced from the reality of what the plaintiff had earned before the motor vehicle accident, what she earned after the motor vehicle accident and the fact that the overwhelming "real and substantial possibility" on the evidence before me is not that a healthy plaintiff would have put in any more hours at work after August 15, 2002 but that having worked happily and free of pain she would have devoted the rest of her time to untroubled sleep and enjoying recreational activities free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It follows that I award the plaintiff nothing for loss of or diminishment of the capacity to earn income prior to trial save and except $700.00, which is a generous allowance for time actually lost because of the plaintiff's injuries and the need for such things as taking, in early 2003, what proved to be two weeks not one (because of a less than sprightly kitten) off work in a failed attempt to achieve substantial recovery. (I accept the plaintiff's evidence as to the circumstances in which she came to trip and injure her foot. For the purposes of the law the plaintiff's "kitten incident" is just a "non-tortious event" which resulted in injury to which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in a material way: </w:t>
      </w:r>
      <w:r>
        <w:rPr>
          <w:rFonts w:ascii="arial" w:eastAsia="arial" w:hAnsi="arial" w:cs="arial"/>
          <w:b/>
          <w:i/>
          <w:color w:val="000000"/>
          <w:sz w:val="20"/>
          <w:lang w:val="en-US" w:eastAsia="en-US" w:bidi="ar-SA"/>
        </w:rPr>
        <w:t>Larwill v. Lanham</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[2003] B.C.J. No. 2627</w:t>
        </w:r>
      </w:hyperlink>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2003 BCCA 629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turn to the diminishment of the plaintiff's capacity to earn income in the </w:t>
      </w:r>
      <w:r>
        <w:rPr>
          <w:rFonts w:ascii="arial" w:eastAsia="arial" w:hAnsi="arial" w:cs="arial"/>
          <w:color w:val="000000"/>
          <w:sz w:val="20"/>
          <w:u w:val="single"/>
          <w:lang w:val="en-US" w:eastAsia="en-US" w:bidi="ar-SA"/>
        </w:rPr>
        <w:t>future</w:t>
      </w:r>
      <w:r>
        <w:rPr>
          <w:rFonts w:ascii="arial" w:eastAsia="arial" w:hAnsi="arial" w:cs="arial"/>
          <w:color w:val="000000"/>
          <w:sz w:val="20"/>
          <w:lang w:val="en-US" w:eastAsia="en-US" w:bidi="ar-SA"/>
        </w:rPr>
        <w:t xml:space="preserve">. The applicable law is summarized in a line of cases that includes </w:t>
      </w:r>
      <w:r>
        <w:rPr>
          <w:rFonts w:ascii="arial" w:eastAsia="arial" w:hAnsi="arial" w:cs="arial"/>
          <w:b/>
          <w:i/>
          <w:color w:val="000000"/>
          <w:sz w:val="20"/>
          <w:lang w:val="en-US" w:eastAsia="en-US" w:bidi="ar-SA"/>
        </w:rPr>
        <w:t>Pallos v. ICBC</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I'll take that familiar case law as read. I add only that I proceed on the basis that what the Court of Appeal said in </w:t>
      </w:r>
      <w:r>
        <w:rPr>
          <w:rFonts w:ascii="arial" w:eastAsia="arial" w:hAnsi="arial" w:cs="arial"/>
          <w:b/>
          <w:i/>
          <w:color w:val="000000"/>
          <w:sz w:val="20"/>
          <w:lang w:val="en-US" w:eastAsia="en-US" w:bidi="ar-SA"/>
        </w:rPr>
        <w:t>Steward v. Berezan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about loss of the capacity to earn income in the </w:t>
      </w:r>
      <w:r>
        <w:rPr>
          <w:rFonts w:ascii="arial" w:eastAsia="arial" w:hAnsi="arial" w:cs="arial"/>
          <w:color w:val="000000"/>
          <w:sz w:val="20"/>
          <w:u w:val="single"/>
          <w:lang w:val="en-US" w:eastAsia="en-US" w:bidi="ar-SA"/>
        </w:rPr>
        <w:t>future</w:t>
      </w:r>
      <w:r>
        <w:rPr>
          <w:rFonts w:ascii="arial" w:eastAsia="arial" w:hAnsi="arial" w:cs="arial"/>
          <w:color w:val="000000"/>
          <w:sz w:val="20"/>
          <w:lang w:val="en-US" w:eastAsia="en-US" w:bidi="ar-SA"/>
        </w:rPr>
        <w:t xml:space="preserve"> has been contextualized and, in the result, effectively read out of the case law by the Court of Appeal in subsequent decisions. (See </w:t>
      </w:r>
      <w:r>
        <w:rPr>
          <w:rFonts w:ascii="arial" w:eastAsia="arial" w:hAnsi="arial" w:cs="arial"/>
          <w:b/>
          <w:i/>
          <w:color w:val="000000"/>
          <w:sz w:val="20"/>
          <w:lang w:val="en-US" w:eastAsia="en-US" w:bidi="ar-SA"/>
        </w:rPr>
        <w:t>Djukic v. Hahn</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[2007] B.C.J. No. 668</w:t>
        </w:r>
      </w:hyperlink>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2007 BCCA 203</w:t>
        </w:r>
      </w:hyperlink>
      <w:r>
        <w:rPr>
          <w:rFonts w:ascii="arial" w:eastAsia="arial" w:hAnsi="arial" w:cs="arial"/>
          <w:color w:val="000000"/>
          <w:sz w:val="20"/>
          <w:lang w:val="en-US" w:eastAsia="en-US" w:bidi="ar-SA"/>
        </w:rPr>
        <w:t xml:space="preserve"> at paragraph 14 and </w:t>
      </w:r>
      <w:r>
        <w:rPr>
          <w:rFonts w:ascii="arial" w:eastAsia="arial" w:hAnsi="arial" w:cs="arial"/>
          <w:b/>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[2007] B.C.J. No. 1023</w:t>
        </w:r>
      </w:hyperlink>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the plaintiff's loss is huge.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find as a fact that the results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struck at the heart of what the plaintiff - a non-academic - had to offer any employer: energy, drive, good health, physical stamina. That the plaintiff's motor vehicle accident related problems have resulted in her being accommodated at two jobs and finding two other jobs too much for her only underlines the seriousness of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to her upper body the plaintiff is simply one of those unlucky people, familiar in these courts, whose pain and suffering persists long after the flesh must have healed. She has placed convincing evidence before me that satisfies me not only that the pain and suffering she complains of exists but that it is of a high order, has plateaued and is likely to improve, if at all, only at a glacial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to the plaintiff's lower body, the plaintiff has established an injury to the soft tissues associated with the right sacroiliac joint and pelvic malalignment. As common sense suggests, and Dr. Hershler confirms, "You cannot escape your pelvis". The reason is quite simple: mankind walks upright. And the prospect for improvement of the plaintiff's condition is bleak.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against that background and in that context that I must assess the damages to be awarded to a young person who: is not academically inclined; had not settled on a career as at August 15, 2002; had earned call it $1,200.00 per month after graduation from high school and before the happening of the motor vehicle accident; was in good health; had demonstrated great drive and energy; has worked since the motor vehicle accident in spite of pain earning call it $1,500.00 per month; has qualified since August 15, 2002 to work as a hairdresser but concluded, in the result, that steady employment in such a position is likely to be too much for her; and faces the prospect - based on common sense and confirmed by the medical evidence before me - that she may have been 19 years of age when injured and only 24 years of age now but chronic pain - the sort of pain which is her lot - is debilitating and likely to carve down and ultimately destroy her ability to work through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found the evidence (Exhibit 4) of the Consulting Economist of little assistance. The assumptions and findings that must be made before one can even think of turning to his evidence are such that his evidence can only give the appearance of calculation and certainty to what is in truth a judgment call based on the cumulative effect of the fundamental facts noted above. (See </w:t>
      </w:r>
      <w:r>
        <w:rPr>
          <w:rFonts w:ascii="arial" w:eastAsia="arial" w:hAnsi="arial" w:cs="arial"/>
          <w:b/>
          <w:i/>
          <w:color w:val="000000"/>
          <w:sz w:val="20"/>
          <w:lang w:val="en-US" w:eastAsia="en-US" w:bidi="ar-SA"/>
        </w:rPr>
        <w:t>Pinewood Recording Studios Ltd. v. City Tower Development Corp.</w:t>
      </w:r>
      <w:r>
        <w:rPr>
          <w:rFonts w:ascii="arial" w:eastAsia="arial" w:hAnsi="arial" w:cs="arial"/>
          <w:color w:val="000000"/>
          <w:sz w:val="20"/>
          <w:lang w:val="en-US" w:eastAsia="en-US" w:bidi="ar-SA"/>
        </w:rPr>
        <w:t>, Court of Appeal, CA022549, November 13,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Similarly, the "Scenarios" presented during the submission of counsel for the plaintiff (and resulting in an award ranging from $274,311.29 to $1,078,079.32) are of no assistance. Both the witness and counsel necessarily make arbitrary choices amongst a wide spectrum of choices and the result gives the appearance of calculation and determinative value. It is an illusion. "There is much more art than science in the process.": </w:t>
      </w:r>
      <w:r>
        <w:rPr>
          <w:rFonts w:ascii="arial" w:eastAsia="arial" w:hAnsi="arial" w:cs="arial"/>
          <w:b/>
          <w:i/>
          <w:color w:val="000000"/>
          <w:sz w:val="20"/>
          <w:lang w:val="en-US" w:eastAsia="en-US" w:bidi="ar-SA"/>
        </w:rPr>
        <w:t>Morris v. McEachran</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[1996] B.C.J. No. 999</w:t>
        </w:r>
      </w:hyperlink>
      <w:r>
        <w:rPr>
          <w:rFonts w:ascii="arial" w:eastAsia="arial" w:hAnsi="arial" w:cs="arial"/>
          <w:color w:val="000000"/>
          <w:sz w:val="20"/>
          <w:lang w:val="en-US" w:eastAsia="en-US" w:bidi="ar-SA"/>
        </w:rPr>
        <w:t>, Court of Appeal, CA018222, May 7, 1996. In any context, judges should guard against avoiding the reality of an assessment based on the unascertainable by having an expert or counsel assume the unknowable. (</w:t>
      </w:r>
      <w:r>
        <w:rPr>
          <w:rFonts w:ascii="arial" w:eastAsia="arial" w:hAnsi="arial" w:cs="arial"/>
          <w:b/>
          <w:i/>
          <w:color w:val="000000"/>
          <w:sz w:val="20"/>
          <w:lang w:val="en-US" w:eastAsia="en-US" w:bidi="ar-SA"/>
        </w:rPr>
        <w:t>McKim v. Oakley</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[1995] B.C.J. No. 1754</w:t>
        </w:r>
      </w:hyperlink>
      <w:r>
        <w:rPr>
          <w:rFonts w:ascii="arial" w:eastAsia="arial" w:hAnsi="arial" w:cs="arial"/>
          <w:color w:val="000000"/>
          <w:sz w:val="20"/>
          <w:lang w:val="en-US" w:eastAsia="en-US" w:bidi="ar-SA"/>
        </w:rPr>
        <w:t xml:space="preserve">, Court of Appeal, 018899 August 10, 1995 makes the point, albeit in a different context. And in </w:t>
      </w:r>
      <w:r>
        <w:rPr>
          <w:rFonts w:ascii="arial" w:eastAsia="arial" w:hAnsi="arial" w:cs="arial"/>
          <w:b/>
          <w:i/>
          <w:color w:val="000000"/>
          <w:sz w:val="20"/>
          <w:lang w:val="en-US" w:eastAsia="en-US" w:bidi="ar-SA"/>
        </w:rPr>
        <w:t>Lee v. Richmond Hospital Society</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[2003] B.C.J. No. 2762</w:t>
        </w:r>
      </w:hyperlink>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2003 BCCA 678</w:t>
        </w:r>
      </w:hyperlink>
      <w:r>
        <w:rPr>
          <w:rFonts w:ascii="arial" w:eastAsia="arial" w:hAnsi="arial" w:cs="arial"/>
          <w:color w:val="000000"/>
          <w:sz w:val="20"/>
          <w:lang w:val="en-US" w:eastAsia="en-US" w:bidi="ar-SA"/>
        </w:rPr>
        <w:t xml:space="preserve"> at paras. 7-12, the Court of Appeal underlines the point that an assessment is what is afoot, a calculation can only be an aid and the more the case involves imponderables the more the trier of fact must focus on an assessment and not seek "respectability" in the Siren's Song of an expert's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assess, not calculate, the damages for loss of or diminishment of the plaintiff's capacity to earn income in the future at $500,000.00. Nothing less could adequately compensate the plaintiff for the adverse effect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plaintiff's overall capacity to earn income from all types of employment; her marketability to potential employers; her ability to take advantage of whatever job opportunities might have been hers absent the motor vehicle accident; and her value to herself as a person capable of earning income in a competitive and heartless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turn to the plaintiff's claim for special damages, i.e., $2,638.00.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my recollection that counsel for the plaintiff was candid and stated at the end of the case that the evidential platform for the award sought by counsel is not what one would have hoped for. (If I am mistaken, and counsel did not concede the point, it matters not at all. I make the finding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submission that only $22.86 ought to be awarded makes sense only if one forgets that even in the case of special damages an assessment of damages is involved and the standard of proof is only proof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Doing the best I can with the evidence before me I award the plaintiff $1,000.00 by way of special damages. There is a reasonable chance that that is too little but only a slight chance that it is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turn to assessing damages for the cost of future care. I must apply the law as summarized in </w:t>
      </w:r>
      <w:r>
        <w:rPr>
          <w:rFonts w:ascii="arial" w:eastAsia="arial" w:hAnsi="arial" w:cs="arial"/>
          <w:b/>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[2004] B.C.J. No. 1044</w:t>
        </w:r>
      </w:hyperlink>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in deciding on an award that will, in the peculiar circumstances of this case, "reflect the reasonable or normal expectations of what the injured person will require". The shopping list from which the plaintiff may have to choose includes: physiotherapy, massage therapy, exercise, vocational counselling, attending at a pain clinic, Pulsed Magnetic Therapy and a return to the non-prescription pain killers which were so much a part of the plaintiff's life after the motor vehicle accident and prior to her becoming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Here, what matters is that the plaintiff is bombarded with conflicting advice, will have to make her choices as best she can and has the right to be armed by the defendant with sufficient funds so that she will not be out of pocket even if she chooses to make use of a course of treatment which is the subject of conflicting opinions as to its usefulness in her particular case (attendance at a pain clinic, massage) or usefulness generally (Pulsed Magnetic Therapy). I pause to note that the decision of a judge of this court in </w:t>
      </w:r>
      <w:r>
        <w:rPr>
          <w:rFonts w:ascii="arial" w:eastAsia="arial" w:hAnsi="arial" w:cs="arial"/>
          <w:b/>
          <w:i/>
          <w:color w:val="000000"/>
          <w:sz w:val="20"/>
          <w:lang w:val="en-US" w:eastAsia="en-US" w:bidi="ar-SA"/>
        </w:rPr>
        <w:t>Zaruk v. Simpson</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[2003] B.C.J. No. 2883</w:t>
        </w:r>
      </w:hyperlink>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2003 BCSC 1748</w:t>
        </w:r>
      </w:hyperlink>
      <w:r>
        <w:rPr>
          <w:rFonts w:ascii="arial" w:eastAsia="arial" w:hAnsi="arial" w:cs="arial"/>
          <w:color w:val="000000"/>
          <w:sz w:val="20"/>
          <w:lang w:val="en-US" w:eastAsia="en-US" w:bidi="ar-SA"/>
        </w:rPr>
        <w:t xml:space="preserve"> about the efficacy of Pulsed Signal Therapy in that case is irrelevant. The litigants are not the same litigants as appear before me; the evidence I have heard is peculiar to the case at bar; and all that matters is that on the evidence in the case at bar Pulsed Magnetic Therapy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be a useful therapy and is recommended by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assess damages for the cost of future care at $40,000.00.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turn to the assessment of damages for what is labelled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find that a compensable loss within the meaning of </w:t>
      </w:r>
      <w:r>
        <w:rPr>
          <w:rFonts w:ascii="arial" w:eastAsia="arial" w:hAnsi="arial" w:cs="arial"/>
          <w:b/>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has been made out. I find that it is a significant loss. I say that for me to insist on precision as to the cost of having others do what the plaintiff can no longer do would be for me to fall into the error pinpointed by the Court of Appeal in </w:t>
      </w:r>
      <w:r>
        <w:rPr>
          <w:rFonts w:ascii="arial" w:eastAsia="arial" w:hAnsi="arial" w:cs="arial"/>
          <w:b/>
          <w:i/>
          <w:color w:val="000000"/>
          <w:sz w:val="20"/>
          <w:lang w:val="en-US" w:eastAsia="en-US" w:bidi="ar-SA"/>
        </w:rPr>
        <w:t>Deglow v. Uffelman</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[2001] B.C.J. No. 2432</w:t>
        </w:r>
      </w:hyperlink>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2001 BCCA 652</w:t>
        </w:r>
      </w:hyperlink>
      <w:r>
        <w:rPr>
          <w:rFonts w:ascii="arial" w:eastAsia="arial" w:hAnsi="arial" w:cs="arial"/>
          <w:color w:val="000000"/>
          <w:sz w:val="20"/>
          <w:lang w:val="en-US" w:eastAsia="en-US" w:bidi="ar-SA"/>
        </w:rPr>
        <w:t xml:space="preserve"> at paras. 23-28.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assess damages under this head at $50,000.00.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demanded by controlling authority (</w:t>
      </w:r>
      <w:r>
        <w:rPr>
          <w:rFonts w:ascii="arial" w:eastAsia="arial" w:hAnsi="arial" w:cs="arial"/>
          <w:b/>
          <w:i/>
          <w:color w:val="000000"/>
          <w:sz w:val="20"/>
          <w:lang w:val="en-US" w:eastAsia="en-US" w:bidi="ar-SA"/>
        </w:rPr>
        <w:t>Ruiz v. Bouaziz</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[2001] B.C.J. No. 514</w:t>
        </w:r>
      </w:hyperlink>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2001 BCCA 207</w:t>
        </w:r>
      </w:hyperlink>
      <w:r>
        <w:rPr>
          <w:rFonts w:ascii="arial" w:eastAsia="arial" w:hAnsi="arial" w:cs="arial"/>
          <w:color w:val="000000"/>
          <w:sz w:val="20"/>
          <w:lang w:val="en-US" w:eastAsia="en-US" w:bidi="ar-SA"/>
        </w:rPr>
        <w:t xml:space="preserve"> paragraphs 76 and 77) I step away from the awarding of damages under separate headings and look at the overall award "for reasonableness in the circumstances". Reasonableness as to what? The answer is simply the starting point for the Supreme Court of Canada's analysis in the leading case of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Reasonableness, as far as an award of money can do, in putting the plaintiff in the position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Having so stepped back and considered the matter I see no need to either carve down or inflate the figures arrived at earlier in these my reasons for judgment. In my opinion it is simplistic to say that "soft tissue injury" cannot result in an award of damages such as is made by me in the case at bar. Every award of damages is custom made for a particular plaintiff and the effect on that plaintiff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If counsel cannot agree as to the disposition with respect to costs, or with respect to any other ancillary matter, such as court order interest, they shall inform the Registry of that fact and I will make a decision as to the form of the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8" style="position:absolute;z-index:2518067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Strata Plan LMS 2262 v. Stoneman Developments Ltd., [2004] B.C.J. No. 2058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10 - 11, and May 25,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C996826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2058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828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C.L.R. (3d) 127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2262, plaintiffs, and Stoneman Developments Ltd., Bayou Developments Ltd., S &amp; B Developments Ltd., James Hancock Architects Inc., Eric Pattison, Read Jones Christoffersen Ltd., Diana Klein, R.A. Mossakowski, Sterling, Cooper &amp; Associates Ltd., Myles Sterling, Dec Design Mechanical Consultants Ltd., Alliance Roofing Systems Ltd., Eltex Enterprises (1990) Ltd., Preswitt Manufacturing Ltd., Cryovac Canada, Inc., City of New Westminster, Steven Moskalyk, Intertec Testing Services NA Ltd., Clan Glass &amp; Metals Ltd., Preferred Restoration &amp; Emergency Services Inc., and B.C. Building Science &amp; Engineering Ltd., defendants, and Stoneman Developments Ltd., Bayou Developments Ltd., James Hancock Architects Inc., Eric Pattison, Read Jones Christoffersen Ltd., Diana Dlein, R.A. Mossakowski, Sterling, Cooper &amp; Associates Ltd., Myles Sterling, Steven Moskalyk and and Intertek Testing Services NA Ltd., third parties, and Stoneman Developments Ltd., Wade Stoneman and Bayou Developments Ltd., third parties, and Belgrove Construction Ltd., Inter-Coast Consultants Ltd. and McArthur Vantell Limited,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9"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9" w:name="Keywords_42"/>
      <w:bookmarkEnd w:id="289"/>
      <w:r>
        <w:rPr>
          <w:rFonts w:ascii="arial" w:eastAsia="arial" w:hAnsi="arial" w:cs="arial"/>
          <w:b/>
          <w:color w:val="000000"/>
          <w:sz w:val="20"/>
          <w:lang w:val="en-US" w:eastAsia="en-US" w:bidi="ar-SA"/>
        </w:rPr>
        <w:t xml:space="preserve">Civil procedure — Parties — Adding or substituting — After expiry of limitation period — Corporations and associations law — Corporations — Directors — Liability — For torts — Limitation of actions — Statutory limitation periods — Adding party after expiry of — Real property law — Condominiums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0" w:name="Case Summary_39"/>
            <w:bookmarkEnd w:id="2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owners of Strata Plan LMS 2262, to add several defendants to their action for defective construction of a condominium. The condominium was built in 1994 and 1995. Water ingress problems were noted by the owners in 1996. The original action was commenced in 2000. The owners sought to add window and door suppliers, engineers retained to design and review condominium steel stud framing and window repairers as defendants to the action. These proposed as defendants did not appear at the hearing to oppose being added as parties. RK Engineering reviewed the structure and design of the original windows in 1995. Kevesdi was the individual engineer who carried out the review. After the water ingress problems were noted in 1996, McArthur Vantell was retained by the developer to review the problems in two units. McArthur supervised the window repair work. The plaintiffs alleged that McArthur failed to ensure the remedial work was properly carried out or inspected. McArthur was already named as a third party in the action. The plaintiffs also sought to add the original project manager in the condominium construction, Stoneman, who was 78 years old and in poor health.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1" w:name="Holdings of Court_35"/>
            <w:bookmarkEnd w:id="291"/>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McArthur, RK Engineering, Kevesdi, the original window and door suppliers, the engineers retained to design and review steel stud framing and the window repairers should be added as parties. There was some evidence that professionals who were involved in the original repairs, including McArthur, failed to discern serious systemic problems, and that McArthur's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damage around the windows. Some delay in joining McArthur was justified based on the evolving process of obtaining engineering opinions about the water ingress problems. Allegations in an expert report which referred to structural problems with the original windows could implicate KP Engineering and Kevesdi. Although there might be an issue to be determined between the plaintiffs and Stoneman concerning his personal liability for project management and misrepresentation in disclosure statements, it was not just and convenient to add him as a party. The issues in the original action were not interrelated with Stoneman's personal liability for potential misrepresentation in such a way that it would be inconvenient to try the case without him. There was no real explanation for the plaintiffs' delay in joining him.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2" w:name="Legislation Cited_31"/>
      <w:bookmarkEnd w:id="2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0"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 15(5)(1)(ii),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4(1)(d).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988"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Act, R.S.B.C.  1996, c.  397, s.  75.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3" w:name="Counsel_45"/>
      <w:bookmarkEnd w:id="2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1"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J.G. Mendes and V. Critchley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Bayou Developments Ltd. and Arnold Muller: J.J.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James Hancock Architects Inc. and James Hancock: G.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Stoneman Developments Ltd. and Wade Stoneman: T. Peters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McArthur Vantell Limited: S. Dumont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Preferred Restoration &amp; Emergency Services Inc.: M. Worfolk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Rudolf Kevesdi appearing in person for himself and R.K. Engineering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4" w:name="Judgment_45"/>
      <w:bookmarkEnd w:id="294"/>
      <w:r>
        <w:pict>
          <v:line id="_x0000_s1242" style="position:absolute;z-index:2518558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5" w:name="GARSON J._0"/>
            <w:bookmarkEnd w:id="295"/>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applications before the court are to add several corporations and individuals as defendants in this action concerning alleged defective construction of a condominium. The applications are opposed by some respondents on various grounds, including delay, prejudice, and a lack of evidence of an arguable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following individuals and companies are proposed defendants in this action:</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Ericson Window Corporation;</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Ericson Glass Industries Ltd.;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McArthur Vantell Limited;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Rudolf Kevesdi;</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R.K. Engineering Ltd.;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Avalar Caulking Services Ltd.;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Wade Stoneman;</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Arnold Muller;</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All-Span Engineering and Construction Ltd.;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Key Glass &amp; Aluminum Ltd.; and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Hancock;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(collectively,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also apply for an order that the style of proceeding, the further amended writ of summons and fourth further amended statement of claim be amended in accordance with the proposed draft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following parties were served with the applications to add them as defendants but have not filed any response and did not appear at the hearing: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Ericson Window Corporation;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Ericson Glass Industries Ltd.;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Avalar Caulking Services Ltd.;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All-Span Engineering and Construction Ltd.;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Key Glass &amp; Aluminum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order to add a defendant, the applicant plaintiffs must establish that there exists between the proposed party and the original party a question or issue relating to or connected with the relief claimed in the action or with the subject matter of the action and that there is a real question or issue to be tried in the sense that it is not entirely frivolous. The plaintiffs must also establish that there is a good and sufficient reason for any delay in adding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evidence that Ericson Window Corporation and Ericson Glass Industries Ltd. were the suppliers of windows and doors to the condominium and that water leaked through the windows and doors, requiring repair and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evidence that All-Span Engineering and Construction Ltd. was retained by the developers to design and conduct field reviews of the condominium steel stud framing, which studding is now alleged to be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evidence that Key Glass &amp; Aluminum Ltd. was retained by the defendant, Preferred Restoration, to undertake repair work to the windows. There is evidence that the repair work was defective and increased the damage to the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am satisfied on the evidence that: there exists, as between the plaintiffs and these proposed defendants, issues connected to the relief claimed in the original action, there has not been inexcusable delay in seeking to add these defendants, and it is just and convenient to add these defendants, pursuant to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therefore order that the defendants Ericson Window Corporation, Ericson Glass Industries Ltd., Avalar Caulking Services Ltd., All-Span Engineering and Construction Ltd., and Key Glass &amp; Aluminum Ltd. be added as defendants and the pleadings be amended in accordance with Schedule A to the notices of motion dated June 6, 2003, October 31, 2003, and April 29,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application to add the defendant James Hancock was consented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remaining Proposed Defendants oppose the applications to add them as defendants. These defendants have the following general involvement with the condominium development that is the subject matter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McArthur Vantell Limited ("McArthur Vantell") was retained as a consultant by Preferred Restoration &amp; Emergency Services Inc. ("Preferred Restoration"), who were initially retained by the developer to remedy what was then considered to be a problem of some leaking windows. It is alleged that McArthur Vantell failed to ensure that the remedial work was carried out in a proper manner and/or failed to perform adequate inspection of the remedial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allegation against Rudolf Kevesdi and R.K. Engineering Ltd. is that R.K. Engineering was retained as a window structural engineer and that it owed a duty to exercise reasonable care in reviewing and approving the structure and design of the windows and sliding doors used in construction of the condominium. There is evidence that water ingressed through the windows and sliding doors and it is alleged that there are structural problems with the windows, which caused or contributed to the leakage.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allegations against Arnold Muller and Wade Stoneman are that they acted as project managers in respect of the construction of the condominium and participated in and supervised the design, development and construction of the condominium. As well, it is alleged that the disclosure statement contained misrepresentations for which Stoneman and Muller are liable under s. 75 of the Real Estate Act, </w:t>
      </w:r>
      <w:hyperlink r:id="rId989"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turn to a consideration of the applications which are defended by the Proposed Defendants. But before doing so, I will briefly outline the facts which form the background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members of the plaintiff Strata Plan (collectively known as the "Owners") are owners of the strata lots in the condominium development known as Carnarvon Towers, located at 720 Carnarvon Street in New Westminster (the "Condominium"). The strata plan is composed of 87 strata lots (80 residential units and 7 commercial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Condominium was built during 1994 and 1995. The first date of possession as noted in the New Home Warranty Program ("NHW") Special Project Possession Certificates was December 28, 1995. (The last owner of a residential unit took possession on November 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developer of the Condominium was S &amp; B Developments Ltd., a joint venture between Stoneman Developments Ltd. and Bayou Developments Ltd.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Water ingress problems were first noted by the Owners in or about October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the water ingress problems were first noted by the Owners, the Developers obtained a Moisture Ingress Investigation Report from McArthur Vantell dated December 4, 1996. The Condominium was covered by the warranty made available to purchasers through the NHW. The Developers subsequently advised the Owners that they would honour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Developers retained Preferred Restoration and McArthur Vantell to undertake and oversee the repairs thought necessary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about December 1996 the plaintiffs received legal advice suggesting that they should independently investigate the water ingress problems. The plaintiffs subsequently received an Exterior Envelope Preliminary Option report dated March 31, 1997, prepared by Morrison Hershfield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remedial work undertaken by the Developers was not completed until late 1997 or early 1998. Ongoing water ingress was experienced. Consequently, the Owners retained Morrison Hershfield to undertake a building envelope condition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Building Envelope Condition Assessment report dated September 4, 1998 was prepared by Morrison Hershfield Limited. A summary of this report was given to the Owners in October 1998. This was the first report which indicated in any way that any of the defects in the Condominium had given rise to a dangerous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retained counsel in October 1999 and commenced this action on December 23, 1999. The parties included as defendants were those that counsel for the plaintiffs thought might be found liable based on the Building Envelope Assessment report of Morrison Hershfield dated September 4,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statement of claim was issued on November 15,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Principles of Law That Govern This Application</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Statutory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An application to add a party is governed by Rule 15(5)(a)(ii), which reads as follows:</w:t>
      </w:r>
      <w:r>
        <w:rPr>
          <w:rFonts w:ascii="arial" w:eastAsia="arial" w:hAnsi="arial" w:cs="arial"/>
          <w:sz w:val="20"/>
          <w:lang w:val="en-US" w:eastAsia="en-US" w:bidi="ar-SA"/>
        </w:rPr>
        <w:cr/>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Where as here, it is alleged that a limitation period has expired, the application is also governed by s. 4(1)(d) of the Limitation Act, </w:t>
      </w:r>
      <w:hyperlink r:id="rId239"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4(1) If an action to which this or any or act applies has been commenced, the lapse of time limited for bringing an action is no bar to ...</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or substituting a new party as plaintiff or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any applicable law, with respect to any claims relating to or connected with the subject matter of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inter-relationship between these two statutory provisions has been the subject of much judicial commentary. Here, it is alleged by the Proposed Defendants, that the applicable limitation period expired after the issuance of the writ and prior to the filing of this application to add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following principles emerge from the authorities which govern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First, the plaintiffs must establish a degree of connection between the cause of action in the existing writ and statement of claim and the cause of action against the Proposed Defendants and that there is a real question or issue to be tried as between the plaintiffs and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Second, the plaintiffs must establish that it is just and convenient to add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determination of what is just and convenient where it is alleged there is an accrued limitation defence includes considerations of the extent of the delay, the reasons for the delay, any explanation put forward to account for the delay, prejudice in defending the action caused by the delay, as well as the extent of the connection between the existing claims and proposed new causes of action (Letvad v. Fenwick </w:t>
      </w:r>
      <w:hyperlink r:id="rId990" w:history="1">
        <w:r>
          <w:rPr>
            <w:rFonts w:ascii="arial" w:eastAsia="arial" w:hAnsi="arial" w:cs="arial"/>
            <w:i/>
            <w:color w:val="0077CC"/>
            <w:sz w:val="20"/>
            <w:u w:val="single"/>
            <w:shd w:val="clear" w:color="auto" w:fill="FFFFFF"/>
            <w:lang w:val="en-US" w:eastAsia="en-US" w:bidi="ar-SA"/>
          </w:rPr>
          <w:t>(2000), 82 B.C.L.R. (3d) 296</w:t>
        </w:r>
      </w:hyperlink>
      <w:r>
        <w:rPr>
          <w:rFonts w:ascii="arial" w:eastAsia="arial" w:hAnsi="arial" w:cs="arial"/>
          <w:color w:val="000000"/>
          <w:sz w:val="20"/>
          <w:lang w:val="en-US" w:eastAsia="en-US" w:bidi="ar-SA"/>
        </w:rPr>
        <w:t xml:space="preserve"> (C.A.) and Teal Cedar Products (1977) Ltd. v. Dale Intermediaries Ltd. et al. </w:t>
      </w:r>
      <w:hyperlink r:id="rId991"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Brito v. Wooley </w:t>
      </w:r>
      <w:hyperlink r:id="rId992" w:history="1">
        <w:r>
          <w:rPr>
            <w:rFonts w:ascii="arial" w:eastAsia="arial" w:hAnsi="arial" w:cs="arial"/>
            <w:i/>
            <w:color w:val="0077CC"/>
            <w:sz w:val="20"/>
            <w:u w:val="single"/>
            <w:shd w:val="clear" w:color="auto" w:fill="FFFFFF"/>
            <w:lang w:val="en-US" w:eastAsia="en-US" w:bidi="ar-SA"/>
          </w:rPr>
          <w:t>(1997), 15 C.P.C. (4th) 255</w:t>
        </w:r>
      </w:hyperlink>
      <w:r>
        <w:rPr>
          <w:rFonts w:ascii="arial" w:eastAsia="arial" w:hAnsi="arial" w:cs="arial"/>
          <w:color w:val="000000"/>
          <w:sz w:val="20"/>
          <w:lang w:val="en-US" w:eastAsia="en-US" w:bidi="ar-SA"/>
        </w:rPr>
        <w:t xml:space="preserve"> (B.C.S.C.), Master Joyce (as he then was) conveniently summarized the principles that govern the determination of what is just and convenient where it is alleged that a limitation period has expired. At [paragraph] 10, 11 and 12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begin my analysis with a summary of the applicable legal principles: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addition of a party to an action under Rule 15(5) eliminates any limitation defence which might otherwise be available to the defendant if separate proceedings were brought: see Lui v. West Granville Manor Ltd. et al. </w:t>
      </w:r>
      <w:hyperlink r:id="rId993" w:history="1">
        <w:r>
          <w:rPr>
            <w:rFonts w:ascii="arial" w:eastAsia="arial" w:hAnsi="arial" w:cs="arial"/>
            <w:i/>
            <w:color w:val="0077CC"/>
            <w:sz w:val="20"/>
            <w:u w:val="single"/>
            <w:shd w:val="clear" w:color="auto" w:fill="FFFFFF"/>
            <w:lang w:val="en-US" w:eastAsia="en-US" w:bidi="ar-SA"/>
          </w:rPr>
          <w:t>(1987), 11 B.C.L.R. (2d) 273</w:t>
        </w:r>
      </w:hyperlink>
      <w:r>
        <w:rPr>
          <w:rFonts w:ascii="arial" w:eastAsia="arial" w:hAnsi="arial" w:cs="arial"/>
          <w:color w:val="000000"/>
          <w:sz w:val="20"/>
          <w:lang w:val="en-US" w:eastAsia="en-US" w:bidi="ar-SA"/>
        </w:rPr>
        <w:t xml:space="preserve"> (C.A.) ("Lui No. 2") at 295;</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add a new party to an action notwithstanding that its effect will be to eliminate a limitation defence if it is just and convenient in all the circumstances to do so. The existence of a limitation defence is a factor for the court to consider in determining whether it is just to add a party but is not determinative: see Lui No. 2, supra, at 302;</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degree of interrelationship between the claim that is sought to be brought through the addition of the party and the existing claim is a factor to be considered as is the delay in making the application and any reasons which are advanced to explain the delay: see Cementation Co. (Can) Ltd. v. Amer. Home Assur. Co. </w:t>
      </w:r>
      <w:hyperlink r:id="rId994" w:history="1">
        <w:r>
          <w:rPr>
            <w:rFonts w:ascii="arial" w:eastAsia="arial" w:hAnsi="arial" w:cs="arial"/>
            <w:i/>
            <w:color w:val="0077CC"/>
            <w:sz w:val="20"/>
            <w:u w:val="single"/>
            <w:shd w:val="clear" w:color="auto" w:fill="FFFFFF"/>
            <w:lang w:val="en-US" w:eastAsia="en-US" w:bidi="ar-SA"/>
          </w:rPr>
          <w:t>(1989), 37 B.C.L.R. (2d) 172</w:t>
        </w:r>
      </w:hyperlink>
      <w:r>
        <w:rPr>
          <w:rFonts w:ascii="arial" w:eastAsia="arial" w:hAnsi="arial" w:cs="arial"/>
          <w:color w:val="000000"/>
          <w:sz w:val="20"/>
          <w:lang w:val="en-US" w:eastAsia="en-US" w:bidi="ar-SA"/>
        </w:rPr>
        <w:t xml:space="preserve"> (C.A.);</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limitation period has expired, then it may be that prejudice to the defendant is to be presumed. However, prejudice to the defendant, whether presumed or demonstrated, is only a factor; it is not necessarily fatal to the application. In the end, the court has a broad discretion to do what is just; see Teal Cedar Products (1977) Ltd. v. Dale Intermediarries Ltd. </w:t>
      </w:r>
      <w:hyperlink r:id="rId991"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per Finch J.A. In Tri-Line Expressways v. Ansari </w:t>
      </w:r>
      <w:hyperlink r:id="rId995" w:history="1">
        <w:r>
          <w:rPr>
            <w:rFonts w:ascii="arial" w:eastAsia="arial" w:hAnsi="arial" w:cs="arial"/>
            <w:i/>
            <w:color w:val="0077CC"/>
            <w:sz w:val="20"/>
            <w:u w:val="single"/>
            <w:shd w:val="clear" w:color="auto" w:fill="FFFFFF"/>
            <w:lang w:val="en-US" w:eastAsia="en-US" w:bidi="ar-SA"/>
          </w:rPr>
          <w:t>(1997), 143 D.L.R. (4th) 100</w:t>
        </w:r>
      </w:hyperlink>
      <w:r>
        <w:rPr>
          <w:rFonts w:ascii="arial" w:eastAsia="arial" w:hAnsi="arial" w:cs="arial"/>
          <w:color w:val="000000"/>
          <w:sz w:val="20"/>
          <w:lang w:val="en-US" w:eastAsia="en-US" w:bidi="ar-SA"/>
        </w:rPr>
        <w:t xml:space="preserve"> (B.C.C.A.) Lambert J.A. said that any presumption of prejudice (which was first mentioned in Lui v. West Granville Manor Ltd. </w:t>
      </w:r>
      <w:hyperlink r:id="rId996" w:history="1">
        <w:r>
          <w:rPr>
            <w:rFonts w:ascii="arial" w:eastAsia="arial" w:hAnsi="arial" w:cs="arial"/>
            <w:i/>
            <w:color w:val="0077CC"/>
            <w:sz w:val="20"/>
            <w:u w:val="single"/>
            <w:shd w:val="clear" w:color="auto" w:fill="FFFFFF"/>
            <w:lang w:val="en-US" w:eastAsia="en-US" w:bidi="ar-SA"/>
          </w:rPr>
          <w:t>(1985), 61 B.C.L.R. 315</w:t>
        </w:r>
      </w:hyperlink>
      <w:r>
        <w:rPr>
          <w:rFonts w:ascii="arial" w:eastAsia="arial" w:hAnsi="arial" w:cs="arial"/>
          <w:color w:val="000000"/>
          <w:sz w:val="20"/>
          <w:lang w:val="en-US" w:eastAsia="en-US" w:bidi="ar-SA"/>
        </w:rPr>
        <w:t xml:space="preserve"> (C.A.) ("Lui No. 1") "should be confined to the sort of context in which it was first mentioned, namely the context of third party proceedings against a new party on an entirely new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proper approach to applications such as this is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defendant alleges that there is an accrued limitation defence and the plaintiff denies that fact and the court cannot determine that issue on the interlocutory application, then the court should proceed by asking this question: </w:t>
      </w:r>
      <w:r>
        <w:rPr>
          <w:rFonts w:ascii="arial" w:eastAsia="arial" w:hAnsi="arial" w:cs="arial"/>
          <w:color w:val="000000"/>
          <w:sz w:val="20"/>
          <w:u w:val="single"/>
          <w:lang w:val="en-US" w:eastAsia="en-US" w:bidi="ar-SA"/>
        </w:rPr>
        <w:t>assuming that there is a limitation defence, would it nonetheless be just and convenient to add the party even though by doing so the defence is taken away? If the answer to that question is yes then the order should be made</w:t>
      </w:r>
      <w:r>
        <w:rPr>
          <w:rFonts w:ascii="arial" w:eastAsia="arial" w:hAnsi="arial" w:cs="arial"/>
          <w:color w:val="000000"/>
          <w:sz w:val="20"/>
          <w:lang w:val="en-US" w:eastAsia="en-US" w:bidi="ar-SA"/>
        </w:rPr>
        <w:t>. In that event it does not matter whether or not, in fact, a limitation period has expired because in either case it would be just and convenient to add the party and any limitation defence will be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conclusion is that, assuming a limitation defence has accrued, it would not be just and convenient to deny the defendant the benefit of that defence, then the order should not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this case, all the Proposed Defendants who contested the application allege that there is an accrued limitation defence. The plaintiffs deny this fact and I cannot determine the issue on this interlocutory application. I shall therefore proceed on the basis that there is a limitation defence available in each case and I will consider the factors mentioned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length of the delay is one of the factors to be considered, although even an extraordinary length of delay is not necessarily determinative of the outcome (Yablonski v. Cranbrook, </w:t>
      </w:r>
      <w:hyperlink r:id="rId997" w:history="1">
        <w:r>
          <w:rPr>
            <w:rFonts w:ascii="arial" w:eastAsia="arial" w:hAnsi="arial" w:cs="arial"/>
            <w:i/>
            <w:color w:val="0077CC"/>
            <w:sz w:val="20"/>
            <w:u w:val="single"/>
            <w:shd w:val="clear" w:color="auto" w:fill="FFFFFF"/>
            <w:lang w:val="en-US" w:eastAsia="en-US" w:bidi="ar-SA"/>
          </w:rPr>
          <w:t>[2002] B.C.J. No. 3214</w:t>
        </w:r>
      </w:hyperlink>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2002 BCSC 1875</w:t>
        </w:r>
      </w:hyperlink>
      <w:r>
        <w:rPr>
          <w:rFonts w:ascii="arial" w:eastAsia="arial" w:hAnsi="arial" w:cs="arial"/>
          <w:color w:val="000000"/>
          <w:sz w:val="20"/>
          <w:lang w:val="en-US" w:eastAsia="en-US" w:bidi="ar-SA"/>
        </w:rPr>
        <w:t>). The reasons in Teal, however, do not indicate how the length of delay is to be determined. The plaintiffs and the Proposed Defendants advance different approaches for measuring the length of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Plaintiffs' counsel contends that the significant period is the delay that accumulates beyond the expiry of the limitation period, plus one year for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Proposed Defendants, on the other hand, maintain that the relevant period is the lapse of time beginning upon the plaintiffs' acquisition of facts upon which it would have been reasonable to commence an action against the Proposed Defendants, which in this case appears to have occurred before the expiry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cases submitted by the parties indicate that both approaches have been used in recent Supreme Court decisions. Therefore it is difficult to determine whether one method is to be preferred over the other. In my view, however, it would be inappropriate to adhere rigidly to either one of these methods of calculating the delay, given the discretionary nature of the Court's power to allow addition of parties and the holistic approach to joinder advocated in Teal.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Teal Finch J.A. held at [paragraph] 41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neither the defendant's interest in being secure against claims after a limitation period had expired, nor the plaintiff's deliberate dilatory conduct in applying to add parties, are decisive of whether the application should be allowed. Both considerations may be important factors, but neither would prevent the court from exercising its discretion in the plaintiff's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For the Court to constrain its consideration of delay by exclusively relying on one of the methods of measuring delay advocated by the parties would be contrary to the guidelines set in Teal.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To focus only on delay that occurred after the limitation period and the period for service would place emphasis on the prejudice caused to the defendants' interest in not being vulnerable to claims that are out of time. According to this approach, delay before the limitation period expired would not feature in the court's reasoning, despite the potential impact that this delay might have on the justness and convenience of adding the party in question. Similarly, to measure delay exclusively from the date at which the plaintiffs learned the facts upon which it could have reasonably launched an action necessarily focuses the court's attention on the plaintiffs' fault or lack of fault in delaying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An approach that would more closely conform to the guidelines set in Teal would be to look at the entire delay, and consider factors such as the circumstances surrounding the delay, the expiry of the limitation period, and the prejudice to the parties when determining whether in the circumstances of the particular case it would be just and convenient to add the proposed defendant, despite the delay. As dictated by Teal, none of these factors should be considered as having overriding importance, absent a clear evidentiary basis for doing so ([paragraph]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now turn to each of the applications before me with the aforementioned legal principles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McArthur Vantell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mentioned, following substantial completion of Carnarvon Towers, McArthur Vantell was retained by the plaintiffs' building manager, on behalf of the developer, to review moisture ingress problems with the windows in two of the units. Mr. Vantell of McArthur Vantell says that he worked on a "limited retainer" to determine whether water ingress problems in specified windows could be rectified by repairs. McArthur Vantell produced a "Moisture Ingress Investigation" report dated December 4, 1996, and a Scope of Work Memorandum dated February 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evidence produced on this application establishes that McArthur Vantell did supervise the window repair work performed by Preferred Restoration, which I believe was concluded at the end of 1997. The allegation made against McArthur Vantell is that it failed to ensure that the remedial work was carried out in a proper manner and/or failed to perform adequate inspection of the remedial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McArthur Vantell defends this application on two principal grounds. First, McArthur Vantell says that there is no valid cause of action against it because although the work that it did is alleged to have been inadequate and it is alleged that McArthur Vantell failed to discover the more serious systemic problems, there is no proof that McArthur Vantell's work caused or contributed to any increase in the damages suffered by the plaintiff, nor is there any proof that McArthur Vantell was negligent in failing to discover the more serious systemic problems. McArthur Vantell also defends this application on the basis that it is not just and convenient to add them because of the delay of the plaintiffs in bringing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the basis of the evidence before me, I am satisfied that there is some evidence that the original repairs to the building were inadequate and that the professionals involved in those repairs failed to discern the more serious systemic problems discovered later. It is not for the court, on an application such as this, to weigh the evidence so as to make any findings as to whether McArthur Vantell ought, within the scope of its 1996 - 1998 retainer, to have discovered the systemic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respect to the absence of proof of damage, McArthur Vantell relies on a statement in the plaintiffs' Final Building Envelope report prepared by R.D.H. Building Engineering Limited on April 15, 2004 (the "RDH Report"), in which it is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zero value has been attributed to the performance problem, 1997 repair. The zero value indicates that the work implemented in 1997 had no bearing on the cost of the rehabilitation performed in 2003. In other words, had the repair work not been implemented in 1997, the cost of the 2003 rehabilitation would have been similar. However, it is important to note that the work performed in 1997 was poorly conceived and implemented, and that corrosion of the fasteners and improper installation of the fasteners resulted in a potential hazardous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McArthur Vantell says that the RDH Report, which forms the Scott Schedule and hence may be construed as particulars of damage, asserts no claim for damage against McArthur Vantell.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Preferred Restoration is a defendant in this action. The claim against it by the Owners concerns the alleged negligent repair work performed at the behest of the developer in 1997 and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alleged in [paragraph] 69 of the proposed fourth further amended statement of claim that Preferred Restoration and McArthur Vantell owed a duty to the owners to exercise reasonable care to ensure the remedial work was performed in a good and workman-like manner:</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[McArthur Vantell] owed the Strata Corporation and the Owners a duty to exercise reasonable care to ensure that remedial work performed on the Condominium would be: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designed and built in a good and workmanlike manner;</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constructed with suitable materials;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constructed in compliance with all specifications, industry standards, building codes and statutory requirements, including the British Columbia Building Code and the City's bylaws;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constructed to adequately protect against water ingress;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adequately inspected during and after the remedial work was completed.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Defendants owed the Strata Corporation and the Owners a duty to warn them of the Construction Deficiencies.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breached the foregoing duties to the Strata Corporation and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Preferred Restoration has already third partied McArthur Vantell. Preferred Restoration's third party notice sets out in more detail the ways in which McArthur Vantell may have failed in its duties to the plaintiff:</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identify that some or all of the original windows were defective and required replacement;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design an appropriate repair strategy to address the deficiencies in the original construction;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a scope of work to this Defendant that did not resolve the problems with the windows created by the original construction;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creating a design which leaked;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developing a water penetration control strategy that was inappropriate for the building;</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take all reasonable care to ensure that the said elements of the building envelope were remediated in accordance with the British Columbia Building Code;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supplying assurances and certificates to the Defendant City of New Westminster and/or the developer defendants representing that the repairs to the building envelope complied with the British Columbia Building Code, when such was not the case;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additional particulars as this Defendant may discover and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[paragraph] 73 and [paragraph] 74 of the claim the plaintiffs allege that they have suffered and continue to suffer loss and damage as a result of the breaches of contract and breaches of duty of the various defendants and in [paragraph] 74 it is alleged that the defendants are jointly and severally liable for the loss and damage suffered by the strata corporation and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this application the plaintiffs say that there is evidence to support the plea that McArthur Vantell is jointly and severally liable for the damages alleged by the plaintiffs, although only for the damage to the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maintain that this evidence is contained in the RDH Report, which concludes that the repairs undertaken on behalf of the developer in 1997 were defective, causing the sheathing to deteriorate and creating a hazard. They point in particular to the following quotation: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part of the repair work, a continuous self-adhered style asphalt based membrane was installed behind the metal panels between the windows (implemented by Preferred). The self-adhered membrane was bonded directly to the Dens-glass. At the time of removal in 2003, the Dens-Glass to which the membrane had been applied, was significantly deteriorated in many locations and in some locations mould was present on the interior face of the Dens-Glass . . . . It is probable that the Dens-Glass deteriorated because condensation formed on the interior face of the self-adhered. It is poor design practice to install a vapour impermeable membrane without an appropriate quantity of insulation on the exterior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many cases the metal panels rehabilitated by Preferred Restoration were buckling. The panels were fastened onto the gypsum based sheathing and not the steel stud framing. In several areas, the fasteners were significantly corroded . . . As a result of corrosion of the fasteners and the poor attachment of the panels, it is possible one or more of the panels could have become dislodged from the building; a potentially hazardous defect. The probability of failure of one of the panels would have increased with time had the panels not been replaced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maintain that, on the basis of this portion of the report, the evidence establishes that the work undertaken by McArthur Vantell and Preferred Restoration contributed to damage around the windows of Carnarvon Towers. The plaintiffs argue that this contribution to the damage makes McArthur Vantell jointly and severally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According to s. 4(1)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unless there has been contributory fault by the plaintiffs, defendants who cause the same damage are jointly and severally liable. The plaintiffs argue that since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McArthur Vantell was one of the causes of the damage to the windows of the condominium,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makes McArthur Vantell jointly and severally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plaintiffs also rely on the Supreme Court of Canada's decision in Athey v. Leonati, </w:t>
      </w:r>
      <w:hyperlink r:id="rId6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where it was held that where damage results from two or more causes, the plaintiff does not have to establish that the damage would not have occurred "but for" the actions of the various defendants. The test for causation where there are multiple causes is laid out as follows (at [paragraph] 13-15):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 . . . A contributing factor is material if it falls outside the de minimis range . . . . [internal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would characterize McArthur Vantell's submissions on this issue as operating on a "but for" test. They rely on the zero value attributed to the cost of the 1997 repair work in the RDH Report to argue that there is no evidence that McArthur Vantell contributed to the cost of the rehabilitation. Essentially they are saying that if the 1997 repair work had not been completed, the rehabilitation costs would have been the same, and that therefore it is not appropriate to add McArthur Vantell as a defendant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However, as Athey v. Leonati establishes, in cases where there are potentially multiple causes, it is more workable to look at whether the causes materially contributed to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my opinion, on the limited factual matrix before me, the evidence put forward by the plaintiffs show that there is some evidence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McArthur Vantell contributed to the damage around the windows. The evidence of Marcus Dell in the RDH Report indicates that the 1997 repair work, which McArthur designed and oversaw, created damage around the windows which amounted to a hazard. Assuming for the purposes of this application that this evidence is true, I would characterize work that creates a hazardous condition as going beyond the de minimis range. I therefore conclude that the plaintiffs have met the low threshold required in this application by establishing that there is a real question to be tried with respect to the proposed defendant McArthur Vantell.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second basis to oppose this application is delay. McArthur Vantell says that the limitation period applicable to a claim against it expired in January 2004, that being 6 years from the date its work was completed. McArthur Vantell says that the plaintiffs were aware at some time prior to January 1998 that the remedial work undertaken by the developer was unsuccessful and that further investigation and remedial work was required. McArthur Vantell says that by January 1998 at the latest, the plaintiffs were therefore aware of the involvement of McArthur Vantell and of the facts which give rise to the claim now alleged against McArthur Vantell. McArthur Vantell notes that the writ was filed on December 23, 1999, and that plaintiffs' counsel has deposed that he came to the view that McArthur Vantell should be added as a party in November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McArthur Vantell says there is no explanation for the delay after November 2001. McArthur Vantell says that it has suffered prejudice in its ability to defend the claim because it lost its opportunity to verify adequately the alleged damages at a time when its own remedial work had not been replaced by the subsequent remedial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Plaintiffs' counsel explains the course of proceedings which have led to this application in this way. When plaintiffs' counsel was retained, it was thought that the claim was limited to one involving defective windows and would total about $750,000. It was not until November 2001 that plaintiffs' counsel became aware that the action had become a substantial building envelope claim and that the potential liability of other defendants was considered. Plaintiffs' counsel received advice from counsel for Stoneman Developments that Preferred Restoration and other parties should be added as defendants. However, McArthur Vantell was not included in the list of proposed defendants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Plaintiffs' counsel now says it was not until early 2002 that it was concluded that McArthur Vantell might bear some responsibility for the plaintiffs' loss. Steps were not taken to immediately add McArthur Vantell as a defendant at that stage because the plaintiffs' attention was focussed on resolving how the remedial work was to be completed and because plaintiffs' counsel thought that McArthur Vantell's liability arose as a result of earlier remedial work which was not completed until 1998 and there was no immediate concern regarding the potential expiry of the limitation period. Plaintiffs' counsel admits that the delay from early 2002 is due to inadvertence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Plaintiffs' counsel says that it is only the incremental delay, that is the delay beyond the expiry of the limitation period, plus one further year for service, that is relevant to a consideration of whether there has been inexcusable delay. The Proposed Defendants say that the consideration of whether there has been inexcusable delay is concerned with the lapse of time following the plaintiffs' acquisition of facts, based upon which it would have been reasonable to commence action against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with Respect to the Application to Add McArthur Vantell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already noted, the correct approach to considering the implications of the delay in joining these proposed defendants is governed by the holistic approach advocated in Teal. The claims against this defendant are interconnected with the claims against the defendants Preferred Restoration &amp; Emergency Services Inc. and Key Glass &amp; Aluminum Ltd. (Key Glass was added on this application by my order above). McArthur Vantell has been third partied by Preferred Restoration. There is some justification for the delay in joining this defendant based on the evolving process of obtaining engineering opinions as to the causes of, and responsibility for, the water ingress problems. To further complicate the matter is the alleged defective repair work with which this defendant was involved. There is no doubt that the plaintiffs were in a position to apply to add this defendant about two years before this application was filed and the only explanation for its failure to do so is counsel's inadvertence. I conclude that the failure to add McArthur Vantell was not a deliberate decision as I find below was the case concerning Stoneman and Muller. Rather it is a case of counsel's admitted inadvertence. This defendant has been closely involved in the litigation. All remedial work which has been done has been closely documented. In the circumstances of this case, balancing the prejudice to the defendants in defending the case caused by the delay against the interests of the plaintiffs in fairly resolving this litigation and including all proper parties, I conclude that McArthur Vantell should be added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Rudolf Kevesdi and R.K. Engineering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Rudolf Kevesdi says that he is a professional engineer and was employed in January 1995 by Cedric Power and Company Ltd. Mr. Power retired and Mr. Kevesdi became the principal of the engineering company and changed its name to R.K. Engineering Ltd. In doing so, he assumed all liabilities of Cedric Power and Company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Kevesdi was the engineer responsible for the work done in connection with Carnarvon Towers. He says that R.K. Engineering was employed by the window installer, Ericson Glass Industries Ltd., to review the window system shop drawings for structural compliance with the applicable building codes and standards. Mr. Kevesdi reviewed, signed and sealed the window drawings on January 5, 1995. He notes the disclaimer on the engineering seal which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shop drawings are sealed and signed for </w:t>
      </w:r>
      <w:r>
        <w:rPr>
          <w:rFonts w:ascii="arial" w:eastAsia="arial" w:hAnsi="arial" w:cs="arial"/>
          <w:color w:val="000000"/>
          <w:sz w:val="20"/>
          <w:u w:val="single"/>
          <w:lang w:val="en-US" w:eastAsia="en-US" w:bidi="ar-SA"/>
        </w:rPr>
        <w:t>structural design only</w:t>
      </w:r>
      <w:r>
        <w:rPr>
          <w:rFonts w:ascii="arial" w:eastAsia="arial" w:hAnsi="arial" w:cs="arial"/>
          <w:color w:val="000000"/>
          <w:sz w:val="20"/>
          <w:lang w:val="en-US" w:eastAsia="en-US" w:bidi="ar-SA"/>
        </w:rPr>
        <w:t>. Cedric Power and Company Ltd. will not be responsible for any other aspect, including water penetration resistance, thermal characteristics, or other non-structural requirements and no undertaking is implied by this certificate for inspection or approval of either the manufacture or installation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Kevesdi notes that Cedric Power and Company Ltd. performed no field work and had no inspection or installation related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his submissions, Mr. Kevesdi referred to the various reports that have been filed in this matter from which it was noted that the windows at Level 8 and above have flexibility of 1/16". He says, in his submissions, that that amount of flexibility is within normal standards. However, there are some allegations contained in the expert reports that the windows did not have adequate stiffness to meet deflection limitations when subjected to wind loads anticipated at upper floors and that the windows required structural upgrading. As already noted, it is not for this court on this type of application to weigh the evidence, nor comment on the evidence, other than to say that there appear to be some facts in issue that meet the low threshold required on an application of this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Although Mr. Kevesdi did not argue that there had been inordinate delay, I will consider it nevertheless. Plaintiffs' counsel says that he did not consider that there was any potential claim to be made against R.K. Engineering Ltd. before February 2002 as it was not until January 2002 that the plaintiffs learned through their consultant, Layton Consulting Ltd., that there were structural problems with the windows. As plaintiffs' counsel thought there were no limitation period concerns at that time, plaintiffs' counsel did not seek to immediately add R.K. Engineering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conclude that the plaintiffs have met the low threshold required to satisfy the court that there is a real question to be tried between the parties that is related to the existing claims and that there has been no inordinate delay. Therefore it is just and convenient to add R.K. Engineering Ltd. as a defendant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That leaves the question of the addition of Rudolf Kevesdi as an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Strata Plan No. VR1720 v. Bart Developments Ltd. </w:t>
      </w:r>
      <w:hyperlink r:id="rId998" w:history="1">
        <w:r>
          <w:rPr>
            <w:rFonts w:ascii="arial" w:eastAsia="arial" w:hAnsi="arial" w:cs="arial"/>
            <w:i/>
            <w:color w:val="0077CC"/>
            <w:sz w:val="20"/>
            <w:u w:val="single"/>
            <w:shd w:val="clear" w:color="auto" w:fill="FFFFFF"/>
            <w:lang w:val="en-US" w:eastAsia="en-US" w:bidi="ar-SA"/>
          </w:rPr>
          <w:t>(1999), 45 B.L.R. (2d) 156</w:t>
        </w:r>
      </w:hyperlink>
      <w:r>
        <w:rPr>
          <w:rFonts w:ascii="arial" w:eastAsia="arial" w:hAnsi="arial" w:cs="arial"/>
          <w:color w:val="000000"/>
          <w:sz w:val="20"/>
          <w:lang w:val="en-US" w:eastAsia="en-US" w:bidi="ar-SA"/>
        </w:rPr>
        <w:t xml:space="preserve"> (S.C.), Mr. Justice Edwards held at [paragraph]15-16: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Limited companies cannot exercise professional functions except through qualified individual employees. Those employees must realize it is their skill and experience the clients are engaging and will rely on. They therefore owe a concomitant duty of care to those clients and are potentially liable in tort if they fail meet that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Macfarlane J.A. pointed out [internal citation omitted], it is open to a limited company to limit its and its employees' exposure in tort by appropriate contract language. No such language was brought to my attention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Mr. Justice Edwards' decision was affirmed on appeal: </w:t>
      </w:r>
      <w:hyperlink r:id="rId999" w:history="1">
        <w:r>
          <w:rPr>
            <w:rFonts w:ascii="arial" w:eastAsia="arial" w:hAnsi="arial" w:cs="arial"/>
            <w:i/>
            <w:color w:val="0077CC"/>
            <w:sz w:val="20"/>
            <w:u w:val="single"/>
            <w:shd w:val="clear" w:color="auto" w:fill="FFFFFF"/>
            <w:lang w:val="en-US" w:eastAsia="en-US" w:bidi="ar-SA"/>
          </w:rPr>
          <w:t>[2000] B.C.J. No. 363</w:t>
        </w:r>
      </w:hyperlink>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2000 BCCA 100</w:t>
        </w:r>
      </w:hyperlink>
      <w:r>
        <w:rPr>
          <w:rFonts w:ascii="arial" w:eastAsia="arial" w:hAnsi="arial" w:cs="arial"/>
          <w:color w:val="000000"/>
          <w:sz w:val="20"/>
          <w:lang w:val="en-US" w:eastAsia="en-US" w:bidi="ar-SA"/>
        </w:rPr>
        <w:t>. Finch J.A. (as he then was) observed that the personal liability of the defendant employees could not be resolved without a review of the evidence and circumstances underlying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It is not for this court on this application to determine anything more than whether there is a claim against an employee of a company which raises a triable issue. In my view, based on Bart Developments, such a claim is not entirely frivolous and meets the threshold test for joinder: Owners, Strata Plan LMS 1410 v. Surrey (City), </w:t>
      </w:r>
      <w:hyperlink r:id="rId1000" w:history="1">
        <w:r>
          <w:rPr>
            <w:rFonts w:ascii="arial" w:eastAsia="arial" w:hAnsi="arial" w:cs="arial"/>
            <w:i/>
            <w:color w:val="0077CC"/>
            <w:sz w:val="20"/>
            <w:u w:val="single"/>
            <w:shd w:val="clear" w:color="auto" w:fill="FFFFFF"/>
            <w:lang w:val="en-US" w:eastAsia="en-US" w:bidi="ar-SA"/>
          </w:rPr>
          <w:t>[2003] B.C.J. No. 944</w:t>
        </w:r>
      </w:hyperlink>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2003 BCSC 635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with Respect to Rudolf Kevesdi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Accordingly, I order that Rudolf Kevesdi be joined as a defendant in the within action and the pleadings amended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to add Wade Stoneman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allegation is that Mr. Stoneman was the general contractor or project manager for the Condominium and was personally responsible for, participated in, and supervised the design, development and construction of the Condominium. It is alleged Mr. Stoneman breached certain duties of care associated with his role respecting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Stoneman in his personal capacity are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Stoneman was, at all material times, a developer of and contractor for Carnarvon Towers and was personally responsible for, participates in, and supervised the design, development, and construction of Carnarvon Towers.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14 of the third party notice of October 2,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These allegations, as well the affidavit evidence that the plaintiffs' claim supports these allegations, describe acts or omissions that Mr. Stoneman engaged in as part of his function as the president of the company. The plaintiffs have not provided any evidence demonstrating that Mr. Stoneman's actions were independent of his duties as his company's principal, or that he was operating under an identity or interest separate from that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second set of allegations concern a disclosure statement and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has incurred costs to maintain and repair the Condominium that exceed those costs set out in the disclosure statement. Pursuant to s. 75 of the Real Estate Act, Mr. Stoneman is liable for any losses associated with the material false statement.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Stoneman Developments was aware of contingent litigation and contingent liabilities in respect of the development thereby rendering the disclosure statement false. Pursuant to s. 75 of the Real Estate Act, Mr. Stoneman is liable for any losses associated with the material false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Is there a cause of action against Mr. Stoneman as general contractor or project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Proposed Defendant maintains that the plaintiffs' pleadings do not meet this test because the evidence advanced by the plaintiffs in support of their pleadings does not distinguish between the actions or omissions of Mr. Stoneman in his capacity as the directing mind of his corporation and actions or omissions independent of the corporation. The Proposed Defendant argues that in order for the principal of a corporation to be separately liable in tort, he or she must be shown to have engaged in tortious actions or omissions that are independent from those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British Columbia there are two conflicting lines of authority relating to the independent liability of corporate employees acting within the scope of their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One line of authority holds that an employee is not personally liable unless his actions are themselves tortious and exhibit a separate identity or interest from that of the company. (Strata Plan LMS 1965 v. 450526 B.C. Ltd., </w:t>
      </w:r>
      <w:hyperlink r:id="rId1001" w:history="1">
        <w:r>
          <w:rPr>
            <w:rFonts w:ascii="arial" w:eastAsia="arial" w:hAnsi="arial" w:cs="arial"/>
            <w:i/>
            <w:color w:val="0077CC"/>
            <w:sz w:val="20"/>
            <w:u w:val="single"/>
            <w:shd w:val="clear" w:color="auto" w:fill="FFFFFF"/>
            <w:lang w:val="en-US" w:eastAsia="en-US" w:bidi="ar-SA"/>
          </w:rPr>
          <w:t>[2002] B.C.J. No. 407</w:t>
        </w:r>
      </w:hyperlink>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2002 BCSC 155</w:t>
        </w:r>
      </w:hyperlink>
      <w:r>
        <w:rPr>
          <w:rFonts w:ascii="arial" w:eastAsia="arial" w:hAnsi="arial" w:cs="arial"/>
          <w:color w:val="000000"/>
          <w:sz w:val="20"/>
          <w:lang w:val="en-US" w:eastAsia="en-US" w:bidi="ar-SA"/>
        </w:rPr>
        <w:t xml:space="preserve">; Rafiki Properties Ltd. v. Integrated Housing Development Ltd. </w:t>
      </w:r>
      <w:hyperlink r:id="rId1002" w:history="1">
        <w:r>
          <w:rPr>
            <w:rFonts w:ascii="arial" w:eastAsia="arial" w:hAnsi="arial" w:cs="arial"/>
            <w:i/>
            <w:color w:val="0077CC"/>
            <w:sz w:val="20"/>
            <w:u w:val="single"/>
            <w:shd w:val="clear" w:color="auto" w:fill="FFFFFF"/>
            <w:lang w:val="en-US" w:eastAsia="en-US" w:bidi="ar-SA"/>
          </w:rPr>
          <w:t>(1999), 45 B.L.R. (2d) 316</w:t>
        </w:r>
      </w:hyperlink>
      <w:r>
        <w:rPr>
          <w:rFonts w:ascii="arial" w:eastAsia="arial" w:hAnsi="arial" w:cs="arial"/>
          <w:color w:val="000000"/>
          <w:sz w:val="20"/>
          <w:lang w:val="en-US" w:eastAsia="en-US" w:bidi="ar-SA"/>
        </w:rPr>
        <w:t xml:space="preserve"> (S.C.); Jam's International Venture Ltd. v. Westbank Holdings Ltd., </w:t>
      </w:r>
      <w:hyperlink r:id="rId1003" w:history="1">
        <w:r>
          <w:rPr>
            <w:rFonts w:ascii="arial" w:eastAsia="arial" w:hAnsi="arial" w:cs="arial"/>
            <w:i/>
            <w:color w:val="0077CC"/>
            <w:sz w:val="20"/>
            <w:u w:val="single"/>
            <w:shd w:val="clear" w:color="auto" w:fill="FFFFFF"/>
            <w:lang w:val="en-US" w:eastAsia="en-US" w:bidi="ar-SA"/>
          </w:rPr>
          <w:t>[2003] B.C.J. No. 891</w:t>
        </w:r>
      </w:hyperlink>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2003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opposite line of authority holds that an independent tort is not required, and that an employee or director may be sued personally if his actions are tortious or exhibit a separate identity or interest from that of the company. (Glenayre Manufacturing Ltd. v. Pilot Pacific Properties Inc., </w:t>
      </w:r>
      <w:hyperlink r:id="rId1004" w:history="1">
        <w:r>
          <w:rPr>
            <w:rFonts w:ascii="arial" w:eastAsia="arial" w:hAnsi="arial" w:cs="arial"/>
            <w:i/>
            <w:color w:val="0077CC"/>
            <w:sz w:val="20"/>
            <w:u w:val="single"/>
            <w:shd w:val="clear" w:color="auto" w:fill="FFFFFF"/>
            <w:lang w:val="en-US" w:eastAsia="en-US" w:bidi="ar-SA"/>
          </w:rPr>
          <w:t>[2003] B.C.J. No. 456</w:t>
        </w:r>
      </w:hyperlink>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2003 BCSC 303</w:t>
        </w:r>
      </w:hyperlink>
      <w:r>
        <w:rPr>
          <w:rFonts w:ascii="arial" w:eastAsia="arial" w:hAnsi="arial" w:cs="arial"/>
          <w:color w:val="000000"/>
          <w:sz w:val="20"/>
          <w:lang w:val="en-US" w:eastAsia="en-US" w:bidi="ar-SA"/>
        </w:rPr>
        <w:t xml:space="preserve">, leave to appeal refused </w:t>
      </w:r>
      <w:hyperlink r:id="rId1005" w:history="1">
        <w:r>
          <w:rPr>
            <w:rFonts w:ascii="arial" w:eastAsia="arial" w:hAnsi="arial" w:cs="arial"/>
            <w:i/>
            <w:color w:val="0077CC"/>
            <w:sz w:val="20"/>
            <w:u w:val="single"/>
            <w:shd w:val="clear" w:color="auto" w:fill="FFFFFF"/>
            <w:lang w:val="en-US" w:eastAsia="en-US" w:bidi="ar-SA"/>
          </w:rPr>
          <w:t>[2003] B.C.J. No. 2034</w:t>
        </w:r>
      </w:hyperlink>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2003 BCCA 462</w:t>
        </w:r>
      </w:hyperlink>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[2004] B.C.J. No. 302</w:t>
        </w:r>
      </w:hyperlink>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2004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Peters for Mr. Stoneman argues that the Court of Appeal in Jam's puts to rest the question of whether liability can be visited on officers and employees of limited companies where their actions may be tortious but not otherwise exhibiting a separate identity or interest from that of the company so as to make the act or conduct complained of their own. He argues that, while the evidentiary threshold is low, there must be some evidence that supports the allegation that the intended party, an officer and director of the corporate defendant, acted independently from his role as principal of, and agent for, the corporate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Melnick J. in Glenayre found support for the proposition that no independent tort was required in the decision of the Supreme Court of Canada in London Drugs Ltd. v. Kuehne &amp; Nagel International Ltd. </w:t>
      </w:r>
      <w:r>
        <w:rPr>
          <w:rFonts w:ascii="arial" w:eastAsia="arial" w:hAnsi="arial" w:cs="arial"/>
          <w:i/>
          <w:color w:val="000000"/>
          <w:sz w:val="20"/>
          <w:lang w:val="en-US" w:eastAsia="en-US" w:bidi="ar-SA"/>
        </w:rPr>
        <w:t>(1992), 73 B.C.L.R. (2d) 1</w:t>
      </w:r>
      <w:r>
        <w:rPr>
          <w:rFonts w:ascii="arial" w:eastAsia="arial" w:hAnsi="arial" w:cs="arial"/>
          <w:color w:val="000000"/>
          <w:sz w:val="20"/>
          <w:lang w:val="en-US" w:eastAsia="en-US" w:bidi="ar-SA"/>
        </w:rPr>
        <w:t xml:space="preserve"> (S.C.C.). In London Drugs Iacobucci J. stated at [paragraph] 185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general rule in Canada to the effect that an employee acting in the course of his or her employment and performing the "very essence" of his or her employer's contractual obligations with a customer does not owe a duty of care, whether one labels it "independent" or otherwise, to the employer's customer. Our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long since moved away from a category approach when dealing with duties of care. It is now well established that the question of whether a duty of care arises will depend on the circumstances of each particular case, not on pre-determined categories and blanket rules as to who is, and who is not, under a duty to exercise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Leave to appeal Melnick J.'s decision in Glenayre was denied by a single judge of the Court of Appeal, apparently on the basis that, since the law on the separate liability of corporate directors was uncertain, the argument that it was plain and obvious that the claims could not succeed had little prospect of success at appeal, </w:t>
      </w:r>
      <w:hyperlink r:id="rId1007" w:history="1">
        <w:r>
          <w:rPr>
            <w:rFonts w:ascii="arial" w:eastAsia="arial" w:hAnsi="arial" w:cs="arial"/>
            <w:i/>
            <w:color w:val="0077CC"/>
            <w:sz w:val="20"/>
            <w:u w:val="single"/>
            <w:shd w:val="clear" w:color="auto" w:fill="FFFFFF"/>
            <w:lang w:val="en-US" w:eastAsia="en-US" w:bidi="ar-SA"/>
          </w:rPr>
          <w:t>[2003] B.C.J. No. 1421</w:t>
        </w:r>
      </w:hyperlink>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2003 BCCA 363</w:t>
        </w:r>
      </w:hyperlink>
      <w:r>
        <w:rPr>
          <w:rFonts w:ascii="arial" w:eastAsia="arial" w:hAnsi="arial" w:cs="arial"/>
          <w:color w:val="000000"/>
          <w:sz w:val="20"/>
          <w:lang w:val="en-US" w:eastAsia="en-US" w:bidi="ar-SA"/>
        </w:rPr>
        <w:t xml:space="preserve"> ([paragraph] 11). A three-judge panel at the Court of Appeal found that, since there were no errors or misconceptions of fact made by the single justice at the leave application, the panel could not intervene, </w:t>
      </w:r>
      <w:hyperlink r:id="rId1005" w:history="1">
        <w:r>
          <w:rPr>
            <w:rFonts w:ascii="arial" w:eastAsia="arial" w:hAnsi="arial" w:cs="arial"/>
            <w:i/>
            <w:color w:val="0077CC"/>
            <w:sz w:val="20"/>
            <w:u w:val="single"/>
            <w:shd w:val="clear" w:color="auto" w:fill="FFFFFF"/>
            <w:lang w:val="en-US" w:eastAsia="en-US" w:bidi="ar-SA"/>
          </w:rPr>
          <w:t>2003 BCCA 462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Leave to appeal in Glenayre, denied by the three-judge panel, was on August 14, 2003, several months after the court's decision in Jam's. It could be said that Jam's was not a considered decision in the sense that counsel before the chambers judge, Baker J. and then again before Levine J.A. appear to have conceded the necessity of an independent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the result, I conclude that the law in British Columbia is not settled on this point, and therefore there may be an issue to be determined between the plaintiffs and Mr. Stoneman which is all that is required to meet the threshold test under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second basis upon which the plaintiffs seek to add Mr. Stoneman as an individual defendant is pursuant to s. 75 of the Real Estate Act, </w:t>
      </w:r>
      <w:hyperlink r:id="rId989" w:history="1">
        <w:r>
          <w:rPr>
            <w:rFonts w:ascii="arial" w:eastAsia="arial" w:hAnsi="arial" w:cs="arial"/>
            <w:i/>
            <w:color w:val="0077CC"/>
            <w:sz w:val="20"/>
            <w:u w:val="single"/>
            <w:shd w:val="clear" w:color="auto" w:fill="FFFFFF"/>
            <w:lang w:val="en-US" w:eastAsia="en-US" w:bidi="ar-SA"/>
          </w:rPr>
          <w:t>R.S.B.C. 1996, c. 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Paragraphs 40.1 to 40.7 of the proposed fourth further amended statement of claim allege that Stoneman Development and Bayou, as well as Muller and Stoneman, made material false statements in the disclosure statements concerning two matters. It is said that the actual expenses exceed the estimated budget for the first year of operating expenses of the Strata Corporation. There is evidence that the actual expenses for the first year of operating expenses were less than the estimated expenses in the disclosure statement. Mr. Critchley says that Muller and Stoneman deferred the cost of repairs. We know this, he says, because Preferred Restoration's work cost more than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second alleged misrepresentation concerns the disclosure by the developers and Stoneman and Muller that "the Developer is not aware of any outstanding or contingent litigation and is not aware of any outstanding or contingent liabilities in respect of the Development or against the Developer which may affect the Strata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Mr. Peters, for Mr. Stoneman, says that s. 75 creates a cause of action for individual original purchasers. Mr. Peters filed affidavit evidence on this application that out of 87 current owners only 24 have filed authorizations for the strata corporation to sue on his or her behalf, and of those 24, only five are original owners who received the disclosure statement. Mr. Peters says that the plaintiffs have failed to demonstrate standing to sue in respect to the s. 75 disclosure. The plaintiffs say that in fact 15 of the original owners have signed consent forms. Mr. Critchley, for the plaintiffs, says that pursuant to the legislation in force at the time this action was commenced it was not necessary for the owners to individually authorize the action. Even if it could be said that the previous legislation governs the joinder of defendants now, the failure of the plaintiffs to obtain those consents is a defect that can be cured (Strata Plan LMS 1468 v. Reunion Properties Inc. </w:t>
      </w:r>
      <w:hyperlink r:id="rId1008" w:history="1">
        <w:r>
          <w:rPr>
            <w:rFonts w:ascii="arial" w:eastAsia="arial" w:hAnsi="arial" w:cs="arial"/>
            <w:i/>
            <w:color w:val="0077CC"/>
            <w:sz w:val="20"/>
            <w:u w:val="single"/>
            <w:shd w:val="clear" w:color="auto" w:fill="FFFFFF"/>
            <w:lang w:val="en-US" w:eastAsia="en-US" w:bidi="ar-SA"/>
          </w:rPr>
          <w:t>(2002), 3 B.C.L.R. (4th) 79</w:t>
        </w:r>
      </w:hyperlink>
      <w:r>
        <w:rPr>
          <w:rFonts w:ascii="arial" w:eastAsia="arial" w:hAnsi="arial" w:cs="arial"/>
          <w:color w:val="000000"/>
          <w:sz w:val="20"/>
          <w:lang w:val="en-US" w:eastAsia="en-US" w:bidi="ar-SA"/>
        </w:rPr>
        <w:t xml:space="preserve"> (S.C.). I would not refuse to add Mr. Stoneman as a defendant on this basis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Peters also argues that it is not just and convenient to add Mr. Stoneman. He says the limitation period in respect to the cause of action based upon the s. 75 disclosure statement is that of a cause of action based on the tort of misrepresentation. The limitation period of six years would not, he says, be postponed and therefore expired in January 1998. He says that each of the original purchasers received a disclosure statement when they purchased their unit, some as late as 1998. That disclosure statement identified the principals of the developers. The plaintiffs first received a report respecting moisture ingress on December 4, 1996, as well as subsequent reports in 1997. Mr. Mendes says in his affidavit that he recognized the action had evolved into a "substantial building envelope claim" by November 2001. No steps to apply to add Mr. Stoneman were taken until October 31, 2003. Mr. Stoneman says that he is prejudiced in his ability to defend this action by the delay. First, he is 78 years old and has serious health and memory problems. He has been diagnosed with Polymyalgia Rheumatica, Diverticulosis, Pulmonary Fibrosis (a terminal disease) and depression. He says that although he has been aware of the progress of the litigation because of the involvement of Stoneman Developments as a defendant, he did not actively defend the claim in part because the remaining assets of Stoneman are limited. He says that he would have conducted the defence of the action in a much different way had he been joined as a personal defendant to the action at an earlier date. For example, he would have retained the services of an envelope consultant. He says that the removal and replacement of the windows was unnecessary and has largely contributed to the cost. His consultant, had he retained one, would have been able to inspect the alleged first faulty repairs while they were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Critchley argues that the only relevant delay is the incremental delay after the expiry of the limitation period plus one year for service of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 conclude that Mr. Stoneman should not be added as a defendant. I concluded above that the correct approach is a holistic view considering the whole time since the cause of action arose. The issues in this case are not interrelated with Mr. Stoneman's personal liability (as a director or pursuant to s. 75) in such a way that it would be inconvenient to try the case without his inclusion as a personal defendant. It cannot be persuasively argued that the plaintiffs were unaware of Mr. Stoneman's identity, the nature of his involvement, and his potential liability from an early stage of the litigation. His involvement is not predicated upon an evolving analysis of the engineering and construction issues. There is no real explanation for the plaintiffs' delay in joining him and there appears to have been a deliberate decision not to have joined him much earlier. (See Spitale v. I.C.B.C., </w:t>
      </w:r>
      <w:hyperlink r:id="rId1009" w:history="1">
        <w:r>
          <w:rPr>
            <w:rFonts w:ascii="arial" w:eastAsia="arial" w:hAnsi="arial" w:cs="arial"/>
            <w:i/>
            <w:color w:val="0077CC"/>
            <w:sz w:val="20"/>
            <w:u w:val="single"/>
            <w:shd w:val="clear" w:color="auto" w:fill="FFFFFF"/>
            <w:lang w:val="en-US" w:eastAsia="en-US" w:bidi="ar-SA"/>
          </w:rPr>
          <w:t>[2003] B.C.J. No. 1813</w:t>
        </w:r>
      </w:hyperlink>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2003 BCSC 1168</w:t>
        </w:r>
      </w:hyperlink>
      <w:r>
        <w:rPr>
          <w:rFonts w:ascii="arial" w:eastAsia="arial" w:hAnsi="arial" w:cs="arial"/>
          <w:color w:val="000000"/>
          <w:sz w:val="20"/>
          <w:lang w:val="en-US" w:eastAsia="en-US" w:bidi="ar-SA"/>
        </w:rPr>
        <w:t xml:space="preserve"> at [paragraph] 27) Applying the Teal analysis above, I conclude that it is not just and convenient to join Mr. Stoneman as an individual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Muller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Campbell, for Mr. Muller, adopts the argument that Mr. Peters made in respect of Mr. Stoneman. Mr. Muller's personal circumstances are somewhat different than Mr. Stoneman's. He does not have any personal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conclude that Mr. Muller should not be added as an individual defendant for the same reasons that I declined to add Mr. Stoneman. Although Mr. Stoneman's unfortunate health problems are an additional reason not to join him, the main reasons as stated above apply equally to Mr. Muller.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summary, I make the following orders: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Ericson Window Corporation, Ericson Glass Industries Ltd., Avalar Caulking Services Ltd., All-Span Engineering and Construction Ltd., and Key Glass &amp; Aluminum Ltd. will be added as defendants to this proceeding and the style of cause and the pleadings will be amended as applied for by the plaintiffs.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McArthur Vantell will be added as a defendant to this proceeding and the style of cause and the pleadings will be amended as applied for by the plaintiffs.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Rudolf Kevesdi and R.K. Engineering Ltd. will be added as defendants to this proceeding and the style of cause and the pleadings will be amended as applied for by the plaintiffs.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applications to add Wade Stoneman and Arnold Muller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Unless counsel wish to make submissions as to costs, costs of this application will follow the event in respect to Stoneman and Muller, and in respect to the other defendants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3"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0"/>
          <w:headerReference w:type="default" r:id="rId1011"/>
          <w:footerReference w:type="even" r:id="rId1012"/>
          <w:footerReference w:type="default" r:id="rId1013"/>
          <w:headerReference w:type="first" r:id="rId1014"/>
          <w:footerReference w:type="first" r:id="rId10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6" w:history="1">
        <w:r>
          <w:rPr>
            <w:rFonts w:ascii="arial" w:eastAsia="arial" w:hAnsi="arial" w:cs="arial"/>
            <w:b/>
            <w:bCs/>
            <w:i/>
            <w:color w:val="0077CC"/>
            <w:kern w:val="32"/>
            <w:sz w:val="28"/>
            <w:szCs w:val="32"/>
            <w:u w:val="single"/>
            <w:shd w:val="clear" w:color="auto" w:fill="FFFFFF"/>
            <w:lang w:val="en-US" w:eastAsia="en-US" w:bidi="ar-SA"/>
          </w:rPr>
          <w:t>Tyson v. Canada (Attorney General), [2000] B.C.J. No. 277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24 - 28, 31 and February 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S0004075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201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A.C.W.S. (3d) 1232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Edward Tyson, plaintiff, and Attorney General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4"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6" w:name="Keywords_43"/>
      <w:bookmarkEnd w:id="296"/>
      <w:r>
        <w:rPr>
          <w:rFonts w:ascii="arial" w:eastAsia="arial" w:hAnsi="arial" w:cs="arial"/>
          <w:b/>
          <w:color w:val="000000"/>
          <w:sz w:val="20"/>
          <w:lang w:val="en-US" w:eastAsia="en-US" w:bidi="ar-SA"/>
        </w:rPr>
        <w:t xml:space="preserve">Master and servant — Liability of master to servant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Torts — Duty of care, particular relationships — Claims for nervous shock and emotional suffering — Intentional infliction of — Practice — Dismissal of action — Grounds, general and want of prosecution — Lack of jurisdiction — Application or motion for dismissal —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7" w:name="Case Summary_40"/>
            <w:bookmarkEnd w:id="2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Tyson claiming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infliction of mental suffering allegedly resulting from Tyson's employer's failure to recognize and remedy a situation which ultimately led to a psychiatric illness. The Minister applied for a dismissal arguing lack of evidence to support Tyson's case. Tyson began employment with the Correctional Services of Canada in 1968 as a Medical Officer. He had previous training as a psychiatric nurse. In 1973 he worked for Correctional Services at the Matsqui Institution. In 1973 Tyson's wife was employed as a nurse at the M.S.A. hospital in Abbotsford. She was kidnapped by an escaped inmate from the Matsqui Institution, but managed to escape from her captor. Tyson notified the warden at the Matsqui Institution and took a short period of leave. Two years later the inmate was returned to the Matsqui Institution. The warden could not transfer the inmate upon Tyson's request. Tyson left the institution for educational and professional purposes, but ultimately returned to Matsqui where the inmate continued to reside. Tyson took sick leave for three years, filed a Human Rights claim, and was terminated in 1996. The Minister claimed that the evidence did not support the claim of intentional infliction of mental suffering.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8" w:name="Holdings of Court_36"/>
            <w:bookmarkEnd w:id="29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was wholly inadequate to establish intentional infliction of mental suffering. By Tyson's admission, there were no grounds to say that anyone had intended harm to him through the course of his employment.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behalf of the employer in placing the inmate at the institution. Tyson had not formally pressed his employer for notification measures to be taken. The employer allowed Tyson to take stress leave, and was therefore not negligent in failing to take appropriate remedial measures at the time that Tyson made his concerns known. The Limitation Act did not postpone the commencement of the appropriate limitation period beyond Tyson leaving his employment in 1980. Judicial deference was extended to the dispute resolution procedures of the collective agreement.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9" w:name="Legislation Cited_32"/>
      <w:bookmarkEnd w:id="2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5"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s. 6(3).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0" w:name="Counsel_46"/>
      <w:bookmarkEnd w:id="3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6"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Letkemann, for the plaintiff. C. Workun and V. Anderson,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1" w:name="Judgment_46"/>
      <w:bookmarkEnd w:id="301"/>
      <w:r>
        <w:pict>
          <v:line id="_x0000_s1247" style="position:absolute;z-index:2518568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2" w:name="GRIST J."/>
            <w:bookmarkEnd w:id="302"/>
            <w:r>
              <w:rPr>
                <w:rFonts w:ascii="arial" w:eastAsia="arial" w:hAnsi="arial" w:cs="arial"/>
                <w:b/>
                <w:color w:val="000000"/>
                <w:sz w:val="30"/>
                <w:lang w:val="en-US" w:eastAsia="en-US" w:bidi="ar-SA"/>
              </w:rPr>
              <w:t>GRIST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applies under Rule 40(8) for a dismissal arguing a lack of evidence to support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cause of action is plead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intentional infliction of mental suffering resulting from the plaintiff's employer's failure to recognize and remedy a situation which ultimately led to a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Tyson began employment with the Correctional Services of Canada in 1968 as a Medical Officer. He had prior training as a psychiatric nurse. In 1973 he worked for C.S.C. at the Matsqui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1973 Mr. Tyson's wife was employed as a nurse at M.S.A. hospital in Abbotsford. She was kidnapped by an escaped inmate from Matsqui Institution as she was getting into her car on completion of her shift. The inmate subsequently drove Mrs. Tyson to Mission where she, after two prior attempts, finally succeeded in eluding her captor by jumping from the moving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Tyson notified the warden at Matsqui Institution that his wife was the person kidnapped and took a short period of leave to see to her and their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Approximately two years later Mr. Tyson learned that the inmate was to be returned to Matsqui. He approached Mr. Carras, who had become warden, with this information. Mr. Carras said he would look into it. Mr. Tyson said that the warden spoke to him a couple of days later and during the course of that conversation said that he couldn't transfer an inmate at the whim of a staff member who couldn't get along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Tyson said he was surprised, angry and disappointed in that statement and that he subsequently spoke to co-workers about the matter, but that he took no formal action in respect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Shortly after, Mr. Tyson had an opportunity to take educational leave. Mr. Tyson said his position required that he upgrade his qualifications and obtain a certificate as a registered nurse. That opportunity allowed him to leave the institution and the negative environment he felt existed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successfully completed two years of nurse training. On return to Matsqui Mr. Tyson understood the inmate was still at the institution. Mr. Tyson remained upset with the warden and planned to transfer to another institution. In early 1979 he transferred to the Mission medium security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working at Mission for a number of months, Mr. Tyson came to believe that the inmate was to come to that institution. He spoke to Mr. Mageau, who was second in command to the institution's assistant warden of security. Mr. Mageau was not a direct superior to Mr. Tyson, but was a personal friend. Mr. Mageau spoke to his superior who commented, "with inmate's rights what can you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Again Mr. Tyson did not pursue any formal complaint. Instead he decided to leave C.S.C. and become a licensed real estate salesman. Mr. Tyson tendered a letter of resignation expressing general satisfaction with his employment by C.S.C. and citing "personal and medical" reasons for leaving. Mr. Tyson said he had drafted stronger letters expressing dissatisfaction with how he had been treated, but that he decided not to burn his bridges.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1985, approximately five years after leaving C.S.C., the real estate market had gone through several down years. Earnings were poor and Mr. Tyson's R.N. certification was in jeopardy. He decided to try to find work as a registered nurse. He applied at several hospitals but was unsuccessful. Ultimately he applied to return to employment with C.S.C. He was successful in getting eight months temporary employment at Matsqui institution and in August 1986 was hired full time at Kent.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Tyson said that when he started work at Kent he felt he had put the previous situation behind him. He had been out of corrections for five years and felt relaxed. He said he was not sure if he even remembered the inmate's name. He also thought it likely the inmate was no longer in the system, although he made no inquiries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Kent the incident involving his wife and the inmate was mentioned by a co-worker who said that he thought that the inmate was in the population at Kent. Mr. Tyson said that he then felt he was in the same position as before. A large part of his continuing concern was whether he would be able to treat the inmate if he were to require emergency care. There were times he was the only medical officer on duty at Kent. Mr. Tyson said he didn't want to be confronted with this and he decided to put in for a transfer to the Regional Psychiatric Center, which is a separate institution but located within the grounds of the Matsqui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Tyson continued to work at R.P.C. from November 1986 to October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1989 Mrs. Tyson was called as a witness at dangerous offender proceedings instituted in respect of the inmate, who had by then committed a series of further offences. Mr. Tyson said this and his dealings with other sexual offenders brought much of his feelings with respect to the original event back to him and that he recognized, even more clearly than before, that his wife had come close to even more serious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July 1992, unknown to Mr. Tyson, the inmate was transferred to R.P.C. Some time in August 1992 Mr. Tyson recognized him in the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Up to that time Mr. Tyson had never actually seen the inmate in person. There was no evidence that the inmate understood who Mr. Tyson was. For the two subsequent months Mr. Tyson saw the inmate in the institution on a regular basis. There was no evidence of any confrontation, nor any conversation between the two, but this series of events caused Mr. Tyson considerable anxiety and he began to have disturbing nightmares and he became sensitive to seeing others that resembled the inmate on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Tyson explained his situation and developing condition to Dr. Glancy, a psychiatrist and the head of medical staff at R.P.C. He also discussed the situation with the head of security to inquire if there was information on the prisoner's file which would identify him. There is no evidence that Mr. Tyson pressed for such a notation on the file at this time, and the evidence suggests that Mr. Tyson rather preferred there not be any information which might ultimately allow the inmate to learn who Mr. Tyson was. Mr. Tyson also spoke to his union steward.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Finally on October 21, 1992 Mr. Tyson had a meeting with his superiors, the head of nursing and Mr. Mills, the warden. Mr. Tyson said he explained the history and the problems he was having. Dr. Glancy was by then recommending he take time off as stress leave. Ms. Cooper, the head of nursing, offered to phone to Kent to see if there was a position he could apply for there. Mr. Tyson replied that matters had gone beyond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Tyson said that at this point Mr. Mills said that the situation was like being staff in a hospital and having to treat someone whom you didn't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Ultimately there were no further proposals to remedy the situation. After four more shifts Mr. Tyson took sick leave. He remained on sick leave for three years. Through this time he pressed a harassment complaint with the Canadian Human Rights Commission and attempted resolution through his union and his Member of Parliament. Eventually, despite attempted resolutions, Mr. Tyson was terminated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Defence Counsel argues three main grounds for the no evidence motion:</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evidence indicates Mr. Tyson was the member of a union and subject to a collective agreement. This action is said to be concerned with a dispute under the collective agreement and accordingly this court has no jurisdiction, or should decline jurisdiction to hear the action pressed by the plaintiff;</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does not support intentional infliction of mental suffering, nor is there any act or omission of the defendant giving rise to the plaintiff's psychiatric illness.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what Mr. Tyson knew, and taking his personal considerations into account, would have recognized Mr. Tyson as able to bring an action at such a point in time as to render the date of filing of the writ, October 24, 1994. This date was therefore beyond the applicable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first and third arguments have merit, but I prefer for the purposes of disposition of this application to deal with the second grounds, which require a close examination of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test for determination of a Rule 40(8) application are set out in Roberge v. Huberman, </w:t>
      </w:r>
      <w:hyperlink r:id="rId1017" w:history="1">
        <w:r>
          <w:rPr>
            <w:rFonts w:ascii="arial" w:eastAsia="arial" w:hAnsi="arial" w:cs="arial"/>
            <w:i/>
            <w:color w:val="0077CC"/>
            <w:sz w:val="20"/>
            <w:u w:val="single"/>
            <w:shd w:val="clear" w:color="auto" w:fill="FFFFFF"/>
            <w:lang w:val="en-US" w:eastAsia="en-US" w:bidi="ar-SA"/>
          </w:rPr>
          <w:t>[1999] B.C.J. No. 695</w:t>
        </w:r>
      </w:hyperlink>
      <w:r>
        <w:rPr>
          <w:rFonts w:ascii="arial" w:eastAsia="arial" w:hAnsi="arial" w:cs="arial"/>
          <w:color w:val="000000"/>
          <w:sz w:val="20"/>
          <w:lang w:val="en-US" w:eastAsia="en-US" w:bidi="ar-SA"/>
        </w:rPr>
        <w:t>, 1999 B.C.C.A. 0196.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Determination of the question requires assessment of the sufficiency of the evidence on the basis of whether a properly charged jury, acting reasonably, could find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evidence is wholly inadequate to establish intentional infliction of mental suffering. By Mr. Tyson's own admission, he has no grounds to say that anyone intended harm to him through the course of his employment. The only possible substance to this action is in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Courts have found difficulty in defining the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psychiatric illness alone. In some cases recovery for psychiatric illness alone has focused on a close examination of foreseeability. In other cases proscribing control mechanisms have been introduced. The subject is discussed at length in Devji v. City of Burnaby, a British Columbia Court of Appeal decision, </w:t>
      </w:r>
      <w:hyperlink r:id="rId1018" w:history="1">
        <w:r>
          <w:rPr>
            <w:rFonts w:ascii="arial" w:eastAsia="arial" w:hAnsi="arial" w:cs="arial"/>
            <w:i/>
            <w:color w:val="0077CC"/>
            <w:sz w:val="20"/>
            <w:u w:val="single"/>
            <w:shd w:val="clear" w:color="auto" w:fill="FFFFFF"/>
            <w:lang w:val="en-US" w:eastAsia="en-US" w:bidi="ar-SA"/>
          </w:rPr>
          <w:t>[1999] B.C.J. No. 2320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Here the plaintiff says the psychiatric harm resulted from the defendant failing to take effective measures to defuse the stressful situation acting on Mr. Tyson. In my view the question of whether there is any evidence which would found a reasonable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dependent on whether there is evidentiary support for the proposition that a reasonable employer would have foreseen that a failure to act in some specific remedial fashion would cause psychiatric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Here it is notable that Mr. Tyson did not pursue any specific action with his employer to defuse the situation over the considerable time up until the onset of psychiatric illness. There was no evidence presented which indicated that Mr. Tyson's immediate superiors had any reason to believe that he was functioning under such apparent stress as to reasonably cause them to believe he was likely to suffer psychiatric harm, at least until the meeting of October 21,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Perhaps the best indication of this was in that he at no time pressed for any particular remedy. Rather he internally found his own remedy by way of transfers and at one point, by leaving his employment. Again, the letter of resignation is another example of an event which did not reveal and, in fact, hid the significance of the situation. The eventual return to work was of Mr. Tyson's own volition and the subsequent transfer from Kent was never explained to his superiors as resulting from apprehended contact with the inmate.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Ultimately, the events leading to the meeting of October 21, 1992, and the meeting itself, indicated to Mr. Tyson's superiors that he was under stress, but again no remedial steps were asked of his employer. In fact when the director of nursing suggested she should inquire about a transfer to Kent, Mr. Tyson rejected this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Considerable emphasis is directed to the remarks by the warden, who Mr. Tyson said advised during the course of the meeting on October 21, 1992 that he should conduct himself as if he were working on a public ward charged with the care of a disagreeable neighbor.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this was no more than an attempt to find some basis for coping with a problem which was not presented as having any prospective solution and which had not motivated the employee to require remedial action by the employer for a considerable number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statement of claim suggests two failings which in the plaintiff's view should found liability. Firstly, the employer is said to be negligent in placing the inmate at R.P.C. At that point in time Mr. Tyson had returned to work, knowing that there was no measure in place which would prohibit such a thing from happening, nor was there any process for notification of such an event. He had not formally pressed for such measures to be taken. I cannot find any evidence to found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this score.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second suggested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 the failing to take appropriate remedial measures at the time that the situation became overtly stressful to Mr. Tyson. Stress leave was granted, beginning on October 26, 1992. It continued as disability leave for approximately three years. I cannot find in this episode any action or failure to act in the defendant, causative of psychiatric harm. In point of fact, as I have said, no remedial action was suggested by Mr. Tyson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will also say that I found the defendant's arguments in respect of the limitation period to be persuasive. In my view the reasonable person test suggested in Section 6(3) of the Limitation Act would not postpone the commencement of the appropriate limitation period beyond Mr. Tyson leaving his employment in 1980. The complaint against the employer and the resultant consequence of loss of his employment would have provided a reasonable person with knowledge of the necessary facts to undertake litigation. There were at that time no personal circumstances which would have confounded that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Lastly, I find that the first grounds would also provide a basis for the non-suit. The collective agreement is, in my view, a comprehensive agreement in place to resolve workplace grievances of the sort described in this action. Judicial deference should be extended to dispute resolution procedures of collective agreements. The plaintiff says that the collective agreement is not made the exclusive arbitrar of such disputes by statute as was the case in Webber v. Ontario Hydro </w:t>
      </w:r>
      <w:hyperlink r:id="rId1019" w:history="1">
        <w:r>
          <w:rPr>
            <w:rFonts w:ascii="arial" w:eastAsia="arial" w:hAnsi="arial" w:cs="arial"/>
            <w:i/>
            <w:color w:val="0077CC"/>
            <w:sz w:val="20"/>
            <w:u w:val="single"/>
            <w:shd w:val="clear" w:color="auto" w:fill="FFFFFF"/>
            <w:lang w:val="en-US" w:eastAsia="en-US" w:bidi="ar-SA"/>
          </w:rPr>
          <w:t>(1995) 125 D.L.R. (4th) 583</w:t>
        </w:r>
      </w:hyperlink>
      <w:r>
        <w:rPr>
          <w:rFonts w:ascii="arial" w:eastAsia="arial" w:hAnsi="arial" w:cs="arial"/>
          <w:color w:val="000000"/>
          <w:sz w:val="20"/>
          <w:lang w:val="en-US" w:eastAsia="en-US" w:bidi="ar-SA"/>
        </w:rPr>
        <w:t xml:space="preserve">, (S.C.C.), and New Brunswick v. O'Leary, </w:t>
      </w:r>
      <w:hyperlink r:id="rId1020" w:history="1">
        <w:r>
          <w:rPr>
            <w:rFonts w:ascii="arial" w:eastAsia="arial" w:hAnsi="arial" w:cs="arial"/>
            <w:i/>
            <w:color w:val="0077CC"/>
            <w:sz w:val="20"/>
            <w:u w:val="single"/>
            <w:shd w:val="clear" w:color="auto" w:fill="FFFFFF"/>
            <w:lang w:val="en-US" w:eastAsia="en-US" w:bidi="ar-SA"/>
          </w:rPr>
          <w:t>[1995] 2 S.C.R. 967</w:t>
        </w:r>
      </w:hyperlink>
      <w:r>
        <w:rPr>
          <w:rFonts w:ascii="arial" w:eastAsia="arial" w:hAnsi="arial" w:cs="arial"/>
          <w:color w:val="000000"/>
          <w:sz w:val="20"/>
          <w:lang w:val="en-US" w:eastAsia="en-US" w:bidi="ar-SA"/>
        </w:rPr>
        <w:t xml:space="preserve">, however, I note that there was no apparent mandatory statute relied on in Young Estates v. Transalta-Utilities Corp., </w:t>
      </w:r>
      <w:hyperlink r:id="rId1021" w:history="1">
        <w:r>
          <w:rPr>
            <w:rFonts w:ascii="arial" w:eastAsia="arial" w:hAnsi="arial" w:cs="arial"/>
            <w:i/>
            <w:color w:val="0077CC"/>
            <w:sz w:val="20"/>
            <w:u w:val="single"/>
            <w:shd w:val="clear" w:color="auto" w:fill="FFFFFF"/>
            <w:lang w:val="en-US" w:eastAsia="en-US" w:bidi="ar-SA"/>
          </w:rPr>
          <w:t>[1997] A.J. No. 1114</w:t>
        </w:r>
      </w:hyperlink>
      <w:r>
        <w:rPr>
          <w:rFonts w:ascii="arial" w:eastAsia="arial" w:hAnsi="arial" w:cs="arial"/>
          <w:color w:val="000000"/>
          <w:sz w:val="20"/>
          <w:lang w:val="en-US" w:eastAsia="en-US" w:bidi="ar-SA"/>
        </w:rPr>
        <w:t xml:space="preserve">, a decision of the Alberta Court of Appeal, nor in Evans v. Her Majesty the Queen In Right of Canada, </w:t>
      </w:r>
      <w:hyperlink r:id="rId1022" w:history="1">
        <w:r>
          <w:rPr>
            <w:rFonts w:ascii="arial" w:eastAsia="arial" w:hAnsi="arial" w:cs="arial"/>
            <w:i/>
            <w:color w:val="0077CC"/>
            <w:sz w:val="20"/>
            <w:u w:val="single"/>
            <w:shd w:val="clear" w:color="auto" w:fill="FFFFFF"/>
            <w:lang w:val="en-US" w:eastAsia="en-US" w:bidi="ar-SA"/>
          </w:rPr>
          <w:t>[1987] F.C.J. No. 327</w:t>
        </w:r>
      </w:hyperlink>
      <w:r>
        <w:rPr>
          <w:rFonts w:ascii="arial" w:eastAsia="arial" w:hAnsi="arial" w:cs="arial"/>
          <w:color w:val="000000"/>
          <w:sz w:val="20"/>
          <w:lang w:val="en-US" w:eastAsia="en-US" w:bidi="ar-SA"/>
        </w:rPr>
        <w:t>, a 1986 decision of the Federal Court, trial division, Court No. T-1414-86, relating specifically to employment with the Correctional Services of Canada. The rational for deference in my view extends, without the mandatory statutory provision, to comprehensive collective agreements of the sort evidenced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action is dismissed with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8"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23"/>
          <w:headerReference w:type="default" r:id="rId1024"/>
          <w:footerReference w:type="even" r:id="rId1025"/>
          <w:footerReference w:type="default" r:id="rId1026"/>
          <w:headerReference w:type="first" r:id="rId1027"/>
          <w:footerReference w:type="first" r:id="rId10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9" w:history="1">
        <w:r>
          <w:rPr>
            <w:rFonts w:ascii="arial" w:eastAsia="arial" w:hAnsi="arial" w:cs="arial"/>
            <w:b/>
            <w:bCs/>
            <w:i/>
            <w:color w:val="0077CC"/>
            <w:kern w:val="32"/>
            <w:sz w:val="28"/>
            <w:szCs w:val="32"/>
            <w:u w:val="single"/>
            <w:shd w:val="clear" w:color="auto" w:fill="FFFFFF"/>
            <w:lang w:val="en-US" w:eastAsia="en-US" w:bidi="ar-SA"/>
          </w:rPr>
          <w:t>British Columbia Insurance Co. v. Insurance Corp. of British Columbia, [2002] B.C.J. No. 2385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27, 28 and 30,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C981570, C981571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2385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1471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B.C.L.R. (4th) 118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C.C.L.I. (3d) 299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 M.V.R. (4th) 211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475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British Columbia Insurance Company, plaintiff, and The Insurance Corporation of British Columbia, defendant (Vancouver Registry No. C981570) And between British Columbia Insurance Company, plaintiff, and The Insurance Corporation of British Columbia, defendant (Vancouver Registry No. C981571)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9"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3" w:name="Keywords_44"/>
      <w:bookmarkEnd w:id="303"/>
      <w:r>
        <w:rPr>
          <w:rFonts w:ascii="arial" w:eastAsia="arial" w:hAnsi="arial" w:cs="arial"/>
          <w:b/>
          <w:color w:val="000000"/>
          <w:sz w:val="20"/>
          <w:lang w:val="en-US" w:eastAsia="en-US" w:bidi="ar-SA"/>
        </w:rPr>
        <w:t>Insurance — The insurance contract — Interpretation of contract — Intent of the parties — Contribution among insurers — Tow or more policies covering "same interest" — Automobile insurance, compulsory government schemes — Liability coverage — "Use or operation" of motor vehicle — Exclusions — Garage personnel.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4" w:name="Case Summary_41"/>
            <w:bookmarkEnd w:id="3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British Columbia Insurance Company (BCIC) for equitable contribution from the Insurance Corporation of British Columbia (ICBC) to costs to defend and settle various claims against garage service operators. BCIC had provided comprehensive general liability policies to numerous garage service operators. Each operator also had a garage auto policy from ICBC which provided coverage for both owned and customers' vehicles. The claims settled by BCIC were for liability for negligent performance of repairs that resulted in automobile accidents after the cars were returned to their owners. BCIC argued that the ICBC policy also covered the claims. It sought to recover 50 percent of the amount it spent defending and indemnifying the insured. ICBC argued that its garage policy did not apply once the vehicles were returned to the customers. It sought to introduce four affidavits to assist the court in determining the intent and reasonable expectations of the parties to the insurance contract. It also argued that use or operation of a customer's vehicle did not include repairs carried on by a commercial repairer.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5" w:name="Holdings of Court_37"/>
            <w:bookmarkEnd w:id="30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phrase "use or operation" in individual owners' policies would clearly include repairs by the insured, and there was no reason that the phrase should have been given a different meaning depending on the party to whom the policy was issued. Repairs constituted a use of the vehicle. It was conceded that negligent repairs performed by the insured caused the accidents. The policy did not limit claims to damages which occurred while the automobile remained in custody of the garage operator, only to damages that occurred as a result of something that occurred while the automobile was in the custody of the garage operator. The garage policy applied to claims that arose after the vehicle had left the garage operator's custody. ICBC was to pay 50 percent of the costs of defending and indemnifying the insured. The garage policy was not ambiguous, and the affidavits that ICBC sought to introduce were not relied upon.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6" w:name="Legislation Cited_33"/>
      <w:bookmarkEnd w:id="3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0"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1030" w:history="1">
        <w:r>
          <w:rPr>
            <w:rFonts w:ascii="arial" w:eastAsia="arial" w:hAnsi="arial" w:cs="arial"/>
            <w:i/>
            <w:color w:val="0077CC"/>
            <w:sz w:val="20"/>
            <w:u w:val="single"/>
            <w:shd w:val="clear" w:color="auto" w:fill="FFFFFF"/>
            <w:lang w:val="en-US" w:eastAsia="en-US" w:bidi="ar-SA"/>
          </w:rPr>
          <w:t>R.S.B.C. 1996, c. 231, s. 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902" w:history="1">
        <w:r>
          <w:rPr>
            <w:rFonts w:ascii="arial" w:eastAsia="arial" w:hAnsi="arial" w:cs="arial"/>
            <w:i/>
            <w:color w:val="0077CC"/>
            <w:sz w:val="20"/>
            <w:u w:val="single"/>
            <w:shd w:val="clear" w:color="auto" w:fill="FFFFFF"/>
            <w:lang w:val="en-US" w:eastAsia="en-US" w:bidi="ar-SA"/>
          </w:rPr>
          <w:t>R.S.B.C. 1996, c. 318, s. 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Revised Regulation (1984) under the Insurance (Motor Vehicle) Act, </w:t>
      </w:r>
      <w:hyperlink r:id="rId1031" w:history="1">
        <w:r>
          <w:rPr>
            <w:rFonts w:ascii="arial" w:eastAsia="arial" w:hAnsi="arial" w:cs="arial"/>
            <w:i/>
            <w:color w:val="0077CC"/>
            <w:sz w:val="20"/>
            <w:u w:val="single"/>
            <w:shd w:val="clear" w:color="auto" w:fill="FFFFFF"/>
            <w:lang w:val="en-US" w:eastAsia="en-US" w:bidi="ar-SA"/>
          </w:rPr>
          <w:t>B.C. Reg. 447/83, ss. 57</w:t>
        </w:r>
      </w:hyperlink>
      <w:r>
        <w:rPr>
          <w:rFonts w:ascii="arial" w:eastAsia="arial" w:hAnsi="arial" w:cs="arial"/>
          <w:color w:val="000000"/>
          <w:sz w:val="20"/>
          <w:lang w:val="en-US" w:eastAsia="en-US" w:bidi="ar-SA"/>
        </w:rPr>
        <w:t>, 57(2), 150, 150(6).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Saskatchewan Highway Traffic Act, S.C. 1986, c. H-3.1.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7" w:name="Counsel_47"/>
      <w:bookmarkEnd w:id="30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1"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Steven F. Lee, for the plaintiff. J. Derek James,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8" w:name="Judgment_47"/>
      <w:bookmarkEnd w:id="308"/>
      <w:r>
        <w:pict>
          <v:line id="_x0000_s1252" style="position:absolute;z-index:2518579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9" w:name="GOEPEL J."/>
            <w:bookmarkEnd w:id="309"/>
            <w:r>
              <w:rPr>
                <w:rFonts w:ascii="arial" w:eastAsia="arial" w:hAnsi="arial" w:cs="arial"/>
                <w:b/>
                <w:color w:val="000000"/>
                <w:sz w:val="30"/>
                <w:lang w:val="en-US" w:eastAsia="en-US" w:bidi="ar-SA"/>
              </w:rPr>
              <w:t>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 these actions ("the general insurer") claims equitable contribution from the defendant ("ICBC"). Both the general insurer and ICBC issued liability policies of insurance to garage service operators ("the insureds"). In each case the insureds performed negligent repairs upon their customers' vehicles that resulted in automobile accidents after the cars were returned to their owners. Actions were commenced against the insureds. The general insurer acknowledged coverage under its policy and paid significant sums to defend and settle the various claims that were brought as a result of the automobile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general insurer submits that the policy issued by ICBC (the garage policy) also covered the claims. It brings this application pursuant to Rule 18A seeking to recover 50% of the amount it spent defending and indemnifying the insureds. The parties have agreed that the issue of quantum will be held in abeyance pending the outcome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ICBC takes the position that the garage policy does not apply. The general insurer says that the applicability of the garage policy was determined by the decision in Brennan v. Singh </w:t>
      </w:r>
      <w:hyperlink r:id="rId1032" w:history="1">
        <w:r>
          <w:rPr>
            <w:rFonts w:ascii="arial" w:eastAsia="arial" w:hAnsi="arial" w:cs="arial"/>
            <w:i/>
            <w:color w:val="0077CC"/>
            <w:sz w:val="20"/>
            <w:u w:val="single"/>
            <w:shd w:val="clear" w:color="auto" w:fill="FFFFFF"/>
            <w:lang w:val="en-US" w:eastAsia="en-US" w:bidi="ar-SA"/>
          </w:rPr>
          <w:t>(2000), 75 B.C.L.R. (3d) 93</w:t>
        </w:r>
      </w:hyperlink>
      <w:r>
        <w:rPr>
          <w:rFonts w:ascii="arial" w:eastAsia="arial" w:hAnsi="arial" w:cs="arial"/>
          <w:color w:val="000000"/>
          <w:sz w:val="20"/>
          <w:lang w:val="en-US" w:eastAsia="en-US" w:bidi="ar-SA"/>
        </w:rPr>
        <w:t xml:space="preserve"> (C.A.) and that decision is binding upon me. ICBC says that Brennan was wrongly decided and is not binding because the decision of the Court of Appeal was either obiter, or was made per incuriam. ICBC further submits that Brennan has been effectively overruled as a result of the subsequent decisions of the Supreme Court of Canada in Derksen v. 539938 Ontario Ltd </w:t>
      </w:r>
      <w:hyperlink r:id="rId1033" w:history="1">
        <w:r>
          <w:rPr>
            <w:rFonts w:ascii="arial" w:eastAsia="arial" w:hAnsi="arial" w:cs="arial"/>
            <w:i/>
            <w:color w:val="0077CC"/>
            <w:sz w:val="20"/>
            <w:u w:val="single"/>
            <w:shd w:val="clear" w:color="auto" w:fill="FFFFFF"/>
            <w:lang w:val="en-US" w:eastAsia="en-US" w:bidi="ar-SA"/>
          </w:rPr>
          <w:t>(2001), 205 D.L.R. (4th) 1</w:t>
        </w:r>
      </w:hyperlink>
      <w:r>
        <w:rPr>
          <w:rFonts w:ascii="arial" w:eastAsia="arial" w:hAnsi="arial" w:cs="arial"/>
          <w:color w:val="000000"/>
          <w:sz w:val="20"/>
          <w:lang w:val="en-US" w:eastAsia="en-US" w:bidi="ar-SA"/>
        </w:rPr>
        <w:t xml:space="preserve"> (S.C.C.), and Heredi v. Fensom </w:t>
      </w:r>
      <w:hyperlink r:id="rId1034" w:history="1">
        <w:r>
          <w:rPr>
            <w:rFonts w:ascii="arial" w:eastAsia="arial" w:hAnsi="arial" w:cs="arial"/>
            <w:i/>
            <w:color w:val="0077CC"/>
            <w:sz w:val="20"/>
            <w:u w:val="single"/>
            <w:shd w:val="clear" w:color="auto" w:fill="FFFFFF"/>
            <w:lang w:val="en-US" w:eastAsia="en-US" w:bidi="ar-SA"/>
          </w:rPr>
          <w:t>(2002), 213 D.L.R. (4th) 1</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commencement of the hearing the parties filed the following agreed statement of facts:</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Optimum West Insurance Company, formerly known as British Columbia Insurance Company ("Optimum") is a general insurance company with an office at Suite 1800 - 777 Hornby Street, Vancouver, British Columbia.</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Insurance Corporation of British Columbia ("ICBC") is an automobile insurance company within the meaning of sections 1 and 2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with an office at 151 West Esplanade, North Vancouver, British Columbia.</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provides comprehensive general liability insurance to providers [sic] automobile repair services. The Defendant is an auto-mobile insurer who provides garage automobile policies to providers of automobile repair services. In these actions the Plaintiff seeks equitable contribution from the Defendant for defence and indemnity costs for actions arising from unrelated motor vehicle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Hartwell Claims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Hartwell Enterprises Ltd. ("Hartwell") is a company engaged in the business of automobile repair, and has its place of business at 14807 Marine Drive, White Rock, British Columbia.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Optimum issued a Comprehensive General Liability Policy to Hartwell for the period November 3, 1992, to November 4, 1994. A copy of the Cover Note for the period 1992 - 1993, the Policy Declarations for the period 1993 - 1994 and the Policy wordings for the Non-Owned Automobile Coverage are attached as Exhibit "A".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ICBC issued a Garage Auto Policy APV4 to Hartwell for the period April 1, 1992, to March 31, 1994. Copies of the APV4 for the two years are attached as Exhibit "B".</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September 13, 1993, a Ford Bronco owned by William Blakely was negligently repaired by an employee of Hartwell.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14, 1994, while the Bronco was being driven by William Blakely the rear axel [sic] of the Bronco failed causing Mr. Blakely to veer off Highway 1, near Clearbrook. Linda Blakely was a passenger in the Bronco at the time.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axel [sic] was caused by the negligent repairs performed on September 13, 1993.</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Bronco collided with a vehicle driven by Mrs. Maureen Halsall. John Halsall, her husband, daughter Noeline, and a relative from England, named Renee Barnard were passengers. The three Halsalls were injured. Mrs. Barnard was killed.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three lawsuits relating to this accident were commenced against Hartwell and Optimum defended all three actions on behalf of Hartwell. Liability was ultimately admitted on behalf of Hartwell in all three actions.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Halsalls commenced an action in the Supreme Court Registry in Chilliwack, No. S4177 (hereinafter referred to as the "Halsall action"). The Amended Statement of Claim and Statement of Defence filed in this action are attached as Exhibit "C".</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Halsalls actions has been settled with the following payments being made by BCIC on behalf of Hartwell: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6"/>
        <w:gridCol w:w="2510"/>
        <w:gridCol w:w="209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Maureen Halsall</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$138,700.00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John Halsall</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32,500.00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Noeline Halsall</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14,170.00</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58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45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$185,370.00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William and Linda Blakely commenced action in the Supreme Court Registry in Vancouver, Action No. B954387, (hereinafter referred to as "the Blakely action"). The Statement of Claim and the Statement of Defence filed in this action are attached as Exhibit "D". This action has been settled with the sum of $55,000.00 being paid by BCIC on behalf of Hartwells.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Renee Barnard's executors and beneficiaries (her sons) commenced an action in the Supreme Court Registry in Chilliwack, Action No. S6216, against William Blakely and Hartwell in which they sought compensation pursuant to the pro-visions of the Family Compensation Act, R.S.B.C. 1979, Ch. 120, (hereinafter referred to as "the Barnard action"). The Statement of Claim and the Statement of Defence filed in this action are attached as Exhibit "E".</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Barnard action was discontinued against William Blakely. The action against Hartwell was tried on July 22, 1999 by way of Rule 18A. In Oral Reasons for Judgement the Plaintiffs were awarded $14,494.16, plus interest of $1,756.18 for a total of $16,250.34. The Plaintiffs also recovered costs in the amount of $3,019.00.</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Optimum incurred costs in defending the actions against Hartwell which total $27,946.26.</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aware of the accident giving rise to the Halsall, Blakely and Barnard actions. The Defendant, as insurer for William Blakely, appointed counsel to defend William Blakely in the Halsall and Barnard actions. Attached hereto as Exhibit "F" is a copy of the transcript of the Examination for Discovery of Heather McIntosh, a representative of the Defendant in action #C981571, conducted on November 6,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Deer Lake Claim</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Deer Lake Plymouth Chrysler (hereinafter referred to as "Deer Lake") is a company engaged in the business of automobile sales and service, and has its place of business at 5965 Kingsway, Burnaby, British Columbia.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Optimum issued a Comprehensive General Liability Policy to Deer Lake for the period May 31, 1995 to May 31, 1996. A copy of the Policy Declarations are attached as Exhibit "G". The Policy wordings for the Non-Owned Automobile coverage are attached as part of Exhibit "A".</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 issued a Garage Auto Policy APV4 to Deer Lake for the period April 1, 1995 to March 31, 1996. Copies of the Policy Declarations and the APV 4 are attached as Exhibit "H".</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November 11, 1995, Victor Cheng had his vehicle serviced by one of Deer Lake's mechanics.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afternoon of November 11, 1995, Mr. and Mrs. Cheng picked up the vehicle. While the Chengs were driving away, a front wheel came off the vehicle causing the vehicle to collide forcefully with the surface of the roadway. The wheel separated from the vehicle as a result of the negligent repairs performed by Deer Lake.</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Victor and Jenny Cheng commenced an action in the Supreme Court Registry in Vancouver, Action No. B955671, against Deer Lake. The Statement of Claim and the Statement of Defence filed in this action are attached as Exhibit "I". Optimum defended this action on behalf of Deer Lake.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of Mrs. Cheng was settled by payment to her of $20,000.00, all inclusive, by BCIC. Mr. Cheng's claim was settled for the all-inclusive sum of $1,500.00.</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ICBC was aware of the Cheng's claims against Deer Lake but refused to participate in the defence of the claims. Attached hereto as Exhibits "J", "K", "L", and "M", are cor-respondence between counsel for the Plaintiffs and the Defendant relating to this action. Attached hereto as Exhibit "N" is a copy of the transcript of an Examination for Discovery of Stuart Shore, a representative of the Defendant in action #C981570, conducted on November 6, 2001.</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Optimum incurred costs in defending the actions against Deer Lake which total $6,822.14.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Garage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garage policy issued by ICBC provided coverage for both owned and customers vehicles. The basic insurance agreement is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Rating Questionnaire and Declarations which form part of the policy, but only with respect to the Subsection(s) for which a premium is specified under Section 1 of the APV4 and no other, and subject always to the General Provisions, Definitions and Exclusions of the Regulation pursuant to the Insurance (Motor Vehicle) Act, the Corporation agrees:</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Subsection 1A of the APV4 to indemnify the Insured in accordance with Regulation Part 6 for third party legal liability imposed by law upon the Insured, for loss or damage arising from the use or operation of an owned vehicle and to pay benefits in accordance with Part 7 Accident Benefits and to compensate the Insured in accordance with Part 10, First Party Coverage of the Regulation. Provided always that the Corporation shall not be liable under this subsection:</w:t>
      </w:r>
    </w:p>
    <w:p>
      <w:pPr>
        <w:numPr>
          <w:numId w:val="2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legal liability imposed upon any person insured by this policy for bodily injury to or the death of any partner, officer or employee of such person while engaged in the business of the named insured, or</w:t>
      </w:r>
    </w:p>
    <w:p>
      <w:pPr>
        <w:numPr>
          <w:numId w:val="2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amount in excess of the limits stated in Subsection 1A of the APV4.</w:t>
      </w:r>
    </w:p>
    <w:p>
      <w:pPr>
        <w:numPr>
          <w:numId w:val="2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direct loss or damage to an owned vehicle or a customer's vehicle,</w:t>
      </w:r>
    </w:p>
    <w:p>
      <w:pPr>
        <w:numPr>
          <w:numId w:val="2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liability arising out of indirect loss or damage to the customer's vehicle, including but not limited to loss of use, accelerated depreciation or consequential loss.</w:t>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Subsection 1B of the APV4 to indemnify the Insured in accordance with Regulation Part 6 for third party legal liability imposed by law upon the Insured for loss or damage arising from the use or operation of a customer's vehicle and to pay benefits in accordance with Part 7 Accident Benefits and to compensate the Insured in accordance with Part 10, First Party Coverage of the Regulation. Provided always that the Corporation shall not be liable under this Subsection:</w:t>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legal liability imposed upon any person insured by this policy for bodily injury to or the death of any partner, officer or employee of such person while engaged in the business of the named insured, or</w:t>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amount in excess of the limits stated in Subsection 1B of the APV4,</w:t>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direct loss or damage to an owned vehicle, or a customer's vehicle,</w:t>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liability arising out of indirect loss or damage to the customer's vehicle, including but not limited to loss of use, accelerated depreciation or consequential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litigation involves an interpretation of paragraph 2 of the garage policy dealing with loss or damage arising from the use or operation of a customer's vehicle. The policy defines "customer's vehicle"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"Customer's vehicle" means a vehicle owned by another or a camper owned by another,</w:t>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such vehicle is being towed or pushed by a vehicle driven by the named insured or his partner, officer or employee,</w:t>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in the care, custody or control of the insured in the business as stated on the APV4 for testing, repair, maintenance, servicing, storage or parking, or</w:t>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held for sale on consignment,</w:t>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Sections 44(1) and 45(1) of the Insurance (Motor Vehicle) Act and Sections 2 and 114 of the Regulation, a customer's vehicle includes a vehicle owned by another that is excluded from the Act and Regulation where the operation, possession or title to the excluded vehicle also complies with Clause (a), (b) and (c) of the definition of a customer's vehicle,</w:t>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only of this policy, a vehicle that is not owned by the insured shall be deemed to be a customer's vehicle where the insured may be or is vicariously liable to another, (excepting only the owner of the non-owned vehicle) because of the use or operation of such a non-owned vehicle by an agent or servant of the insured in the course of their employment by or agency for the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shall not include a vehicle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owned or leased by the named insured or his partner or officer,</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sold by the named insured but not delivered by him to the purchaser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ADDITIONAL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support of its position ICBC has filed four affidavits. ICBC seeks to introduce the affidavits to assist the court in determining the intent and reasonable expectations of the parties to the insurance contract. Not surprisingly, each of the affiants suggests the garage policy is not intended to apply once the vehicle has been returned to its owner. The general insurer objects to the admissibility of the affidavits. It submits that since the terms of the garage policy are prescribed pursuant to S. 150 of the Revised Regulation (1984) under the Insurance (Motor Vehicle) Act, </w:t>
      </w:r>
      <w:hyperlink r:id="rId93"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extrinsic evidence concerning intent and reasonable expectations is not relevant. It also suggests that such evidence would not be admissible unless the policy is found to be ambiguous. It says there is no ambiguity. See: Monenco Ltd. v. Commonwealth Insurance Co. </w:t>
      </w:r>
      <w:hyperlink r:id="rId1035" w:history="1">
        <w:r>
          <w:rPr>
            <w:rFonts w:ascii="arial" w:eastAsia="arial" w:hAnsi="arial" w:cs="arial"/>
            <w:i/>
            <w:color w:val="0077CC"/>
            <w:sz w:val="20"/>
            <w:u w:val="single"/>
            <w:shd w:val="clear" w:color="auto" w:fill="FFFFFF"/>
            <w:lang w:val="en-US" w:eastAsia="en-US" w:bidi="ar-SA"/>
          </w:rPr>
          <w:t>(1997), 42 B.C.L.R. (3d) 280</w:t>
        </w:r>
      </w:hyperlink>
      <w:r>
        <w:rPr>
          <w:rFonts w:ascii="arial" w:eastAsia="arial" w:hAnsi="arial" w:cs="arial"/>
          <w:color w:val="000000"/>
          <w:sz w:val="20"/>
          <w:lang w:val="en-US" w:eastAsia="en-US" w:bidi="ar-SA"/>
        </w:rPr>
        <w:t xml:space="preserve"> (S.C.); aff'd </w:t>
      </w:r>
      <w:hyperlink r:id="rId1036" w:history="1">
        <w:r>
          <w:rPr>
            <w:rFonts w:ascii="arial" w:eastAsia="arial" w:hAnsi="arial" w:cs="arial"/>
            <w:i/>
            <w:color w:val="0077CC"/>
            <w:sz w:val="20"/>
            <w:u w:val="single"/>
            <w:shd w:val="clear" w:color="auto" w:fill="FFFFFF"/>
            <w:lang w:val="en-US" w:eastAsia="en-US" w:bidi="ar-SA"/>
          </w:rPr>
          <w:t>[1999] B.C.J. No. 495</w:t>
        </w:r>
      </w:hyperlink>
      <w:r>
        <w:rPr>
          <w:rFonts w:ascii="arial" w:eastAsia="arial" w:hAnsi="arial" w:cs="arial"/>
          <w:color w:val="000000"/>
          <w:sz w:val="20"/>
          <w:lang w:val="en-US" w:eastAsia="en-US" w:bidi="ar-SA"/>
        </w:rPr>
        <w:t xml:space="preserve"> (C.A.); aff'd </w:t>
      </w:r>
      <w:hyperlink r:id="rId1037"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the course of Taylor J. in Monenco I ruled that I would hear the evidence and reserve my decision on its admissibility. Plaintiff's counsel then applied to cross-examine on the affidavits. For reasons given during the course of the hearing I rejected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BRENNAN DECISION</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noted in the introduction it is the position of the general insurer that I am bound by the decision in Brennan and that Brennan is determinative of this application. ICBC, on the other hand, says that Brennan was wrongly decided and for several reasons I am not bound to follow it. I intend to review Brennan in some detail. I will then, independently, give consideration as to whether the garage policy does apply in these circumstances. If I come to a conclusion contrary to that of the Court of Appeal in Brennan, I will consider next whether Brennan is binding upon me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Brennan arose in the context of a tort claim. Mrs. Brennan was injured in a motor vehicle accident when the Brennan vehicle was struck from the rear by a tractor trailer driven by the defendant Singh and owned by the defendant Marr Contractors Ltd. ("Marr"). Sometime prior to the motor vehicle accident the tractor had been repaired by the defendant Midtown Truck Services Inc. ("Midtown"). At the trial </w:t>
      </w:r>
      <w:hyperlink r:id="rId1038"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 the defendants admitted liability. It was agreed that Singh and Marr were 99% to blame while Midtown was 1% at fault. It was further agreed that Midtown was jointly and severely liable with Singh and Marr for the damages suffered by Mrs. Brennan.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Brennan suffered catastrophic injuries and was awarded some $6.5 million. Mrs. Brennan had received approximately one million dollars in no fault benefits from her mandatory Ontario motor vehicle liability insurer. The narrow issue for determination was whether the defendants were entitled to deduct the Ontario insurance benefits from the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Ruckheim v. Robinson </w:t>
      </w:r>
      <w:hyperlink r:id="rId1039" w:history="1">
        <w:r>
          <w:rPr>
            <w:rFonts w:ascii="arial" w:eastAsia="arial" w:hAnsi="arial" w:cs="arial"/>
            <w:i/>
            <w:color w:val="0077CC"/>
            <w:sz w:val="20"/>
            <w:u w:val="single"/>
            <w:shd w:val="clear" w:color="auto" w:fill="FFFFFF"/>
            <w:lang w:val="en-US" w:eastAsia="en-US" w:bidi="ar-SA"/>
          </w:rPr>
          <w:t>(1995), 1 B.C.L.R. (3d) 46</w:t>
        </w:r>
      </w:hyperlink>
      <w:r>
        <w:rPr>
          <w:rFonts w:ascii="arial" w:eastAsia="arial" w:hAnsi="arial" w:cs="arial"/>
          <w:color w:val="000000"/>
          <w:sz w:val="20"/>
          <w:lang w:val="en-US" w:eastAsia="en-US" w:bidi="ar-SA"/>
        </w:rPr>
        <w:t xml:space="preserve"> (C.A.) had decided that the deduction available under s. 25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was only available to parties insured by a policy of automobile insurance. Singh and Marr were so insured. At the material time Midtown had two insurance policies. The first was a policy issued by ICBC in terms identical to the garage policy at issue in this action ("the Midtown garage policy"). The second policy, issued by Liberty Mutual, was a comprehensive general liability policy that included liability arising from the use or operation of non-owned automobiles. The first issue considered was whether either of the insurance policies held by Midtown applied to the loss, and if they did apply, whether they constituted automobile insurance for the purposes of s. 25.</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matter came in the first instance before Mr. Justice Harvey. In his reasons which are reported at </w:t>
      </w:r>
      <w:hyperlink r:id="rId1040" w:history="1">
        <w:r>
          <w:rPr>
            <w:rFonts w:ascii="arial" w:eastAsia="arial" w:hAnsi="arial" w:cs="arial"/>
            <w:i/>
            <w:color w:val="0077CC"/>
            <w:sz w:val="20"/>
            <w:u w:val="single"/>
            <w:shd w:val="clear" w:color="auto" w:fill="FFFFFF"/>
            <w:lang w:val="en-US" w:eastAsia="en-US" w:bidi="ar-SA"/>
          </w:rPr>
          <w:t>(1999), 70 B.C.L.R. (3d) 342</w:t>
        </w:r>
      </w:hyperlink>
      <w:r>
        <w:rPr>
          <w:rFonts w:ascii="arial" w:eastAsia="arial" w:hAnsi="arial" w:cs="arial"/>
          <w:color w:val="000000"/>
          <w:sz w:val="20"/>
          <w:lang w:val="en-US" w:eastAsia="en-US" w:bidi="ar-SA"/>
        </w:rPr>
        <w:t>, he determined that the Midtown garage policy did not cover the loss in question. Mr. Justice Harvey, after reviewing the policy and the definition of "customer's vehicle" held at page 347: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Subsections (a) and (b) of this clause introduce a time limited element to the coverage. For this policy to be operative the vehicle must be under the control of the insured, or their designates. In the case at bar the vehicle had been returned to the customer and was no longer under the control of the insured. The ICBC policy, therefore, does not provide coverage for the effects of the negligent repair once the vehicle has been returned to the customer. As this policy does not cover any liability arising from Midtown's negligent repair, in my view, it cannot be considered a policy of automobile insurance allowing Midtown the benefit of s.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Justice Harvey then went on to consider the comprehensive general liability policy issued to Midtown by Liberty Mutual. He concluded, upon examination of that policy, that the negligent repair was covered by the comprehensive general liability policy, but not pursuant to the non-owned automobile insurance endorsement. As only the non-owned automobile endorsement could be considered a policy of automobile insurance, the finding of coverage under the comprehensive general liability policy did not attract the benefit of s.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Justice Harvey then gave consideration to whether a s. 25 deduction should, in any event, be made in circumstance when one tortfeasor was eligible for the deduction and the other was not. He held that when there is joint and several liability and one tortfeasor is insured by a policy of automobile insurance and the other tortfeasor is not so insured, that s. 25 should be interpreted so as to prevent the plaintiff obtaining double recovery and the automobile insurer being deprived of the s. 25 deduction. On this ground he held the benefits received from the Ontario policy should be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Justice Harvey then went on to consider a further alternative argument based on collateral benefits. He held that the principle enunciated by the Supreme Court of Canada in Cunningham v. Wheeler, </w:t>
      </w:r>
      <w:hyperlink r:id="rId108"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 applied and that Mrs. Brennan was not entitled to double recovery. Accordingly, on those two separate grounds, Mr. Justice Harvey held that Mrs. Brennan must account for the one million dollars in benefits she had received from her no fault insurer.</w:t>
      </w:r>
      <w:r>
        <w:rPr>
          <w:rFonts w:ascii="arial" w:eastAsia="arial" w:hAnsi="arial" w:cs="arial"/>
          <w:sz w:val="20"/>
          <w:lang w:val="en-US" w:eastAsia="en-US" w:bidi="ar-SA"/>
        </w:rPr>
        <w:cr/>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judgment was appealed. In the Court of Appeal written judgments were given by McEachern C.J.B.C. and Braidwood J.A. Prowse J.A. concurred in both judgments and Braidwood J.A. in his reasons indicated that he was in agreement with McEachern C.J.B.C. Both Braidwood J.A. and McEachern C.J.B.C. considered whether the Midtown garage policy covered the accident. For somewhat different reasons they both concluded that it did and to that extent they disagreed with the conclusions that had been reached in the court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Justice Braidwood disagreed with the trial judge's conclusion that the definition of "customer's vehicle" in the Midtown garage policy gave a temporal element to coverage, restricted to the time period that the vehicle was actually in the possession of Midtown. In his opinion, rather than creating a temporal element, the provision merely identified which vehicles were covered by the policy and which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Justice Braidwood further held that the repairs done by Midtown constituted the use or operation of a motor vehicle under the terms of the Midtown garage policy. He relied on the oft quoted statement by Justice Rand in Stevenson v. Reliance Petroleum, </w:t>
      </w:r>
      <w:hyperlink r:id="rId1041" w:history="1">
        <w:r>
          <w:rPr>
            <w:rFonts w:ascii="arial" w:eastAsia="arial" w:hAnsi="arial" w:cs="arial"/>
            <w:i/>
            <w:color w:val="0077CC"/>
            <w:sz w:val="20"/>
            <w:u w:val="single"/>
            <w:shd w:val="clear" w:color="auto" w:fill="FFFFFF"/>
            <w:lang w:val="en-US" w:eastAsia="en-US" w:bidi="ar-SA"/>
          </w:rPr>
          <w:t>[1956] S.C.R. 936</w:t>
        </w:r>
      </w:hyperlink>
      <w:r>
        <w:rPr>
          <w:rFonts w:ascii="arial" w:eastAsia="arial" w:hAnsi="arial" w:cs="arial"/>
          <w:color w:val="000000"/>
          <w:sz w:val="20"/>
          <w:lang w:val="en-US" w:eastAsia="en-US" w:bidi="ar-SA"/>
        </w:rPr>
        <w:t xml:space="preserve">, for the proposition that the expression "use or operation" covers the ordinary and well known activities to which automobiles are put. He then cited Gramak Ltd. v. State Farm Mutual Automobile Insurance </w:t>
      </w:r>
      <w:hyperlink r:id="rId1042" w:history="1">
        <w:r>
          <w:rPr>
            <w:rFonts w:ascii="arial" w:eastAsia="arial" w:hAnsi="arial" w:cs="arial"/>
            <w:i/>
            <w:color w:val="0077CC"/>
            <w:sz w:val="20"/>
            <w:u w:val="single"/>
            <w:shd w:val="clear" w:color="auto" w:fill="FFFFFF"/>
            <w:lang w:val="en-US" w:eastAsia="en-US" w:bidi="ar-SA"/>
          </w:rPr>
          <w:t>(1975), 63 D.L.R. (3d) 630</w:t>
        </w:r>
      </w:hyperlink>
      <w:r>
        <w:rPr>
          <w:rFonts w:ascii="arial" w:eastAsia="arial" w:hAnsi="arial" w:cs="arial"/>
          <w:color w:val="000000"/>
          <w:sz w:val="20"/>
          <w:lang w:val="en-US" w:eastAsia="en-US" w:bidi="ar-SA"/>
        </w:rPr>
        <w:t xml:space="preserve"> (Ont. H.C.) aff'd </w:t>
      </w:r>
      <w:r>
        <w:rPr>
          <w:rFonts w:ascii="arial" w:eastAsia="arial" w:hAnsi="arial" w:cs="arial"/>
          <w:i/>
          <w:color w:val="000000"/>
          <w:sz w:val="20"/>
          <w:lang w:val="en-US" w:eastAsia="en-US" w:bidi="ar-SA"/>
        </w:rPr>
        <w:t>(1976),12 O.R. (2d) 553</w:t>
      </w:r>
      <w:r>
        <w:rPr>
          <w:rFonts w:ascii="arial" w:eastAsia="arial" w:hAnsi="arial" w:cs="arial"/>
          <w:color w:val="000000"/>
          <w:sz w:val="20"/>
          <w:lang w:val="en-US" w:eastAsia="en-US" w:bidi="ar-SA"/>
        </w:rPr>
        <w:t xml:space="preserve">, Elias v. I.C.B.C. </w:t>
      </w:r>
      <w:hyperlink r:id="rId1043" w:history="1">
        <w:r>
          <w:rPr>
            <w:rFonts w:ascii="arial" w:eastAsia="arial" w:hAnsi="arial" w:cs="arial"/>
            <w:i/>
            <w:color w:val="0077CC"/>
            <w:sz w:val="20"/>
            <w:u w:val="single"/>
            <w:shd w:val="clear" w:color="auto" w:fill="FFFFFF"/>
            <w:lang w:val="en-US" w:eastAsia="en-US" w:bidi="ar-SA"/>
          </w:rPr>
          <w:t>(1992), 95 D.L.R. (4th) 303</w:t>
        </w:r>
      </w:hyperlink>
      <w:r>
        <w:rPr>
          <w:rFonts w:ascii="arial" w:eastAsia="arial" w:hAnsi="arial" w:cs="arial"/>
          <w:color w:val="000000"/>
          <w:sz w:val="20"/>
          <w:lang w:val="en-US" w:eastAsia="en-US" w:bidi="ar-SA"/>
        </w:rPr>
        <w:t xml:space="preserve"> (B.C.S.C.), Shelton v. I.C.B.C. </w:t>
      </w:r>
      <w:hyperlink r:id="rId1044" w:history="1">
        <w:r>
          <w:rPr>
            <w:rFonts w:ascii="arial" w:eastAsia="arial" w:hAnsi="arial" w:cs="arial"/>
            <w:i/>
            <w:color w:val="0077CC"/>
            <w:sz w:val="20"/>
            <w:u w:val="single"/>
            <w:shd w:val="clear" w:color="auto" w:fill="FFFFFF"/>
            <w:lang w:val="en-US" w:eastAsia="en-US" w:bidi="ar-SA"/>
          </w:rPr>
          <w:t>(1993), 103 D.L.R (4th) 283</w:t>
        </w:r>
      </w:hyperlink>
      <w:r>
        <w:rPr>
          <w:rFonts w:ascii="arial" w:eastAsia="arial" w:hAnsi="arial" w:cs="arial"/>
          <w:color w:val="000000"/>
          <w:sz w:val="20"/>
          <w:lang w:val="en-US" w:eastAsia="en-US" w:bidi="ar-SA"/>
        </w:rPr>
        <w:t xml:space="preserve"> (B.C.C.A) and Munro Estate v. Johnston </w:t>
      </w:r>
      <w:hyperlink r:id="rId1045" w:history="1">
        <w:r>
          <w:rPr>
            <w:rFonts w:ascii="arial" w:eastAsia="arial" w:hAnsi="arial" w:cs="arial"/>
            <w:i/>
            <w:color w:val="0077CC"/>
            <w:sz w:val="20"/>
            <w:u w:val="single"/>
            <w:shd w:val="clear" w:color="auto" w:fill="FFFFFF"/>
            <w:lang w:val="en-US" w:eastAsia="en-US" w:bidi="ar-SA"/>
          </w:rPr>
          <w:t>(1994),25 C.C.L.I. (2d) 34</w:t>
        </w:r>
      </w:hyperlink>
      <w:r>
        <w:rPr>
          <w:rFonts w:ascii="arial" w:eastAsia="arial" w:hAnsi="arial" w:cs="arial"/>
          <w:color w:val="000000"/>
          <w:sz w:val="20"/>
          <w:lang w:val="en-US" w:eastAsia="en-US" w:bidi="ar-SA"/>
        </w:rPr>
        <w:t xml:space="preserve"> (B.C.S.C.), to support the conclusion that maintenance and repairs fall within the meaning of "use or operation". He held that the decision in Czarnuch v. Devon Transport Ltd. </w:t>
      </w:r>
      <w:hyperlink r:id="rId1046" w:history="1">
        <w:r>
          <w:rPr>
            <w:rFonts w:ascii="arial" w:eastAsia="arial" w:hAnsi="arial" w:cs="arial"/>
            <w:i/>
            <w:color w:val="0077CC"/>
            <w:sz w:val="20"/>
            <w:u w:val="single"/>
            <w:shd w:val="clear" w:color="auto" w:fill="FFFFFF"/>
            <w:lang w:val="en-US" w:eastAsia="en-US" w:bidi="ar-SA"/>
          </w:rPr>
          <w:t>(1989), 34 B.C.L.R. (2d) 389</w:t>
        </w:r>
      </w:hyperlink>
      <w:r>
        <w:rPr>
          <w:rFonts w:ascii="arial" w:eastAsia="arial" w:hAnsi="arial" w:cs="arial"/>
          <w:color w:val="000000"/>
          <w:sz w:val="20"/>
          <w:lang w:val="en-US" w:eastAsia="en-US" w:bidi="ar-SA"/>
        </w:rPr>
        <w:t xml:space="preserve"> (C.A.) upon which the trial judge had relied was distinguishable due to the specific wordings of the insurance policy in that case. In the result he held that the Midtown garage policy was a policy of automobile insurance that applied to the loss with the result that Midtown was entitled to the s. 25 deduction.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McEachern C.J.B.C agreed with the conclusion of Mr. Justice Braidwood and provided some additional comments on the coverage provided by the two insurance policies carried by Midtown. In the course of his reasons he held that it could not be disputed on the authorities, particularly Stevenson, that repairing a vehicle constitutes a use or operation of that vehicle. In addition to the authorities cited by Braidwood J. A. he also relied on Strickland v. Miller, </w:t>
      </w:r>
      <w:hyperlink r:id="rId1047" w:history="1">
        <w:r>
          <w:rPr>
            <w:rFonts w:ascii="arial" w:eastAsia="arial" w:hAnsi="arial" w:cs="arial"/>
            <w:i/>
            <w:color w:val="0077CC"/>
            <w:sz w:val="20"/>
            <w:u w:val="single"/>
            <w:shd w:val="clear" w:color="auto" w:fill="FFFFFF"/>
            <w:lang w:val="en-US" w:eastAsia="en-US" w:bidi="ar-SA"/>
          </w:rPr>
          <w:t>[1998] I.L.R. I-3602</w:t>
        </w:r>
      </w:hyperlink>
      <w:r>
        <w:rPr>
          <w:rFonts w:ascii="arial" w:eastAsia="arial" w:hAnsi="arial" w:cs="arial"/>
          <w:color w:val="000000"/>
          <w:sz w:val="20"/>
          <w:lang w:val="en-US" w:eastAsia="en-US" w:bidi="ar-SA"/>
        </w:rPr>
        <w:t xml:space="preserve"> (Ont. C.J. Gen. Div.) and Kirkpatrick v. Budget Rent-a-Car of Victoria </w:t>
      </w:r>
      <w:hyperlink r:id="rId1048" w:history="1">
        <w:r>
          <w:rPr>
            <w:rFonts w:ascii="arial" w:eastAsia="arial" w:hAnsi="arial" w:cs="arial"/>
            <w:i/>
            <w:color w:val="0077CC"/>
            <w:sz w:val="20"/>
            <w:u w:val="single"/>
            <w:shd w:val="clear" w:color="auto" w:fill="FFFFFF"/>
            <w:lang w:val="en-US" w:eastAsia="en-US" w:bidi="ar-SA"/>
          </w:rPr>
          <w:t>(1998), 60 B.C.L.R. (3d) 14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did not agree with the trial judge's conclusion that coverage ended when the vehicle was returned to the owner. He held that Midtown's liability arose from negligent repairs performed when the vehicle was in its actual physical control. He held that it would take much stronger language than that found in the definition of "customer's vehicle" to exclude coverage once the vehicle was returned to the owner. Further, he noted that repairs are the business of the insured and the very reason that Midtown required insurance. He concluded that since repairing a vehicle constitutes "care, custody or control" of the vehicle the Midtown garage policy covered Midtown for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McEachern C.J.B.C. next considered the Mutual Liberty policy and held that the non-owned automobile endorsement did apply to the loss. In the course of his analysis he reviewed the Czarnuch decision and noted that it stands alone in excluding maintenance from the usual meaning given to "ownership, use or operation" in insurance litigation. He held that the highly technical construction given to the exclusion clause in Czarnuch should not be applied to exclude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McEachern C.J.B.C. then went on to note that he was in agreement with the views expressed by the trial judge that the private insurance exemption to the rule against double recovery could not be applied in a case such as this with the result that Mrs. Brennan would have to account for the no fault benefits she had received. He indicated he preferred to express no opinion on the part of the judgment which had allowed the deduction in circumstances where one defendant was insured by an automobile policy and the other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result, although the Court of Appeal disagreed with Mr. Justice Harvey's interpretation of the Midtown garage policy, his decision in regards to double recovery was upheld and the appeal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 REGARDING THE GARAGE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Paragraph 2 of the garage policy provides coverage for "loss or damage arising from the use or operation of a customer's vehicle." It is the position of ICBC that repairs carried out by a commercial repairer do not constitute "use or operation." It is the further submission of ICBC that in any event the policy does not cover claims which arise after the vehicle has been returned to its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USE OR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Amos v. ICBC, </w:t>
      </w:r>
      <w:hyperlink r:id="rId1049" w:history="1">
        <w:r>
          <w:rPr>
            <w:rFonts w:ascii="arial" w:eastAsia="arial" w:hAnsi="arial" w:cs="arial"/>
            <w:i/>
            <w:color w:val="0077CC"/>
            <w:sz w:val="20"/>
            <w:u w:val="single"/>
            <w:shd w:val="clear" w:color="auto" w:fill="FFFFFF"/>
            <w:lang w:val="en-US" w:eastAsia="en-US" w:bidi="ar-SA"/>
          </w:rPr>
          <w:t>[1995] 3 S.C.R. 405</w:t>
        </w:r>
      </w:hyperlink>
      <w:r>
        <w:rPr>
          <w:rFonts w:ascii="arial" w:eastAsia="arial" w:hAnsi="arial" w:cs="arial"/>
          <w:color w:val="000000"/>
          <w:sz w:val="20"/>
          <w:lang w:val="en-US" w:eastAsia="en-US" w:bidi="ar-SA"/>
        </w:rPr>
        <w:t xml:space="preserve"> at page 417 the Supreme Court of Canada confirmed the two part test to be applied in interpreting the phrase "use or operation." In that regard it must be determined:</w:t>
      </w:r>
      <w:r>
        <w:rPr>
          <w:rFonts w:ascii="arial" w:eastAsia="arial" w:hAnsi="arial" w:cs="arial"/>
          <w:sz w:val="20"/>
          <w:lang w:val="en-US" w:eastAsia="en-US" w:bidi="ar-SA"/>
        </w:rPr>
        <w:cr/>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 result from the ordinary and well-known activities to which automobiles are put? ("the purpose test");</w:t>
      </w:r>
    </w:p>
    <w:p>
      <w:pPr>
        <w:numPr>
          <w:numId w:val="3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some nexus or causal relationship (not necessarily a direct or approximate causal relationship) between the appellant's injuries and the ownership, use or operation of his vehicle, or is the connection between the injuries and the ownership, use or operation of the vehicle merely incidental or fortuitous? ("the causation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foundation of the purpose test is the decision in Stevenson. That case involved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of the insured, a company engaged in the distribution of oil and gas, which led to gasoline overflowing, igniting and destroying the premises. Mr. Justice Rand at page 941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expression "use or operation" would or should, in my opinion, convey to one reading it all accidents resulting from the ordinary and well known activities to which automobiles are put, all accidents which the common judgment in ordinary language would attribute to the utilization of an automobile as a means of different forms of accom-modation or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genesis of the causation test is Law Union and Rock Insurance Co. v. Moore's Taxi Ltd., </w:t>
      </w:r>
      <w:hyperlink r:id="rId1050" w:history="1">
        <w:r>
          <w:rPr>
            <w:rFonts w:ascii="arial" w:eastAsia="arial" w:hAnsi="arial" w:cs="arial"/>
            <w:i/>
            <w:color w:val="0077CC"/>
            <w:sz w:val="20"/>
            <w:u w:val="single"/>
            <w:shd w:val="clear" w:color="auto" w:fill="FFFFFF"/>
            <w:lang w:val="en-US" w:eastAsia="en-US" w:bidi="ar-SA"/>
          </w:rPr>
          <w:t>[1960] S.C.R. 80</w:t>
        </w:r>
      </w:hyperlink>
      <w:r>
        <w:rPr>
          <w:rFonts w:ascii="arial" w:eastAsia="arial" w:hAnsi="arial" w:cs="arial"/>
          <w:color w:val="000000"/>
          <w:sz w:val="20"/>
          <w:lang w:val="en-US" w:eastAsia="en-US" w:bidi="ar-SA"/>
        </w:rPr>
        <w:t>. In that case, the insured taxi company held a contract to transport mentally handicapped children to and from school. The drivers were to take the children directly to their homes from the school and not let any child out on the side of the street opposite his or her home. One of the drivers, in breach of that arrangement, stopped on the opposite side of the street. The child, while crossing the street alone, was hit by a truck and severely injured. The issue was whether the insured's liability arose out of the use or operation of a motor vehicle. Mr. Justice Ritchie at pp. 84-85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words "claims arising out of . . . the ownership, use or operation . . . of any motor vehicle" as used in this exclusion can only be construed as referring to claims based upon circumstances in which it is possible to trace a continuous chain of causation unbroken by the interposition of a new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stretching between the negligent use and operation of a motor vehicle on the one hand and the injuries sustained by the claimant on the other. In the present case the motor vehicle was stationary at the time of the accident and the chain of causation originating with its use was severed by the intervening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taxi driver whose failure to escort the boy across the street was the factor giving rise to the [insured']s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ICBC submits that Amos addressed no fault accident insurance and does not have general application to the present case. In support of that proposition they cite Derksen. I disagree. In Amos, as in the case at bar, the question was the meaning to be given to the phrase "use or operation" in the context of coverage. Derksen on the other hand was concerned with an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the contention of ICBC that in regards to the purpose test a distinction must be drawn between repairs performed by the insured or the insured's agent as part of the insured's use or operation of the vehicle, and repairs carried out by a commercial repairer to someone else's vehicle. ICBC distinguishes the various cases cited by the Court of Appeal in Brennan on the basis that those cases involved insureds or insured's agents doing work on the insured's vehicle. In many of the cases the accident giving rise to the loss occurred while repairs to the vehicle were being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ICBC attempts to further buttress its submissions by reference to Heredi. That case turns on proper interpretation to be given the Saskatchewan Highway Traffic Act,</w:t>
      </w:r>
      <w:hyperlink r:id="rId1051" w:history="1">
        <w:r>
          <w:rPr>
            <w:rFonts w:ascii="arial" w:eastAsia="arial" w:hAnsi="arial" w:cs="arial"/>
            <w:i/>
            <w:color w:val="0077CC"/>
            <w:sz w:val="20"/>
            <w:u w:val="single"/>
            <w:shd w:val="clear" w:color="auto" w:fill="FFFFFF"/>
            <w:lang w:val="en-US" w:eastAsia="en-US" w:bidi="ar-SA"/>
          </w:rPr>
          <w:t>S.S. 1986, c. H-3.1</w:t>
        </w:r>
      </w:hyperlink>
      <w:r>
        <w:rPr>
          <w:rFonts w:ascii="arial" w:eastAsia="arial" w:hAnsi="arial" w:cs="arial"/>
          <w:color w:val="000000"/>
          <w:sz w:val="20"/>
          <w:lang w:val="en-US" w:eastAsia="en-US" w:bidi="ar-SA"/>
        </w:rPr>
        <w:t xml:space="preserve"> and similar Acts in other Canadian jurisdictions that create short limitation periods for actions seeking the recovery of "damages occasioned by a motor vehicle." Although in the course of the reasons the phrase "use or operation" of a motor vehicle is mentioned, in my view the Fensom decision is clearly distinguishable and does not assist in determining the meaning to be given to the phrase "use or operation" in the context of an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decisions in Strickland and Kirkpatrick involve situations where the damage occurred as a result of negligent maintenance but at a time subsequent to the maintenance. Strickland is particularly relevant. In that case it was alleged that the accident was caused by a tire which had been negligently installed, coming off a moving vehicle. Taliano J. held, at para. 30,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of no moment that the accident was not contemporaneous with Miller's "use", i.e. the negligent repair, of the vehicle. It was the alleged improper installation of the tire which posed a risk to the other motorist using the highway. The dislodgment of the tire from the vehicle and its consequent collision with Strickland's vehicle were alleged to be direct results of Miller's negligent repair work. That the consequences of Miller's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manifest or arise while he was in the process of working on repairing the vehicle does not change the cause - effect equation established by the pleadings. It is in the nature of a repair that its faulty performance becomes apparent only when the vehicle is later required to function under normal circum-stances. A mechanic sued for negligent repair would not be any less responsible because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became apparent only after some interval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do not believe that the fact that the insureds in the case at bar are commercial repairers limits or alters the meaning to be given to the phrase "use or operation". I do not accept the distinction that ICBC wishes to draw between repairs carried out by individuals and those carried out by commercial repairers. The phrase "use or operation" in the insuring agreements issued by ICBC should not be given a different meaning depending upon the party to whom the policy is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that repairs constitute a use of the vehicle. As previously noted, numerous authorities have so held. The sole exception appears to be the decision in Czarnuch. That case has been distinguished and not followed in a number of trial and appellate decisions including Elias, Munro Estates, Shelton, and Brennan. As the wording of the garage policy is different from the wording of the policy in Czarnuch, I find Czarnuch to be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the above reasons the claim meets the purpose test. I am also satisfied that the claim meets the causation test. In the agreed statement of facts it is acknowledged that accidents were caused by the negligent repairs performed by the insureds. There was no intervening act, independent of the repairs that broke the chain of causation. In the result the claims brought in this case are captured by paragraph 2 of the basic insurance agreement subject to the submissions on the definition of "customer's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CUSTOMER'S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relation to the definition of customer's vehicle the issue is whether or not the vehicle must still be in the care, custody and control of the garage at the time that the loss or damage occurs. By definition a customer's vehicle is a vehicle owned by another</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vehicle is being towed or pushed by a vehicle driven by the named insured.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in the care, custody or control of the insured for testing, repair, maintenance servicing, storage or parking.</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held on consignment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the position of ICBC that the word "while" introduces a temporal element to the coverage. In addition to the use of the word in the definition of "customer's vehicle" ICBC in support of its submissions points to other provisions of the policy where "while" appears. In the definition of "additional insured" on three separate occasions is found the phrase "while personally driving." In Paragraph 3 of the general provisions of the policy appears the phrases "while so engaged", "while an occupant", "while engaged in the use or operation" and "while working upon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ICBC says the use of the word "while" in the other locations of the policy clearly introduces a time element to the coverage. It says the term should be given a similar meaning in relation to the definition of customer's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ICBC submits that the dictionary definition of while is "during the time that". It says if that definition is substituted into the insuring agreement one gets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or damage arising from the use or operation of a vehicle owned by another during the time that it is in the care, custody or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ICBC submits that the interpretation proposed in Brennan requires the addition of the phrase "and loss or damage arising from the use or operation of a vehicle after it has left the care, custody or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general insurer submits the proper sense of the insuring agreement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indemnify the insured in accordance with Regulation Part 6 for third party legal liability imposed by law upon the insured for loss or damage arising from the "repair" (use or operation) of a (customer's vehicle) "vehicle owned by another...while in the care custody or control of the insured in the business stated on the APV for testing, repair, maintenance, servicing, storage or parking;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I agree that the word "while" introduces a temporal element in my opinion the temporal element is in reference to the time of use of the vehicle not the time when the loss or damage may occur. The policy does not limit claims to damages which occur while the automobile remains in custody of the garage operator. The policy covers all claims which arise from the use of the vehicle. As noted in Strickland, and as demonstrated by the facts of the cases at bar, negligent repairs will often not manifest themselves until sometime after they have been carried out. In my opinion this policy is not limited to covering losses which occur while the vehicle is in the care of the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should note that I have not overlooked ICBC's submission that the garage policy is meant to be complimentary to the exclusion clause for the owner's certificate for the customer vehicle as set out in s. 57 of the Revised Regulation(1984) under the Insurance (Motor Vehicle) Act, </w:t>
      </w:r>
      <w:hyperlink r:id="rId93"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as amended. In this regard ICBC suggests that the interpretation in Brennan renders the priority provisions in s. 57(2) and 150(6)of the Regulation meaningless. ICBC notes that these sections were not brought to the attention of the Court of Appeal in Brennan and raises these sections as a ground for submitting that Brennan was decided per incuriam.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do not agree. Those sections of the Regulations are directed to the question of priorities if an accident occurs while the vehicle remains in the care of the garage. As the garage would be in possession of the vehicle with the consent of the owner, the question of priorities between the garage policy and the owner certificate is of importance because the owner in such circumstances may potentially be liable to injured third parties pursuant to s. 86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That will not be the situation in the case of a negligent repair carried out by a garage operator that manifest itself sometime after the vehicle has been returned to its owner. In those circumstances the claim would be against the garage operator alone and the question of priority of insurance policies would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result, albeit for somewhat different reasons, I have come to the same conclusion as the Court of Appeal in Brennan. I hold that the garage policy applies, even though the claim arose after the vehicle had left the custody of the garage operator. Accordingly, I need not give any further consideration to whether the reasoning in Brennan is incorrect, obiter or per incuriam. I have considered the Supreme Court decisions in Derksen and Fensom and I am satisfied that they do not lead me to a contrary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general insurer sought a declaration that the insureds were entitled to coverage under the garage policy with respect to the claims arising from the motor vehicle accidents set out in the agreed statement of facts and a further declaration that ICBC was obligated to contribute 50% of the costs incurred by the general insurer in defending and indemnifying the insureds with respect to those claims. The general insurer also sought an order that ICBC pay 50% of the costs of defending and indemnifying insureds in an amount to be determined plus court order interest together with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its defence to the action ICBC had pled that the general insurer had brought the action after the expiry of the limitation period. It led no evidence on the Rule 18A application to support such a defence. Further, as pointed out by counsel for the plaintiff, the general insurer's claim is for equitable contribution and the limitation period for such a claim is six years. I find the limitation defence to be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Accordingly, I grant the declarations and orders sought sought by the plaintiff. The plaintiff is entitled to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For completeness, I should further add that in my view the garage policy is not ambiguous and accordingly I have not relied on the challenged affidavits introduced by ICBC in coming to my conclusions as to the interpretation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3"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52"/>
          <w:headerReference w:type="default" r:id="rId1053"/>
          <w:footerReference w:type="even" r:id="rId1054"/>
          <w:footerReference w:type="default" r:id="rId1055"/>
          <w:headerReference w:type="first" r:id="rId1056"/>
          <w:footerReference w:type="first" r:id="rId10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8" w:history="1">
        <w:r>
          <w:rPr>
            <w:rFonts w:ascii="arial" w:eastAsia="arial" w:hAnsi="arial" w:cs="arial"/>
            <w:b/>
            <w:bCs/>
            <w:i/>
            <w:color w:val="0077CC"/>
            <w:kern w:val="32"/>
            <w:sz w:val="28"/>
            <w:szCs w:val="32"/>
            <w:u w:val="single"/>
            <w:shd w:val="clear" w:color="auto" w:fill="FFFFFF"/>
            <w:lang w:val="en-US" w:eastAsia="en-US" w:bidi="ar-SA"/>
          </w:rPr>
          <w:t>Clower v. Poeckert, [2007] B.C.J. No. 616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Nos. S85390 and S84154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616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409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C.P.C. (6th) 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650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Wendy Clower, Plaintiff, and Roland Henry Poeckert and others, Defendants (Registry No. S85390 And between John Thomas Sexton and Mary Elizabeth Sexton, Plaintiffs, and Roland Henry Poeckert and others, Defendants (Registry No. S84154)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4"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0" w:name="Keywords_45"/>
      <w:bookmarkEnd w:id="310"/>
      <w:r>
        <w:rPr>
          <w:rFonts w:ascii="arial" w:eastAsia="arial" w:hAnsi="arial" w:cs="arial"/>
          <w:b/>
          <w:color w:val="000000"/>
          <w:sz w:val="20"/>
          <w:lang w:val="en-US" w:eastAsia="en-US" w:bidi="ar-SA"/>
        </w:rPr>
        <w:t>Civil procedure — Trials — Juries — Setting aside jury notice — The jury notice was set aside in both actions for damages for injuries sustained in a motor vehicle accident, as the issues in the case required a scientific investigation which could not be conveniently made with a jury; the issues themselves were intricate and complex and could not be appropriately tried and determined by a jury.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The jury notice was set aside in both actions for damages for injuries sustained in a motor vehicle accident, as the issues in the case required a scientific investigation which could not be conveniently made with a jury; the issues themselves were intricate and complex and could not be appropriately tried and determined by a jury.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1" w:name="Case Summary_42"/>
            <w:bookmarkEnd w:id="3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in both actions, who had previously served notices requiring their actions to be heard by a judge and jury, applied to have the trials heard without a jury on the grounds that the issues required a scientific investigation which could not be made conveniently with a jury and/or the issues were of an intricate or complex character -- Both actions arose out of a motor vehicle accident in the Bahamas, with the defence on liability being that the plaintiffs were not wearing seatbelts, even though the vehicle in question had none installed -- HELD: The jury notice was set aside -- The issues in the case required a scientific investigation which could not be conveniently made with a jury; the issues themselves were intricate and complex and could not be appropriately tried and determined by a jury -- Each of the three claims would involve a consideration of the pre-accident conditions of each of the plaintiffs and how their pre-accident conditions had affected their post-accident conditions, if at all -- The sheer volume of medical information was daunting -- There was a risk the jury would become confused as the evidence was being given, and cross-examined on, as to which plaintiff the evidence applied.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2" w:name="Legislation Cited_34"/>
      <w:bookmarkEnd w:id="3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5"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B.C. Reg. 221/90, Rule 39(27)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3" w:name="Counsel_48"/>
      <w:bookmarkEnd w:id="31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6"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W. Clower, J.T. and M.E. Sexton: J. Prodor.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 Holburn, Q.C., C. Fong.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4" w:name="Judgment_48"/>
      <w:bookmarkEnd w:id="314"/>
      <w:r>
        <w:pict>
          <v:line id="_x0000_s1257" style="position:absolute;z-index:2518589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5" w:name="TRUSCOTT J."/>
            <w:bookmarkEnd w:id="315"/>
            <w:r>
              <w:rPr>
                <w:rFonts w:ascii="arial" w:eastAsia="arial" w:hAnsi="arial" w:cs="arial"/>
                <w:b/>
                <w:color w:val="000000"/>
                <w:sz w:val="30"/>
                <w:lang w:val="en-US" w:eastAsia="en-US" w:bidi="ar-SA"/>
              </w:rPr>
              <w:t>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two actions are set for trial for 20 days commencing on April 23, 2007. By consent order of the court they are to be tried at the same time as the trial judge may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both actions the plaintiffs served notices requiring their actions to be heard by a judge and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in both actions now apply to have the trial or trials of these actions heard by the court without a jury on the grounds that the issues require a scientific investigation which cannot be made conveniently with a jury and/or the issues are of an intricate or complex character that would not be appropriate to be tried by a jury, both as authorized by Rule 39(27)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do not rely upon that portion of Rule 39(27) that also authorizes such an application where the issues require prolonged examination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Nichols v. Gray</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(C.A.), Lambert J.A. directed that where the issues require a prolonged examination of documents or accounts or a scientific or local investigation, the court's discretion must be exercised in relation to the question of whether the examination or investigation can be made conveniently with a jury, while where the finding is that the issues are of an intricate or complex character, the court has a wider discretion as to whether the trial should be heard by a judge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These two actions arise out of a motor vehicle accident that occurred on Grand Bahama Island on March 17, 2002 when it is alleged that the vehicle in which all three plaintiffs were riding as rear seat passengers was hit head on by a vehicle driven by Mr. Poeckert on the wrong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defence on liability is that the plaintiffs were contributorily negligent in not wearing seatbelts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am told that the law of the Bahamas does not require the installation of seatbelts in vehicles and that this vehicle in which the plaintiffs were passengers had no seatbelts installed. Nevertheless the defendants submit that the plaintiffs can still be found contributorily negligent for their own safety in riding in a vehicle where there were no seatbelts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Plaintiffs' counsel says that regardless of this argument, the defendants have to date served no opinion that the use of seatbelts by any of the three plaintiffs would have made any difference to their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injuries alleged by Ms Clower in her Amended Amended Statement of Claim are as follows:</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consequence of the matters aforesaid, the Plaintiff sustained severe personal injury, particulars of which are as follows: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comminuted spiral fracture of both bones of the forearm, requiring open reduction and plating.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 of pelvis.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cosmetic scarring of the legs.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Decelleration injuries to the connective tissues of the cervical, thoracic and lumbar spine, with radiating neurological deficit into the lower limbs, with lumbar disc herniation.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traumatic stress, anxiety, depression, psychological injury, impaired memory, concentration.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traumatic headaches.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Insomnia.</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suffering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as Counsel may advise.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LOSS OF EARNING CAPACITY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consequence of the matters aforesaid, the Plaintiff has sustained a loss of earning capacity, past and future, a loss of opportunity to earn, a loss of competitive advantage and a loss of a chance of an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injuries alleged by Dr. and Mrs. Sexton in their Amended Statement of Claim are as follows:</w:t>
      </w:r>
      <w:r>
        <w:rPr>
          <w:rFonts w:ascii="arial" w:eastAsia="arial" w:hAnsi="arial" w:cs="arial"/>
          <w:sz w:val="20"/>
          <w:lang w:val="en-US" w:eastAsia="en-US" w:bidi="ar-SA"/>
        </w:rPr>
        <w:cr/>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consequence of the matters aforesaid, the Plaintiff JOHN, sustained severe personal injury, PARTICULARS OF WHICH ARE AS FOLLOWS: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Deceleration injury to the connective tissues, muscles and ligaments of the cervical, thoracic and lumbar spinal area, with muscle spasm;</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avulsion fracture of the C-4 vertebra with disc herniation;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Trauma to the head, including a laceration of the left forehead area, requiring sutures;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anxiety, depression, psychological injury, impaired memory and concentration;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amnesia;</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headaches;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Insomnia;</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bruises and abrasions;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suffering;</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as Counsel may advise.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consequence of the matters aforesaid, the Plaintiff, MARY, sustained severe personal injury, PARTICULARS OF WHICH ARE AS FOLLOWS: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Closed skull injury, loss of consciousness, concussion, brain damage;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anxiety, depression, psychological injury, impaired memory and concentration;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amnesia;</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facial trauma including a fracture of the oracle and sphenoid bones;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Deceleration injury to the connective tissues, muscles and ligaments of the cervical, thoracic and lumbar spinal area, with muscle spasm;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pain syndrome;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headaches;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Nausea;</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Numbness in the left buttock with pain radiating down the left leg;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Trauma to the left leg and foot;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Facial swelling;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Nasal leakage;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bruises and abrasions;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suffering;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as Counsel may advise.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consequence of the matters aforesaid, the Plaintiffs have sustained a loss of earning capacity, past and future, a loss of opportunity to earn, a loss of competitive advantage and a loss of a chance of an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Defence counsel says that to date the parties have served 58 expert reports by 21 experts in fields that include internal medicine, radiology, orthopaedic surgery, rheumatology, neurology, neuropsychology, neurological surgery, accounting and economics. Each of the expert witnesses bases his or her opinion on factual assumptions and the trier of fact will have to compare those factual assumptions with the actual facts proven and then determine the weight which should be given to the various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Defence counsel also says that many of the expert reports will be the subject of objections at trial as to their admissibility in whole or in part and this will require numerous </w:t>
      </w:r>
      <w:r>
        <w:rPr>
          <w:rFonts w:ascii="arial" w:eastAsia="arial" w:hAnsi="arial" w:cs="arial"/>
          <w:i/>
          <w:color w:val="000000"/>
          <w:sz w:val="20"/>
          <w:lang w:val="en-US" w:eastAsia="en-US" w:bidi="ar-SA"/>
        </w:rPr>
        <w:t>voir dires</w:t>
      </w:r>
      <w:r>
        <w:rPr>
          <w:rFonts w:ascii="arial" w:eastAsia="arial" w:hAnsi="arial" w:cs="arial"/>
          <w:color w:val="000000"/>
          <w:sz w:val="20"/>
          <w:lang w:val="en-US" w:eastAsia="en-US" w:bidi="ar-SA"/>
        </w:rPr>
        <w:t xml:space="preserve"> to take place in the absence of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principles to apply on such an application to strike a jury notice are now well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plaintiffs have a presumptive right to have their claims determined by a jury save where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specifically direct that certain proceedings be heard by trial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have the onus of proving that the issues require a scientific investigation that cannot be made conveniently with a jury and/or are of an intricate or complex character such that they should not be heard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MacPherson v. Czaban</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2002 BCCA 518</w:t>
        </w:r>
      </w:hyperlink>
      <w:r>
        <w:rPr>
          <w:rFonts w:ascii="arial" w:eastAsia="arial" w:hAnsi="arial" w:cs="arial"/>
          <w:color w:val="000000"/>
          <w:sz w:val="20"/>
          <w:lang w:val="en-US" w:eastAsia="en-US" w:bidi="ar-SA"/>
        </w:rPr>
        <w:t>, Mackenzie J.A. had this to say at [paragraph]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will undoubtedly be some variation in the opinion of judges as to the capacity of a jury on particular applications but that is inherent in discretionary orders. However, judges should keep in mind that a jury trial in a personal injury case is a presumptive right, and it is only where the judge is satisfied, under the Rule 39(27)(a) criteria, that the issues cannot be tried fairly by a jury that the jury notice should be struck. The onus of persuasion is on the applicant and the jurisprudence over the years makes it clear that the onus is not easily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a matter of law a conflict of expert medical opinions meets the requirement of a scientific investigation within the meaning of the rule (</w:t>
      </w:r>
      <w:r>
        <w:rPr>
          <w:rFonts w:ascii="arial" w:eastAsia="arial" w:hAnsi="arial" w:cs="arial"/>
          <w:b/>
          <w:i/>
          <w:color w:val="000000"/>
          <w:sz w:val="20"/>
          <w:lang w:val="en-US" w:eastAsia="en-US" w:bidi="ar-SA"/>
        </w:rPr>
        <w:t>Sadowick v. Doobay</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[1982] B.C.J. No. 447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to the requirement in Rule 39(27)(a) that the court be satisfied that the scientific investigation cannot be made conveniently with a jury, McEachern C.J.S.C. (as he then was) in </w:t>
      </w:r>
      <w:r>
        <w:rPr>
          <w:rFonts w:ascii="arial" w:eastAsia="arial" w:hAnsi="arial" w:cs="arial"/>
          <w:b/>
          <w:i/>
          <w:color w:val="000000"/>
          <w:sz w:val="20"/>
          <w:lang w:val="en-US" w:eastAsia="en-US" w:bidi="ar-SA"/>
        </w:rPr>
        <w:t>Wipfli v. Britten</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(1981), 32 B.C.L.R. 343</w:t>
        </w:r>
      </w:hyperlink>
      <w:r>
        <w:rPr>
          <w:rFonts w:ascii="arial" w:eastAsia="arial" w:hAnsi="arial" w:cs="arial"/>
          <w:color w:val="000000"/>
          <w:sz w:val="20"/>
          <w:lang w:val="en-US" w:eastAsia="en-US" w:bidi="ar-SA"/>
        </w:rPr>
        <w:t xml:space="preserve"> (S.C.) at 347,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Convenience, in the sense in which that word is used in the rule, does not depend solely upon whether or not the jury can be made to understand the evidence ... what is required before it is convenient to have a scientific investigation made with a jury is the ability to have a proper trial, which includes not just an understanding of the evidence as it is being given, but also an ability to retain this understanding throughout a long trial in a form which permits an analysis of the evidence in relation to the difficult questions which must be decided at the end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that case where the trial was expected to take 25 days or thereabouts, he referred to the jury having to sit silent for many days of scientific evidence and then hear submissions pro and con from counsel with practically no opportunity for the jury to take part in the trial itself. In the circumstances there he said that the case cried out for unhurried and thoughtful consideration with the weighing of alternatives and an opportunity to reflect upon alternatives. The parties were entitled to have the case considered and reconsidered before a final decision was irrevocably announced.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Here defence counsel relies upon all of these comments in its application to strike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Ms Clower's claim the defendants say that the expert evidence is in conflict on several issues including 1) the extent to which any current physical problems affecting her are attributable to medical conditions which pre-existed the accident and 2) the extent to which any current physical problems affecting her impair her functioning and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trier of fact will have to quantify her damages including her claim for loss of income earning capacity and past and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issue of liability the trier of fact will have to determine whether she was contributorily negligent in failing to ensure that she travelled in a vehicle equipped with proper seatbelt restraints.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the claims of Dr. Sexton and Mrs. Sexton, defence counsel says that the expert evidence is in conflict on the issues of 1) whether or not Mrs. Sexton and Dr. Sexton sustained traumatic brain injuries in the accident which have left them with any cognitive deficits; 2) the extent to which any current physical problems or cognitive deficits affecting either of them are attributable to medical conditions which pre-existed the accident; 3) whether any current physical problems or cognitive deficits affecting either of them impair their functioning and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in the case of Ms Clower the trier of fact will have to assess their claims for general damages, loss of income earning capacity and cost of past and future care and consider their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ensure they travelled in a vehicle equipped with proper seatbelt restraints.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Defence counsel focuses in his submissions on what he says are significant conflicts in the expert opinions on whether or not Dr. Sexton and Mrs. Sexton sustained brain injuries in the accident causing ongoing cognitive, emotional, behavioural and psychological problems. Reference is made to numerous neuropsychological tests conducted on both by doctors acting for them and doctors acting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submission of defence counsel it will be necessary to have a comprehensive understanding of the medical examinations, investigations and specifically neuropsychological assessments undertaken and their results compared with what the plaintiffs allege to be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Defence counsel submits that there is a discrepancy in the conclusions to be drawn from the multitude of neuropsychological tests administered to Dr. Sexton and Mrs. Sexton and as such it will be necessary to address the methodology of those assessments including the rationale behind the tests and sub-tests, in order to attempt to understand the significance of one result versus another and their conclusions which have been drawn from the varying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submitted that inherent in the analysis of the scientific medical evidence in this case will be the necessity for the trier of fact to understand the evidence in relation to the time line which is established, before or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Defence counsel says there will also be a significant dispute between the parties concerning the amount of earnings which each plaintiff would have earned but for their injuries and is capable of earning in the future and there is a dispute on the method of calculation between the experts regarding the application of the probalistic approach to the issue of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Defence counsel cites cases involving head injury claims and psychological allegations where it was determined that the jury notice should be set aside, and submits that these cases should guide me in exercising my discretion to set aside the jury notice. The cases are: </w:t>
      </w:r>
      <w:r>
        <w:rPr>
          <w:rFonts w:ascii="arial" w:eastAsia="arial" w:hAnsi="arial" w:cs="arial"/>
          <w:b/>
          <w:i/>
          <w:color w:val="000000"/>
          <w:sz w:val="20"/>
          <w:lang w:val="en-US" w:eastAsia="en-US" w:bidi="ar-SA"/>
        </w:rPr>
        <w:t>Patterson v. Rankel</w:t>
      </w:r>
      <w:r>
        <w:rPr>
          <w:rFonts w:ascii="arial" w:eastAsia="arial" w:hAnsi="arial" w:cs="arial"/>
          <w:color w:val="000000"/>
          <w:sz w:val="20"/>
          <w:lang w:val="en-US" w:eastAsia="en-US" w:bidi="ar-SA"/>
        </w:rPr>
        <w:t xml:space="preserve">, </w:t>
      </w:r>
      <w:hyperlink r:id="rId1063" w:history="1">
        <w:r>
          <w:rPr>
            <w:rFonts w:ascii="arial" w:eastAsia="arial" w:hAnsi="arial" w:cs="arial"/>
            <w:i/>
            <w:color w:val="0077CC"/>
            <w:sz w:val="20"/>
            <w:u w:val="single"/>
            <w:shd w:val="clear" w:color="auto" w:fill="FFFFFF"/>
            <w:lang w:val="en-US" w:eastAsia="en-US" w:bidi="ar-SA"/>
          </w:rPr>
          <w:t>2001 BCSC 952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MacPherson v. Czaban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Cochrane v. Insurance Corp. of British Columbia</w:t>
      </w:r>
      <w:r>
        <w:rPr>
          <w:rFonts w:ascii="arial" w:eastAsia="arial" w:hAnsi="arial" w:cs="arial"/>
          <w:color w:val="000000"/>
          <w:sz w:val="20"/>
          <w:lang w:val="en-US" w:eastAsia="en-US" w:bidi="ar-SA"/>
        </w:rPr>
        <w:t xml:space="preserve">, </w:t>
      </w:r>
      <w:hyperlink r:id="rId1064" w:history="1">
        <w:r>
          <w:rPr>
            <w:rFonts w:ascii="arial" w:eastAsia="arial" w:hAnsi="arial" w:cs="arial"/>
            <w:i/>
            <w:color w:val="0077CC"/>
            <w:sz w:val="20"/>
            <w:u w:val="single"/>
            <w:shd w:val="clear" w:color="auto" w:fill="FFFFFF"/>
            <w:lang w:val="en-US" w:eastAsia="en-US" w:bidi="ar-SA"/>
          </w:rPr>
          <w:t>2005 BCCA 399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other hand plaintiffs' counsel submits this case is nothing more than a garden variety motor vehicle damage assessment case that juries hear all the time. Even though liability is technically in issue, in his view it is not too difficult a question for the jury to determine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He submits that the references by defence counsel to all the expert reports is an attempt to "throw an atmosphere of mystery and difficulty" into the case, referring to the comments of Esson J. in </w:t>
      </w:r>
      <w:r>
        <w:rPr>
          <w:rFonts w:ascii="arial" w:eastAsia="arial" w:hAnsi="arial" w:cs="arial"/>
          <w:b/>
          <w:i/>
          <w:color w:val="000000"/>
          <w:sz w:val="20"/>
          <w:lang w:val="en-US" w:eastAsia="en-US" w:bidi="ar-SA"/>
        </w:rPr>
        <w:t>Sadowick v. Doobay</w:t>
      </w:r>
      <w:r>
        <w:rPr>
          <w:rFonts w:ascii="arial" w:eastAsia="arial" w:hAnsi="arial" w:cs="arial"/>
          <w:color w:val="000000"/>
          <w:sz w:val="20"/>
          <w:lang w:val="en-US" w:eastAsia="en-US" w:bidi="ar-SA"/>
        </w:rPr>
        <w:t xml:space="preserve"> where he quoted from an earlier reported case where it was said: "Of course all these questions are susceptible of being made intricate by one counsel or the other, or one party or the other may call a cloud of expert witnesses and throw an atmosphere of mystery and difficulty about a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He cites cases of brain injury allegations where the issues and evidence were found to be intricate and complex, but the conclusion reached that they were not too intricate and complex for a jury and could be conveniently tried before a jury with the assistance of the experts themselves, counsel and the court. These cases are </w:t>
      </w:r>
      <w:r>
        <w:rPr>
          <w:rFonts w:ascii="arial" w:eastAsia="arial" w:hAnsi="arial" w:cs="arial"/>
          <w:b/>
          <w:i/>
          <w:color w:val="000000"/>
          <w:sz w:val="20"/>
          <w:lang w:val="en-US" w:eastAsia="en-US" w:bidi="ar-SA"/>
        </w:rPr>
        <w:t>Jennings Estate v. Gibson</w:t>
      </w:r>
      <w:r>
        <w:rPr>
          <w:rFonts w:ascii="arial" w:eastAsia="arial" w:hAnsi="arial" w:cs="arial"/>
          <w:color w:val="000000"/>
          <w:sz w:val="20"/>
          <w:lang w:val="en-US" w:eastAsia="en-US" w:bidi="ar-SA"/>
        </w:rPr>
        <w:t xml:space="preserve">, </w:t>
      </w:r>
      <w:hyperlink r:id="rId1065" w:history="1">
        <w:r>
          <w:rPr>
            <w:rFonts w:ascii="arial" w:eastAsia="arial" w:hAnsi="arial" w:cs="arial"/>
            <w:i/>
            <w:color w:val="0077CC"/>
            <w:sz w:val="20"/>
            <w:u w:val="single"/>
            <w:shd w:val="clear" w:color="auto" w:fill="FFFFFF"/>
            <w:lang w:val="en-US" w:eastAsia="en-US" w:bidi="ar-SA"/>
          </w:rPr>
          <w:t>[1992] B.C.J. No. 1822</w:t>
        </w:r>
      </w:hyperlink>
      <w:r>
        <w:rPr>
          <w:rFonts w:ascii="arial" w:eastAsia="arial" w:hAnsi="arial" w:cs="arial"/>
          <w:color w:val="000000"/>
          <w:sz w:val="20"/>
          <w:lang w:val="en-US" w:eastAsia="en-US" w:bidi="ar-SA"/>
        </w:rPr>
        <w:t xml:space="preserve">, [1992] B.C.W.L.D. No. 2016 (S.C.); </w:t>
      </w:r>
      <w:r>
        <w:rPr>
          <w:rFonts w:ascii="arial" w:eastAsia="arial" w:hAnsi="arial" w:cs="arial"/>
          <w:b/>
          <w:i/>
          <w:color w:val="000000"/>
          <w:sz w:val="20"/>
          <w:lang w:val="en-US" w:eastAsia="en-US" w:bidi="ar-SA"/>
        </w:rPr>
        <w:t>Penner v. Hugill</w:t>
      </w:r>
      <w:r>
        <w:rPr>
          <w:rFonts w:ascii="arial" w:eastAsia="arial" w:hAnsi="arial" w:cs="arial"/>
          <w:color w:val="000000"/>
          <w:sz w:val="20"/>
          <w:lang w:val="en-US" w:eastAsia="en-US" w:bidi="ar-SA"/>
        </w:rPr>
        <w:t xml:space="preserve"> (1992), 12 C.P.C. (3d) 99 (B.C.S.C.); </w:t>
      </w:r>
      <w:r>
        <w:rPr>
          <w:rFonts w:ascii="arial" w:eastAsia="arial" w:hAnsi="arial" w:cs="arial"/>
          <w:b/>
          <w:i/>
          <w:color w:val="000000"/>
          <w:sz w:val="20"/>
          <w:lang w:val="en-US" w:eastAsia="en-US" w:bidi="ar-SA"/>
        </w:rPr>
        <w:t>McBeth v. Boldt</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[1995] B.C.J. No. 2645</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Sallis v. Vancouver General Hospital</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[1996] B.C.J. No. 758</w:t>
        </w:r>
      </w:hyperlink>
      <w:r>
        <w:rPr>
          <w:rFonts w:ascii="arial" w:eastAsia="arial" w:hAnsi="arial" w:cs="arial"/>
          <w:color w:val="000000"/>
          <w:sz w:val="20"/>
          <w:lang w:val="en-US" w:eastAsia="en-US" w:bidi="ar-SA"/>
        </w:rPr>
        <w:t xml:space="preserve"> (Master); </w:t>
      </w:r>
      <w:r>
        <w:rPr>
          <w:rFonts w:ascii="arial" w:eastAsia="arial" w:hAnsi="arial" w:cs="arial"/>
          <w:b/>
          <w:i/>
          <w:color w:val="000000"/>
          <w:sz w:val="20"/>
          <w:lang w:val="en-US" w:eastAsia="en-US" w:bidi="ar-SA"/>
        </w:rPr>
        <w:t>Renaerts (Guardian ad litem) v. Korn</w:t>
      </w:r>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[1998] B.C.J. No. 999</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Weinlich v. Campbell</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2006 BCSC 892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have read and considered all of the medical and other expert reports that are part of the Chambers Record and I have considered all the case law cited to me by both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the issues in this case require a scientific investigation and that investigation cannot be made conveniently with a jury. In addition the issues themselves are intricate and complex and cannot appropriately be tried and determined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This is a trial that will involve not one plaintiff but three plaintiffs each with separate claims for personal injuries and resulting loss caused by the motor vehicle accident. Each of the claims will involve a consideration of the pre-accident conditions of each of the plaintiffs and how their pre-accident conditions have affected their post-accident conditions, if at all. This will involve a consideration of the legal issues raised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by the "crumbling skull"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not aware of how many physicians plaintiffs' counsel expects to call at trial as opposed to simply filing their reports, but either way the shear volume of medical information for the three plaintiffs is daunting. Some physicians who give evidence at trial in addition to the reports will be giving evidence on more than one plaintiff at one time in their evidence, as some of the physicians are common to two or all three plaintiffs. This is unavoidable as it would be impractical to ask a physician who has treated more than one plaintiff to re-attend trial at a different time to deal with a different plaintiff. I have no doubt that this trial will have to take place with all of the plaintiffs' claims being considered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this will create a risk that a jury will become confused as the evidence is being given and cross-examined on, as to which plaintiff the evidence applies. Undoubtedly they can consider and retain for a time the evidence pro and con for one plaintiff, but when the evidence is being received for all three plaintiffs pro and con, sometimes from the same doctor for two or more of the plaintiffs, it will be a difficult task for the jury to keep all this sorted out in their minds and retain all of the evidence in their minds sorted out according to the plaintiff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acknowledge that some jury members may take notes and some of them may take detailed notes, but they are not legally obliged to take any notes at all and they are commonly advised not to disregard their prime duty to consider the witness in the witness box and the evidence given by that witness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trial judge will have an obligation at the end of the case to review the relevant evidence with the jury, but the jurors will be reminded that the judge's notes are not the evidence as the evidence is their memory of what they heard and saw in the witness box and read in the reports during trial, if they have had an opportunity to do so, and during their deliberations.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are up to 58 expert reports for the jury in this case to consider in addition to any evidence from the witness box. At the very least this will be extremely time consuming for the jury to do justice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reports themselves are intricate and complex and the opinions highly contentious.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Sexton's physicians consider that he suffered mild traumatic brain injury resulting in cognitive inefficiencies and depressed mood. Dr. Krywaniuk, a psychologist, put Dr. Sexton through a neuropsychological assessment involving a number of tests. He concludes that Dr. Sexton sustained a significant head injury in the motor vehicle accident and will not be able to work at his practice at the same level as he did before. He also holds the view that the result of his accident and injuries has lead him back to the narcotic abuse that he suffered from and was treated for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Krywaniuk recognizes the difficulty in assessing Dr. Sexton who he considers to be brighter than average, because his test scores still register in the average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the other hand, the defendants' psychologist Dr. Iverson also put Dr. Sexton through a battery of tests, but he formed the conclusion that Dr. Sexton only sustained a concussion in the accident. He concludes that any mildly diminished test scores for Dr. Sexton are not due to any brain injury but are due to his history of substance abuse and 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Iverson refers to literature that he says supports his views. He is of the opinion that Dr. Sexton does not have any significant cognitive, emotional, behavioural or psychological problems that would interfere with his ability to work as a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Krywaniuk and Dr. Iverson are completely at odds on the effect of the accident on Dr. Sexton's cognitive abilities. I am not aware of any brain scans or other objective signs that could possibly show clearly a brain injury for Dr. Sexton. The only possible objective signs would be the test scores for Dr. Sexton from Dr. Krywaniuk and Dr. Iverson, and here there is going to be an issue as to whether the normal test scores for Dr. Sexton are normal or abnormal for him, whether Dr. Krywaniuk and Dr. Iverson got the same test scores for the same tests, and if not why not, and whether any considered abnormal scores are related to brain injury or to drug abuse. Absent the test results the issue may come down to the subjective opinions of Dr. Krywaniuk and Dr. Iverson and the evidence of complaints and symptoms they are based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This is only one plaintiff. Dr. Sexton also complains of physical injuries that will have to be assessed as to their existence, their cause and their continuation, and the effect that they have on his income earning capacity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Mrs. Sexton was examined by a number of physicians as well including an Ontario neurologist, Dr. Rathbone, and a Vancouver neurologist, Dr. Beckman. These two physicians came to opposite conclusions. Dr. Rathbone considers that she suffers from a traumatic brain injury that combined with her physical pain reduces her cognitive function and affects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Beckman forms the conclusion that Mrs. Sexton may have had a minor concussion and loss of consciousness for seconds, but not cognitive problems related to any brain injury. He acknowledges that she has physical symptoms from the accident but also refers to the fact that she had pre-existing neck pain and headache that made her more predisposed to a longer recovery from the motor vehicle accident. He does not consider that she has any significant disability and that she is capable of full 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Rathbone's reply to this is that studies show traumatic brain injury can still occur in the absence of a sustained period of unconsciousness. He disagrees with Dr. Beckman on Mrs. Sexton's prognosis. Undoubtedly this will continue to be an area of great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Krywaniuk also examined Mrs. Sexton and came to the conclusion that she demonstrates symptoms associated with frontal lobe dysfunction which has a significant effect on most aspects of her life and is likely to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in the case of Dr. Sexton, Dr. Iverson also examined Mrs. Sexton. He reviewed the testing done by Dr. Krywaniuk and while he agrees the scores are somewhat lower than expected from a university graduate he says there is normally a considerable variability in the performances of university graduates and according to literature academic abilities should not be significantly affected by mild traumatic brain injury. He questions some of Dr. Krywaniuk's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conceptualizes her injury as a concussive injury only and not a more serious traumatic brain injury. His own test results he says are inconsistent with what would be expected from someone with chronic pain and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While he recognizes her physical pain issues as well, he also refers to her pre-existing serious and progressive pain condition that he says contributed in a significant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third plaintiff, Ms Clower, also has pre-existing physical complaints to her neck and back that will also have to be considered in relation to her ongoing neck and back complaints that she attributes to the motor vehicle accident. There are a further nine medical reports pro and con that relate to 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addition, for all three plaintiffs there are economic expert reports filed to consider dealing with their claims for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If this was to be a trial of the Clower action only, I venture to say that I would conclude the jury could conveniently hear her case and it would not be too intricate and complex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with the addition of the claims of Dr. and Mrs. Sexton and their allegations of brain injury and the existence of pre-accident issues, this trial in my opinion will require a scientific investigation which cannot be made conveniently with a jury and will involve medical issues that are of such an intricate and complex character that would not be appropriate for a jury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Despite the best efforts of the experts to make their findings and opinions clear at trial, and despite the best efforts of counsel and the trial judge to distil the evidence and the issues down to something manageable for the jury, in my view there will be a continuing real danger that the jury will become lost in the volume and complexity of the medical evidence and will rush to a premature decision without giving proper consideration to all of the evidence and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echo the words of Huddart J.A. in </w:t>
      </w:r>
      <w:r>
        <w:rPr>
          <w:rFonts w:ascii="arial" w:eastAsia="arial" w:hAnsi="arial" w:cs="arial"/>
          <w:b/>
          <w:i/>
          <w:color w:val="000000"/>
          <w:sz w:val="20"/>
          <w:lang w:val="en-US" w:eastAsia="en-US" w:bidi="ar-SA"/>
        </w:rPr>
        <w:t>Scott v. Davies</w:t>
      </w:r>
      <w:r>
        <w:rPr>
          <w:rFonts w:ascii="arial" w:eastAsia="arial" w:hAnsi="arial" w:cs="arial"/>
          <w:color w:val="000000"/>
          <w:sz w:val="20"/>
          <w:lang w:val="en-US" w:eastAsia="en-US" w:bidi="ar-SA"/>
        </w:rPr>
        <w:t>, [1996] B.C.W.L.D. No. 1109 (S.C.), where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single issue is too difficult for a jury to decide. A trial judge could probably outline the issues and instruct the jurors on the law and their task, if he or she is given enough time to prepare the charge. But the plaintiff asks too much of a jury in this case. There is simply no way that even the best instructed jury could fairly analyze the evidence, find the basic facts, consider the medical opinions, draw the appropriate inferences, and reach conclusion on all of these issues within a reasonable period of time without derogating from the duty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This trial will be difficult enough for a judge alone to hear and decide, but at least he or she has the ability to give unhurried and thoughtful consideration to all of the issues and competing opinions before having to render a decision. As MacEachern C.J.S.C. said in </w:t>
      </w:r>
      <w:r>
        <w:rPr>
          <w:rFonts w:ascii="arial" w:eastAsia="arial" w:hAnsi="arial" w:cs="arial"/>
          <w:b/>
          <w:i/>
          <w:color w:val="000000"/>
          <w:sz w:val="20"/>
          <w:lang w:val="en-US" w:eastAsia="en-US" w:bidi="ar-SA"/>
        </w:rPr>
        <w:t>MacDonald v. Smith</w:t>
      </w:r>
      <w:r>
        <w:rPr>
          <w:rFonts w:ascii="arial" w:eastAsia="arial" w:hAnsi="arial" w:cs="arial"/>
          <w:color w:val="000000"/>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(1983), 48 B.C.L.R. 285</w:t>
        </w:r>
      </w:hyperlink>
      <w:r>
        <w:rPr>
          <w:rFonts w:ascii="arial" w:eastAsia="arial" w:hAnsi="arial" w:cs="arial"/>
          <w:color w:val="000000"/>
          <w:sz w:val="20"/>
          <w:lang w:val="en-US" w:eastAsia="en-US" w:bidi="ar-SA"/>
        </w:rPr>
        <w:t xml:space="preserve"> (S.C.) at 288: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Briefly, I think a case of this complexity cannot conveniently or suitably be tried and a proper conclusion assured to the parties when there is no opportunity for thoughtful and timely consideration, particularly after several days of evidence and other proceedings which follow the completion of evidence. There must, in a case such as this, be an opportunity for thoughtful review after preliminary conclusions have been reached and there is too much risk of a compromised verdict being accepted by the jury or a majority of the jury under pressures of time and other personal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Defence counsel points to the comments of Rowles J.A. in </w:t>
      </w:r>
      <w:r>
        <w:rPr>
          <w:rFonts w:ascii="arial" w:eastAsia="arial" w:hAnsi="arial" w:cs="arial"/>
          <w:b/>
          <w:i/>
          <w:color w:val="000000"/>
          <w:sz w:val="20"/>
          <w:lang w:val="en-US" w:eastAsia="en-US" w:bidi="ar-SA"/>
        </w:rPr>
        <w:t>Cochrane</w:t>
      </w:r>
      <w:r>
        <w:rPr>
          <w:rFonts w:ascii="arial" w:eastAsia="arial" w:hAnsi="arial" w:cs="arial"/>
          <w:color w:val="000000"/>
          <w:sz w:val="20"/>
          <w:lang w:val="en-US" w:eastAsia="en-US" w:bidi="ar-SA"/>
        </w:rPr>
        <w:t xml:space="preserve"> at p. 8 where she said that even though "decisions under Rule 39(27) are driven by the particular facts of the case ... the facts in prior decisions are helpful in determining whether the discretion to grant or refuse an order to strike a jury notice has been exercised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this regard I have gained some assistance from the evidence in and conclusions reached in the </w:t>
      </w:r>
      <w:r>
        <w:rPr>
          <w:rFonts w:ascii="arial" w:eastAsia="arial" w:hAnsi="arial" w:cs="arial"/>
          <w:b/>
          <w:i/>
          <w:color w:val="000000"/>
          <w:sz w:val="20"/>
          <w:lang w:val="en-US" w:eastAsia="en-US" w:bidi="ar-SA"/>
        </w:rPr>
        <w:t>Cochrane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MacPherson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Patterson</w:t>
      </w:r>
      <w:r>
        <w:rPr>
          <w:rFonts w:ascii="arial" w:eastAsia="arial" w:hAnsi="arial" w:cs="arial"/>
          <w:color w:val="000000"/>
          <w:sz w:val="20"/>
          <w:lang w:val="en-US" w:eastAsia="en-US" w:bidi="ar-SA"/>
        </w:rPr>
        <w:t xml:space="preserve"> decisions previously referred to which I have found to be helpful in exercising my discretion to set aside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58" style="position:absolute;z-index:25189580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Whalley v. Splashdown Waterparks Inc., [2005] B.C.J. No. 1370</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Hanlan v. John Doe, [2016] B.C.J. No. 421</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Abengoza v. Dhami, [2001] B.C.J. No. 2233</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Berscheid v. Ensign, [2000] B.C.J. No. 1203</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B.M.M. v. M.L.V., [2009] B.C.J. No. 1755</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Boyle v. Insurance Corp. of British Columbia, [2017] B.C.J. No. 1969</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P.B. v. R.V.E., [2008] B.C.J. No. 887</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Campbell River School District No. 72 v. IBI Group Consultants Ltd., [2007] B.C.J. No. 399</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Caravel Management Corp. v. Roberts, [2014] B.C.J. No. 1972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Casses v. Canadian Broadcasting Corp., [2012] B.C.J. No. 26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C.B. Constantini Ltd. v. Slozka, [2007] B.C.J. No. 914</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Chapman v. Canada, [2001] B.C.J. No. 775</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Demedeiros v. Heinrichs, [2001] B.C.J. No. 2674</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Dhaliwal v. Tomelden, [2010] B.C.J. No. 785</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Douez v. Facebook, Inc., [2019] B.C.J. No. 824</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Edwards v. British Columbia, [2006] B.C.J. No. 992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Forget v. MacCarthy, [2002] B.C.J. No. 1308</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Harrison v. Afexa Life Sciences Inc., [2016] B.C.J. No. 2373</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Harrison v. British Columbia (Information and Privacy Commissioner), [2008] B.C.J. No. 596</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Harrison v. British Columbia (Information and Privacy Commissioner), [2011] B.C.J. No. 1686</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Harrison v. Law Society of British Columbia, [2015] B.C.J. No. 262</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Hoang, [2003] B.C.J. No. 1743</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Juelfs v. McCue, [2019] B.C.J. No. 1361</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Kalsi v. Gill, [2014] B.C.J. No. 2440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Keddy-Waldie v. Lawson, [2015] B.C.J. No. 1031</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Lieberman v. Business Development Bank of Canada, [2006] B.C.J. No. 337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Moses v. Lower Nicola Indian Band, [2014] B.C.J. No. 669</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Najy v. Victory, [2012] B.C.J. No. 109</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Niemela v. Malamas, [2015] B.C.J. No. 1250</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Rossner v. Mross (c.o.b. Mross Imports), [2011] B.C.J. No. 1365</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Ryan v. Lawson, [2019] B.C.J. No. 1562</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Salsman v. Planes, [2014] B.C.J. No. 2306</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Trociuk v. British Columbia, [2008] B.C.J. No. 2355</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Vavra v. Victoria Ford Alliance Ltd., [2003] B.C.J. No. 1957</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Brinacomb v. British Columbia Transit, [2000] B.C.J. No. 389</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Burke-Pietramala v. Samad, [2004] B.C.J. No. 704</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Bystedt (Guardian ad litem of) v. Bagdan, [2001] B.C.J. No. 540</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Chancey v. McKinstry, [2000] B.C.J. No. 2008</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C.P.M. (Guardian ad litem of) v. Martin, [2004] B.C.J. No. 2500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L'Heureux (Guardian ad litem of) v. Eustache, [2003] B.C.J. No. 530</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Meisenholder v. Wikdahl, [2005] B.C.J. No. 939</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Patriquin v. Laurentian Trust of Canada Inc., [2000] B.C.J. No. 792</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 v. Axworthy, [2002] B.C.J. No. 1063</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Scholpp v. Porter, [2002] B.C.J. No. 3267</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Solmundson v. Bull, Housser &amp; Tupper, [2000] B.C.J. No. 2484</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Stone v. Ellerman, [2007] B.C.J. No. 1464</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2262 v. Stoneman Developments Ltd., [2004] B.C.J. No. 2058</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Tyson v. Canada (Attorney General), [2000] B.C.J. No. 277</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Insurance Co. v. Insurance Corp. of British Columbia, [2002] B.C.J. No. 2385</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Clower v. Poeckert, [2007] B.C.J. No. 616</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4)"/>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7"/>
      <w:numFmt w:val="lowerLetter"/>
      <w:lvlText w:val=" %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4"/>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3"/>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4"/>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3"/>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4"/>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3"/>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4"/>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5"/>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3"/>
      <w:numFmt w:val="lowerLetter"/>
      <w:lvlText w:val="(%1)"/>
      <w:lvlJc w:val="left"/>
      <w:pPr>
        <w:tabs>
          <w:tab w:val="num" w:pos="1120"/>
        </w:tabs>
        <w:ind w:left="112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2.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3"/>
      <w:numFmt w:val="decimal"/>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4"/>
      <w:numFmt w:val="decimal"/>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4.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4.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4.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4.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4.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4.5.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4.5.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4.5.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5"/>
      <w:numFmt w:val="decimal"/>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low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6"/>
      <w:numFmt w:val="decimal"/>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106C94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28F2CFF"/>
    <w:multiLevelType w:val="multilevel"/>
    <w:tmpl w:val="0000000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45210B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502DCC0"/>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580005C"/>
    <w:multiLevelType w:val="multilevel"/>
    <w:tmpl w:val="00000001"/>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C88795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D1FDC8B"/>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FA97DED"/>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113BCF26"/>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1A02779C"/>
    <w:multiLevelType w:val="multilevel"/>
    <w:tmpl w:val="00000001"/>
    <w:lvl w:ilvl="0">
      <w:start w:val="1"/>
      <w:numFmt w:val="decimal"/>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1D91564C"/>
    <w:multiLevelType w:val="multilevel"/>
    <w:tmpl w:val="00000001"/>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1EA3E706"/>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24D287BA"/>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2563029D"/>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26184B8A"/>
    <w:multiLevelType w:val="multilevel"/>
    <w:tmpl w:val="00000001"/>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2BBD22E9"/>
    <w:multiLevelType w:val="multilevel"/>
    <w:tmpl w:val="00000001"/>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2BF003D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2C9FF425"/>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332AD347"/>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345BF436"/>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35D284A4"/>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39DD335C"/>
    <w:multiLevelType w:val="multilevel"/>
    <w:tmpl w:val="00000001"/>
    <w:lvl w:ilvl="0">
      <w:start w:val="1"/>
      <w:numFmt w:val="low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41023FBC"/>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4B5EAC38"/>
    <w:multiLevelType w:val="multilevel"/>
    <w:tmpl w:val="00000001"/>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4BEAD41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4DD2018D"/>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4EA6C7B3"/>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5014BA2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543F359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54C36ACD"/>
    <w:multiLevelType w:val="multilevel"/>
    <w:tmpl w:val="00000001"/>
    <w:lvl w:ilvl="0">
      <w:start w:val="1"/>
      <w:numFmt w:val="low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557A0135"/>
    <w:multiLevelType w:val="multilevel"/>
    <w:tmpl w:val="00000001"/>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56774978"/>
    <w:multiLevelType w:val="multilevel"/>
    <w:tmpl w:val="00000001"/>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58589E93"/>
    <w:multiLevelType w:val="multilevel"/>
    <w:tmpl w:val="00000001"/>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58E5886A"/>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5AD2A63C"/>
    <w:multiLevelType w:val="multilevel"/>
    <w:tmpl w:val="00000001"/>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5CD9D68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5EA5094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624A446C"/>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651E91E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6912B0F5"/>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6DC28BE8"/>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6F61232A"/>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7B00A927"/>
    <w:multiLevelType w:val="multilevel"/>
    <w:tmpl w:val="00000001"/>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7B7976A0"/>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128"/>
  </w:num>
  <w:num w:numId="4">
    <w:abstractNumId w:val="116"/>
  </w:num>
  <w:num w:numId="5">
    <w:abstractNumId w:val="2"/>
  </w:num>
  <w:num w:numId="6">
    <w:abstractNumId w:val="3"/>
  </w:num>
  <w:num w:numId="7">
    <w:abstractNumId w:val="103"/>
  </w:num>
  <w:num w:numId="8">
    <w:abstractNumId w:val="4"/>
  </w:num>
  <w:num w:numId="9">
    <w:abstractNumId w:val="5"/>
  </w:num>
  <w:num w:numId="10">
    <w:abstractNumId w:val="6"/>
  </w:num>
  <w:num w:numId="11">
    <w:abstractNumId w:val="7"/>
  </w:num>
  <w:num w:numId="12">
    <w:abstractNumId w:val="8"/>
  </w:num>
  <w:num w:numId="13">
    <w:abstractNumId w:val="9"/>
  </w:num>
  <w:num w:numId="14">
    <w:abstractNumId w:val="102"/>
  </w:num>
  <w:num w:numId="15">
    <w:abstractNumId w:val="105"/>
  </w:num>
  <w:num w:numId="16">
    <w:abstractNumId w:val="10"/>
  </w:num>
  <w:num w:numId="17">
    <w:abstractNumId w:val="11"/>
  </w:num>
  <w:num w:numId="18">
    <w:abstractNumId w:val="12"/>
  </w:num>
  <w:num w:numId="19">
    <w:abstractNumId w:val="13"/>
  </w:num>
  <w:num w:numId="20">
    <w:abstractNumId w:val="14"/>
  </w:num>
  <w:num w:numId="21">
    <w:abstractNumId w:val="15"/>
  </w:num>
  <w:num w:numId="22">
    <w:abstractNumId w:val="16"/>
  </w:num>
  <w:num w:numId="23">
    <w:abstractNumId w:val="17"/>
  </w:num>
  <w:num w:numId="24">
    <w:abstractNumId w:val="18"/>
  </w:num>
  <w:num w:numId="25">
    <w:abstractNumId w:val="19"/>
  </w:num>
  <w:num w:numId="26">
    <w:abstractNumId w:val="20"/>
  </w:num>
  <w:num w:numId="27">
    <w:abstractNumId w:val="21"/>
  </w:num>
  <w:num w:numId="28">
    <w:abstractNumId w:val="22"/>
  </w:num>
  <w:num w:numId="29">
    <w:abstractNumId w:val="23"/>
  </w:num>
  <w:num w:numId="30">
    <w:abstractNumId w:val="24"/>
  </w:num>
  <w:num w:numId="31">
    <w:abstractNumId w:val="25"/>
  </w:num>
  <w:num w:numId="32">
    <w:abstractNumId w:val="26"/>
  </w:num>
  <w:num w:numId="33">
    <w:abstractNumId w:val="27"/>
  </w:num>
  <w:num w:numId="34">
    <w:abstractNumId w:val="28"/>
  </w:num>
  <w:num w:numId="35">
    <w:abstractNumId w:val="29"/>
  </w:num>
  <w:num w:numId="36">
    <w:abstractNumId w:val="30"/>
  </w:num>
  <w:num w:numId="37">
    <w:abstractNumId w:val="31"/>
  </w:num>
  <w:num w:numId="38">
    <w:abstractNumId w:val="32"/>
  </w:num>
  <w:num w:numId="39">
    <w:abstractNumId w:val="33"/>
  </w:num>
  <w:num w:numId="40">
    <w:abstractNumId w:val="104"/>
  </w:num>
  <w:num w:numId="41">
    <w:abstractNumId w:val="92"/>
  </w:num>
  <w:num w:numId="42">
    <w:abstractNumId w:val="120"/>
  </w:num>
  <w:num w:numId="43">
    <w:abstractNumId w:val="34"/>
  </w:num>
  <w:num w:numId="44">
    <w:abstractNumId w:val="100"/>
  </w:num>
  <w:num w:numId="45">
    <w:abstractNumId w:val="125"/>
  </w:num>
  <w:num w:numId="46">
    <w:abstractNumId w:val="97"/>
  </w:num>
  <w:num w:numId="47">
    <w:abstractNumId w:val="111"/>
  </w:num>
  <w:num w:numId="48">
    <w:abstractNumId w:val="119"/>
  </w:num>
  <w:num w:numId="49">
    <w:abstractNumId w:val="124"/>
  </w:num>
  <w:num w:numId="50">
    <w:abstractNumId w:val="35"/>
  </w:num>
  <w:num w:numId="51">
    <w:abstractNumId w:val="36"/>
  </w:num>
  <w:num w:numId="52">
    <w:abstractNumId w:val="37"/>
  </w:num>
  <w:num w:numId="53">
    <w:abstractNumId w:val="38"/>
  </w:num>
  <w:num w:numId="54">
    <w:abstractNumId w:val="39"/>
  </w:num>
  <w:num w:numId="55">
    <w:abstractNumId w:val="40"/>
  </w:num>
  <w:num w:numId="56">
    <w:abstractNumId w:val="41"/>
  </w:num>
  <w:num w:numId="57">
    <w:abstractNumId w:val="42"/>
  </w:num>
  <w:num w:numId="58">
    <w:abstractNumId w:val="43"/>
  </w:num>
  <w:num w:numId="59">
    <w:abstractNumId w:val="44"/>
  </w:num>
  <w:num w:numId="60">
    <w:abstractNumId w:val="45"/>
  </w:num>
  <w:num w:numId="61">
    <w:abstractNumId w:val="46"/>
  </w:num>
  <w:num w:numId="62">
    <w:abstractNumId w:val="47"/>
  </w:num>
  <w:num w:numId="63">
    <w:abstractNumId w:val="48"/>
  </w:num>
  <w:num w:numId="64">
    <w:abstractNumId w:val="114"/>
  </w:num>
  <w:num w:numId="65">
    <w:abstractNumId w:val="87"/>
  </w:num>
  <w:num w:numId="66">
    <w:abstractNumId w:val="126"/>
  </w:num>
  <w:num w:numId="67">
    <w:abstractNumId w:val="49"/>
  </w:num>
  <w:num w:numId="68">
    <w:abstractNumId w:val="50"/>
  </w:num>
  <w:num w:numId="69">
    <w:abstractNumId w:val="51"/>
  </w:num>
  <w:num w:numId="70">
    <w:abstractNumId w:val="52"/>
  </w:num>
  <w:num w:numId="71">
    <w:abstractNumId w:val="53"/>
  </w:num>
  <w:num w:numId="72">
    <w:abstractNumId w:val="54"/>
  </w:num>
  <w:num w:numId="73">
    <w:abstractNumId w:val="55"/>
  </w:num>
  <w:num w:numId="74">
    <w:abstractNumId w:val="86"/>
  </w:num>
  <w:num w:numId="75">
    <w:abstractNumId w:val="115"/>
  </w:num>
  <w:num w:numId="76">
    <w:abstractNumId w:val="99"/>
  </w:num>
  <w:num w:numId="77">
    <w:abstractNumId w:val="94"/>
  </w:num>
  <w:num w:numId="78">
    <w:abstractNumId w:val="56"/>
  </w:num>
  <w:num w:numId="79">
    <w:abstractNumId w:val="57"/>
  </w:num>
  <w:num w:numId="80">
    <w:abstractNumId w:val="58"/>
  </w:num>
  <w:num w:numId="81">
    <w:abstractNumId w:val="59"/>
  </w:num>
  <w:num w:numId="82">
    <w:abstractNumId w:val="60"/>
  </w:num>
  <w:num w:numId="83">
    <w:abstractNumId w:val="61"/>
  </w:num>
  <w:num w:numId="84">
    <w:abstractNumId w:val="62"/>
  </w:num>
  <w:num w:numId="85">
    <w:abstractNumId w:val="63"/>
  </w:num>
  <w:num w:numId="86">
    <w:abstractNumId w:val="64"/>
  </w:num>
  <w:num w:numId="87">
    <w:abstractNumId w:val="65"/>
  </w:num>
  <w:num w:numId="88">
    <w:abstractNumId w:val="66"/>
  </w:num>
  <w:num w:numId="89">
    <w:abstractNumId w:val="67"/>
  </w:num>
  <w:num w:numId="90">
    <w:abstractNumId w:val="68"/>
  </w:num>
  <w:num w:numId="91">
    <w:abstractNumId w:val="69"/>
  </w:num>
  <w:num w:numId="92">
    <w:abstractNumId w:val="70"/>
  </w:num>
  <w:num w:numId="93">
    <w:abstractNumId w:val="71"/>
  </w:num>
  <w:num w:numId="94">
    <w:abstractNumId w:val="72"/>
  </w:num>
  <w:num w:numId="95">
    <w:abstractNumId w:val="73"/>
  </w:num>
  <w:num w:numId="96">
    <w:abstractNumId w:val="74"/>
  </w:num>
  <w:num w:numId="97">
    <w:abstractNumId w:val="75"/>
  </w:num>
  <w:num w:numId="98">
    <w:abstractNumId w:val="76"/>
  </w:num>
  <w:num w:numId="99">
    <w:abstractNumId w:val="77"/>
  </w:num>
  <w:num w:numId="100">
    <w:abstractNumId w:val="78"/>
  </w:num>
  <w:num w:numId="101">
    <w:abstractNumId w:val="79"/>
  </w:num>
  <w:num w:numId="102">
    <w:abstractNumId w:val="80"/>
  </w:num>
  <w:num w:numId="103">
    <w:abstractNumId w:val="81"/>
  </w:num>
  <w:num w:numId="104">
    <w:abstractNumId w:val="82"/>
  </w:num>
  <w:num w:numId="105">
    <w:abstractNumId w:val="83"/>
  </w:num>
  <w:num w:numId="106">
    <w:abstractNumId w:val="84"/>
  </w:num>
  <w:num w:numId="107">
    <w:abstractNumId w:val="108"/>
  </w:num>
  <w:num w:numId="108">
    <w:abstractNumId w:val="110"/>
  </w:num>
  <w:num w:numId="109">
    <w:abstractNumId w:val="90"/>
  </w:num>
  <w:num w:numId="110">
    <w:abstractNumId w:val="93"/>
  </w:num>
  <w:num w:numId="111">
    <w:abstractNumId w:val="107"/>
  </w:num>
  <w:num w:numId="112">
    <w:abstractNumId w:val="113"/>
  </w:num>
  <w:num w:numId="113">
    <w:abstractNumId w:val="122"/>
  </w:num>
  <w:num w:numId="114">
    <w:abstractNumId w:val="117"/>
  </w:num>
  <w:num w:numId="115">
    <w:abstractNumId w:val="123"/>
  </w:num>
  <w:num w:numId="116">
    <w:abstractNumId w:val="98"/>
  </w:num>
  <w:num w:numId="117">
    <w:abstractNumId w:val="91"/>
  </w:num>
  <w:num w:numId="118">
    <w:abstractNumId w:val="95"/>
  </w:num>
  <w:num w:numId="119">
    <w:abstractNumId w:val="96"/>
  </w:num>
  <w:num w:numId="120">
    <w:abstractNumId w:val="106"/>
  </w:num>
  <w:num w:numId="121">
    <w:abstractNumId w:val="109"/>
  </w:num>
  <w:num w:numId="122">
    <w:abstractNumId w:val="118"/>
  </w:num>
  <w:num w:numId="123">
    <w:abstractNumId w:val="127"/>
  </w:num>
  <w:num w:numId="124">
    <w:abstractNumId w:val="101"/>
  </w:num>
  <w:num w:numId="125">
    <w:abstractNumId w:val="85"/>
  </w:num>
  <w:num w:numId="126">
    <w:abstractNumId w:val="88"/>
  </w:num>
  <w:num w:numId="127">
    <w:abstractNumId w:val="121"/>
  </w:num>
  <w:num w:numId="128">
    <w:abstractNumId w:val="112"/>
  </w:num>
  <w:num w:numId="129">
    <w:abstractNumId w:val="8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D1-JXG3-X0Y3-00000-00&amp;context=" TargetMode="External" /><Relationship Id="rId100" Type="http://schemas.openxmlformats.org/officeDocument/2006/relationships/header" Target="header20.xml" /><Relationship Id="rId1000" Type="http://schemas.openxmlformats.org/officeDocument/2006/relationships/hyperlink" Target="https://advance.lexis.com/api/document?collection=cases-ca&amp;id=urn:contentItem:5F7T-S7C1-FCSB-S2KJ-00000-00&amp;context=" TargetMode="External" /><Relationship Id="rId1001" Type="http://schemas.openxmlformats.org/officeDocument/2006/relationships/hyperlink" Target="https://advance.lexis.com/api/document?collection=cases-ca&amp;id=urn:contentItem:5F7T-S781-JC5P-G1M6-00000-00&amp;context=" TargetMode="External" /><Relationship Id="rId1002" Type="http://schemas.openxmlformats.org/officeDocument/2006/relationships/hyperlink" Target="https://advance.lexis.com/api/document?collection=cases-ca&amp;id=urn:contentItem:5F7T-S761-F81W-21P8-00000-00&amp;context=" TargetMode="External" /><Relationship Id="rId1003" Type="http://schemas.openxmlformats.org/officeDocument/2006/relationships/hyperlink" Target="https://advance.lexis.com/api/document?collection=cases-ca&amp;id=urn:contentItem:5F7T-S7C1-F4NT-X2X2-00000-00&amp;context=" TargetMode="External" /><Relationship Id="rId1004" Type="http://schemas.openxmlformats.org/officeDocument/2006/relationships/hyperlink" Target="https://advance.lexis.com/api/document?collection=cases-ca&amp;id=urn:contentItem:5F7T-S7C1-FCSB-S21P-00000-00&amp;context=" TargetMode="External" /><Relationship Id="rId1005" Type="http://schemas.openxmlformats.org/officeDocument/2006/relationships/hyperlink" Target="https://advance.lexis.com/api/document?collection=cases-ca&amp;id=urn:contentItem:5F7T-S7C1-JCJ5-20P1-00000-00&amp;context=" TargetMode="External" /><Relationship Id="rId1006" Type="http://schemas.openxmlformats.org/officeDocument/2006/relationships/hyperlink" Target="https://advance.lexis.com/api/document?collection=cases-ca&amp;id=urn:contentItem:5F7T-S7C1-F7VM-S3J6-00000-00&amp;context=" TargetMode="External" /><Relationship Id="rId1007" Type="http://schemas.openxmlformats.org/officeDocument/2006/relationships/hyperlink" Target="https://advance.lexis.com/api/document?collection=cases-ca&amp;id=urn:contentItem:5F7T-S7C1-JS0R-2261-00000-00&amp;context=" TargetMode="External" /><Relationship Id="rId1008" Type="http://schemas.openxmlformats.org/officeDocument/2006/relationships/hyperlink" Target="https://advance.lexis.com/api/document?collection=cases-ca&amp;id=urn:contentItem:5F7T-S791-JCJ5-24XS-00000-00&amp;context=" TargetMode="External" /><Relationship Id="rId1009" Type="http://schemas.openxmlformats.org/officeDocument/2006/relationships/hyperlink" Target="https://advance.lexis.com/api/document?collection=cases-ca&amp;id=urn:contentItem:5F7T-S7C1-JCJ5-20C7-00000-00&amp;context=" TargetMode="External" /><Relationship Id="rId101" Type="http://schemas.openxmlformats.org/officeDocument/2006/relationships/footer" Target="footer19.xml" /><Relationship Id="rId1010" Type="http://schemas.openxmlformats.org/officeDocument/2006/relationships/header" Target="header142.xml" /><Relationship Id="rId1011" Type="http://schemas.openxmlformats.org/officeDocument/2006/relationships/header" Target="header143.xml" /><Relationship Id="rId1012" Type="http://schemas.openxmlformats.org/officeDocument/2006/relationships/footer" Target="footer142.xml" /><Relationship Id="rId1013" Type="http://schemas.openxmlformats.org/officeDocument/2006/relationships/footer" Target="footer143.xml" /><Relationship Id="rId1014" Type="http://schemas.openxmlformats.org/officeDocument/2006/relationships/header" Target="header144.xml" /><Relationship Id="rId1015" Type="http://schemas.openxmlformats.org/officeDocument/2006/relationships/footer" Target="footer144.xml" /><Relationship Id="rId1016" Type="http://schemas.openxmlformats.org/officeDocument/2006/relationships/hyperlink" Target="https://advance.lexis.com/api/document?collection=cases-ca&amp;id=urn:contentItem:5F7T-S771-JW5H-X230-00000-00&amp;context=" TargetMode="External" /><Relationship Id="rId1017" Type="http://schemas.openxmlformats.org/officeDocument/2006/relationships/hyperlink" Target="https://advance.lexis.com/api/document?collection=cases-ca&amp;id=urn:contentItem:5F7T-S761-JS5Y-B1DS-00000-00&amp;context=" TargetMode="External" /><Relationship Id="rId1018" Type="http://schemas.openxmlformats.org/officeDocument/2006/relationships/hyperlink" Target="https://advance.lexis.com/api/document?collection=cases-ca&amp;id=urn:contentItem:5F7T-S771-F361-M1PY-00000-00&amp;context=" TargetMode="External" /><Relationship Id="rId1019" Type="http://schemas.openxmlformats.org/officeDocument/2006/relationships/hyperlink" Target="https://advance.lexis.com/api/document?collection=cases-ca&amp;id=urn:contentItem:5F8T-N3V1-JF75-M3JV-00000-00&amp;context=" TargetMode="External" /><Relationship Id="rId102" Type="http://schemas.openxmlformats.org/officeDocument/2006/relationships/footer" Target="footer20.xml" /><Relationship Id="rId1020" Type="http://schemas.openxmlformats.org/officeDocument/2006/relationships/hyperlink" Target="https://advance.lexis.com/api/document?collection=cases-ca&amp;id=urn:contentItem:5F8T-N3V1-JF75-M3JW-00000-00&amp;context=" TargetMode="External" /><Relationship Id="rId1021" Type="http://schemas.openxmlformats.org/officeDocument/2006/relationships/hyperlink" Target="https://advance.lexis.com/api/document?collection=cases-ca&amp;id=urn:contentItem:5F16-9351-JNY7-X3F1-00000-00&amp;context=" TargetMode="External" /><Relationship Id="rId1022" Type="http://schemas.openxmlformats.org/officeDocument/2006/relationships/hyperlink" Target="https://advance.lexis.com/api/document?collection=cases-ca&amp;id=urn:contentItem:5F8W-M411-FGRY-B0PS-00000-00&amp;context=" TargetMode="External" /><Relationship Id="rId1023" Type="http://schemas.openxmlformats.org/officeDocument/2006/relationships/header" Target="header145.xml" /><Relationship Id="rId1024" Type="http://schemas.openxmlformats.org/officeDocument/2006/relationships/header" Target="header146.xml" /><Relationship Id="rId1025" Type="http://schemas.openxmlformats.org/officeDocument/2006/relationships/footer" Target="footer145.xml" /><Relationship Id="rId1026" Type="http://schemas.openxmlformats.org/officeDocument/2006/relationships/footer" Target="footer146.xml" /><Relationship Id="rId1027" Type="http://schemas.openxmlformats.org/officeDocument/2006/relationships/header" Target="header147.xml" /><Relationship Id="rId1028" Type="http://schemas.openxmlformats.org/officeDocument/2006/relationships/footer" Target="footer147.xml" /><Relationship Id="rId1029" Type="http://schemas.openxmlformats.org/officeDocument/2006/relationships/hyperlink" Target="https://advance.lexis.com/api/document?collection=cases-ca&amp;id=urn:contentItem:5F7T-S7B1-JSRM-60GN-00000-00&amp;context=" TargetMode="External" /><Relationship Id="rId103" Type="http://schemas.openxmlformats.org/officeDocument/2006/relationships/header" Target="header21.xml" /><Relationship Id="rId1030" Type="http://schemas.openxmlformats.org/officeDocument/2006/relationships/hyperlink" Target="https://advance.lexis.com/api/document?collection=legislation-ca&amp;id=urn:contentItem:5F41-1FG1-JJYN-B03B-00000-00&amp;context=" TargetMode="External" /><Relationship Id="rId1031" Type="http://schemas.openxmlformats.org/officeDocument/2006/relationships/hyperlink" Target="https://advance.lexis.com/api/document?collection=legislation-ca&amp;id=urn:contentItem:5F97-RC81-FD4T-B2B8-00000-00&amp;context=" TargetMode="External" /><Relationship Id="rId1032" Type="http://schemas.openxmlformats.org/officeDocument/2006/relationships/hyperlink" Target="https://advance.lexis.com/api/document?collection=cases-ca&amp;id=urn:contentItem:5F7T-S771-JWBS-61KD-00000-00&amp;context=" TargetMode="External" /><Relationship Id="rId1033" Type="http://schemas.openxmlformats.org/officeDocument/2006/relationships/hyperlink" Target="https://advance.lexis.com/api/document?collection=cases-ca&amp;id=urn:contentItem:5F8T-N3V1-FC1F-M47R-00000-00&amp;context=" TargetMode="External" /><Relationship Id="rId1034" Type="http://schemas.openxmlformats.org/officeDocument/2006/relationships/hyperlink" Target="https://advance.lexis.com/api/document?collection=cases-ca&amp;id=urn:contentItem:5F8T-N3V1-FC1F-M4CT-00000-00&amp;context=" TargetMode="External" /><Relationship Id="rId1035" Type="http://schemas.openxmlformats.org/officeDocument/2006/relationships/hyperlink" Target="https://advance.lexis.com/api/document?collection=cases-ca&amp;id=urn:contentItem:5F7T-S751-F361-M170-00000-00&amp;context=" TargetMode="External" /><Relationship Id="rId1036" Type="http://schemas.openxmlformats.org/officeDocument/2006/relationships/hyperlink" Target="https://advance.lexis.com/api/document?collection=cases-ca&amp;id=urn:contentItem:5F7T-S761-F81W-221M-00000-00&amp;context=" TargetMode="External" /><Relationship Id="rId1037" Type="http://schemas.openxmlformats.org/officeDocument/2006/relationships/hyperlink" Target="https://advance.lexis.com/api/document?collection=cases-ca&amp;id=urn:contentItem:5F8T-N3V1-FC1F-M48M-00000-00&amp;context=" TargetMode="External" /><Relationship Id="rId1038" Type="http://schemas.openxmlformats.org/officeDocument/2006/relationships/hyperlink" Target="https://advance.lexis.com/api/document?collection=cases-ca&amp;id=urn:contentItem:5F7T-S761-F81W-222K-00000-00&amp;context=" TargetMode="External" /><Relationship Id="rId1039" Type="http://schemas.openxmlformats.org/officeDocument/2006/relationships/hyperlink" Target="https://advance.lexis.com/api/document?collection=cases-ca&amp;id=urn:contentItem:5F7T-S731-FFFC-B0XT-00000-00&amp;context=" TargetMode="External" /><Relationship Id="rId104" Type="http://schemas.openxmlformats.org/officeDocument/2006/relationships/footer" Target="footer21.xml" /><Relationship Id="rId1040" Type="http://schemas.openxmlformats.org/officeDocument/2006/relationships/hyperlink" Target="https://advance.lexis.com/api/document?collection=cases-ca&amp;id=urn:contentItem:5F7T-S771-FG68-G0XM-00000-00&amp;context=" TargetMode="External" /><Relationship Id="rId1041" Type="http://schemas.openxmlformats.org/officeDocument/2006/relationships/hyperlink" Target="https://advance.lexis.com/api/document?collection=cases-ca&amp;id=urn:contentItem:5F8T-N3R1-JNS1-M12X-00000-00&amp;context=" TargetMode="External" /><Relationship Id="rId1042" Type="http://schemas.openxmlformats.org/officeDocument/2006/relationships/hyperlink" Target="https://advance.lexis.com/api/document?collection=cases-ca&amp;id=urn:contentItem:5F81-VJV1-JBM1-M49H-00000-00&amp;context=" TargetMode="External" /><Relationship Id="rId1043" Type="http://schemas.openxmlformats.org/officeDocument/2006/relationships/hyperlink" Target="https://advance.lexis.com/api/document?collection=cases-ca&amp;id=urn:contentItem:5F7T-S711-JB2B-S192-00000-00&amp;context=" TargetMode="External" /><Relationship Id="rId1044" Type="http://schemas.openxmlformats.org/officeDocument/2006/relationships/hyperlink" Target="https://advance.lexis.com/api/document?collection=cases-ca&amp;id=urn:contentItem:5F7T-S721-JSC5-M3H3-00000-00&amp;context=" TargetMode="External" /><Relationship Id="rId1045" Type="http://schemas.openxmlformats.org/officeDocument/2006/relationships/hyperlink" Target="https://advance.lexis.com/api/document?collection=cases-ca&amp;id=urn:contentItem:5F7T-S721-F956-S1DW-00000-00&amp;context=" TargetMode="External" /><Relationship Id="rId1046" Type="http://schemas.openxmlformats.org/officeDocument/2006/relationships/hyperlink" Target="https://advance.lexis.com/api/document?collection=cases-ca&amp;id=urn:contentItem:5F7T-S6Y1-JTNR-M4MF-00000-00&amp;context=" TargetMode="External" /><Relationship Id="rId1047" Type="http://schemas.openxmlformats.org/officeDocument/2006/relationships/hyperlink" Target="https://advance.lexis.com/api/document?collection=cases-ca&amp;id=urn:contentItem:5K6Y-81M1-JJ1H-X2N6-00000-00&amp;context=" TargetMode="External" /><Relationship Id="rId1048" Type="http://schemas.openxmlformats.org/officeDocument/2006/relationships/hyperlink" Target="https://advance.lexis.com/api/document?collection=cases-ca&amp;id=urn:contentItem:5F7T-S761-JGHR-M292-00000-00&amp;context=" TargetMode="External" /><Relationship Id="rId1049" Type="http://schemas.openxmlformats.org/officeDocument/2006/relationships/hyperlink" Target="https://advance.lexis.com/api/document?collection=cases-ca&amp;id=urn:contentItem:5F8T-N3V1-JF75-M3KC-00000-00&amp;context=" TargetMode="External" /><Relationship Id="rId105" Type="http://schemas.openxmlformats.org/officeDocument/2006/relationships/hyperlink" Target="https://advance.lexis.com/api/document?collection=cases-ca&amp;id=urn:contentItem:5F7T-S7H1-K054-G2DX-00000-00&amp;context=" TargetMode="External" /><Relationship Id="rId1050" Type="http://schemas.openxmlformats.org/officeDocument/2006/relationships/hyperlink" Target="https://advance.lexis.com/api/document?collection=cases-ca&amp;id=urn:contentItem:5F8T-N3R1-FJDY-X2VJ-00000-00&amp;context=" TargetMode="External" /><Relationship Id="rId1051" Type="http://schemas.openxmlformats.org/officeDocument/2006/relationships/hyperlink" Target="https://advance.lexis.com/api/document?collection=legislation-ca&amp;id=urn:contentItem:5FBJ-TMF1-JJYN-B172-00000-00&amp;context=" TargetMode="External" /><Relationship Id="rId1052" Type="http://schemas.openxmlformats.org/officeDocument/2006/relationships/header" Target="header148.xml" /><Relationship Id="rId1053" Type="http://schemas.openxmlformats.org/officeDocument/2006/relationships/header" Target="header149.xml" /><Relationship Id="rId1054" Type="http://schemas.openxmlformats.org/officeDocument/2006/relationships/footer" Target="footer148.xml" /><Relationship Id="rId1055" Type="http://schemas.openxmlformats.org/officeDocument/2006/relationships/footer" Target="footer149.xml" /><Relationship Id="rId1056" Type="http://schemas.openxmlformats.org/officeDocument/2006/relationships/header" Target="header150.xml" /><Relationship Id="rId1057" Type="http://schemas.openxmlformats.org/officeDocument/2006/relationships/footer" Target="footer150.xml" /><Relationship Id="rId1058" Type="http://schemas.openxmlformats.org/officeDocument/2006/relationships/hyperlink" Target="https://advance.lexis.com/api/document?collection=cases-ca&amp;id=urn:contentItem:5F7T-S7F1-F7VM-S4DC-00000-00&amp;context=" TargetMode="External" /><Relationship Id="rId1059" Type="http://schemas.openxmlformats.org/officeDocument/2006/relationships/hyperlink" Target="https://advance.lexis.com/api/document?collection=cases-ca&amp;id=urn:contentItem:5F7T-S6S1-F60C-X0SM-00000-00&amp;context=" TargetMode="External" /><Relationship Id="rId106" Type="http://schemas.openxmlformats.org/officeDocument/2006/relationships/hyperlink" Target="https://advance.lexis.com/api/document?collection=cases-ca&amp;id=urn:contentItem:5F7T-S7G1-F5KY-B1S6-00000-00&amp;context=" TargetMode="External" /><Relationship Id="rId1060" Type="http://schemas.openxmlformats.org/officeDocument/2006/relationships/hyperlink" Target="https://advance.lexis.com/api/document?collection=cases-ca&amp;id=urn:contentItem:5F7T-S7B1-JSRM-608F-00000-00&amp;context=" TargetMode="External" /><Relationship Id="rId1061" Type="http://schemas.openxmlformats.org/officeDocument/2006/relationships/hyperlink" Target="https://advance.lexis.com/api/document?collection=cases-ca&amp;id=urn:contentItem:5F7T-S6T1-JP9P-G13M-00000-00&amp;context=" TargetMode="External" /><Relationship Id="rId1062" Type="http://schemas.openxmlformats.org/officeDocument/2006/relationships/hyperlink" Target="https://advance.lexis.com/api/document?collection=cases-ca&amp;id=urn:contentItem:5F7T-S6T1-FJTD-G1PC-00000-00&amp;context=" TargetMode="External" /><Relationship Id="rId1063" Type="http://schemas.openxmlformats.org/officeDocument/2006/relationships/hyperlink" Target="https://advance.lexis.com/api/document?collection=cases-ca&amp;id=urn:contentItem:5F7T-S781-F06F-23P1-00000-00&amp;context=" TargetMode="External" /><Relationship Id="rId1064" Type="http://schemas.openxmlformats.org/officeDocument/2006/relationships/hyperlink" Target="https://advance.lexis.com/api/document?collection=cases-ca&amp;id=urn:contentItem:5F7T-S7D1-FFFC-B14J-00000-00&amp;context=" TargetMode="External" /><Relationship Id="rId1065" Type="http://schemas.openxmlformats.org/officeDocument/2006/relationships/hyperlink" Target="https://advance.lexis.com/api/document?collection=cases-ca&amp;id=urn:contentItem:5F7T-S711-JB2B-S17T-00000-00&amp;context=" TargetMode="External" /><Relationship Id="rId1066" Type="http://schemas.openxmlformats.org/officeDocument/2006/relationships/hyperlink" Target="https://advance.lexis.com/api/document?collection=cases-ca&amp;id=urn:contentItem:5F7T-S741-F2F4-G288-00000-00&amp;context=" TargetMode="External" /><Relationship Id="rId1067" Type="http://schemas.openxmlformats.org/officeDocument/2006/relationships/hyperlink" Target="https://advance.lexis.com/api/document?collection=cases-ca&amp;id=urn:contentItem:5F7T-S741-DY89-M3BC-00000-00&amp;context=" TargetMode="External" /><Relationship Id="rId1068" Type="http://schemas.openxmlformats.org/officeDocument/2006/relationships/hyperlink" Target="https://advance.lexis.com/api/document?collection=cases-ca&amp;id=urn:contentItem:5F7T-S761-FGJR-2292-00000-00&amp;context=" TargetMode="External" /><Relationship Id="rId1069" Type="http://schemas.openxmlformats.org/officeDocument/2006/relationships/hyperlink" Target="https://advance.lexis.com/api/document?collection=cases-ca&amp;id=urn:contentItem:5F7T-S7F1-JK4W-M1MT-00000-00&amp;context=" TargetMode="External" /><Relationship Id="rId107" Type="http://schemas.openxmlformats.org/officeDocument/2006/relationships/hyperlink" Target="https://advance.lexis.com/api/document?collection=cases-ca&amp;id=urn:contentItem:5F8T-N3T1-JFKM-6549-00000-00&amp;context=" TargetMode="External" /><Relationship Id="rId1070" Type="http://schemas.openxmlformats.org/officeDocument/2006/relationships/hyperlink" Target="https://advance.lexis.com/api/document?collection=cases-ca&amp;id=urn:contentItem:5F7T-S6V1-F956-S05H-00000-00&amp;context=" TargetMode="External" /><Relationship Id="rId1071" Type="http://schemas.openxmlformats.org/officeDocument/2006/relationships/numbering" Target="numbering.xml" /><Relationship Id="rId1072" Type="http://schemas.openxmlformats.org/officeDocument/2006/relationships/styles" Target="styles.xml" /><Relationship Id="rId108" Type="http://schemas.openxmlformats.org/officeDocument/2006/relationships/hyperlink" Target="https://advance.lexis.com/api/document?collection=cases-ca&amp;id=urn:contentItem:5F8T-N3V1-JF75-M3CD-00000-00&amp;context=" TargetMode="External" /><Relationship Id="rId109" Type="http://schemas.openxmlformats.org/officeDocument/2006/relationships/hyperlink" Target="https://advance.lexis.com/api/document?collection=cases-ca&amp;id=urn:contentItem:5F7T-S7D1-FFFC-B1H2-00000-00&amp;context=" TargetMode="External" /><Relationship Id="rId11" Type="http://schemas.openxmlformats.org/officeDocument/2006/relationships/hyperlink" Target="https://advance.lexis.com/api/document?collection=cases-ca&amp;id=urn:contentItem:5K6Y-81M1-F65M-61J0-00000-00&amp;context=" TargetMode="External" /><Relationship Id="rId110" Type="http://schemas.openxmlformats.org/officeDocument/2006/relationships/hyperlink" Target="https://advance.lexis.com/api/document?collection=cases-ca&amp;id=urn:contentItem:5F82-1SF1-F361-M3WH-00000-00&amp;context=" TargetMode="External" /><Relationship Id="rId111" Type="http://schemas.openxmlformats.org/officeDocument/2006/relationships/hyperlink" Target="https://advance.lexis.com/api/document?collection=cases-ca&amp;id=urn:contentItem:5F7T-S781-DYMS-61D4-00000-00&amp;context=" TargetMode="External" /><Relationship Id="rId112" Type="http://schemas.openxmlformats.org/officeDocument/2006/relationships/hyperlink" Target="https://advance.lexis.com/api/document?collection=cases-ca&amp;id=urn:contentItem:5F7T-S731-JC0G-63HG-00000-00&amp;context=" TargetMode="External" /><Relationship Id="rId113" Type="http://schemas.openxmlformats.org/officeDocument/2006/relationships/hyperlink" Target="https://advance.lexis.com/api/document?collection=cases-ca&amp;id=urn:contentItem:5F7T-S721-F5T5-M236-00000-00&amp;context=" TargetMode="External" /><Relationship Id="rId114" Type="http://schemas.openxmlformats.org/officeDocument/2006/relationships/hyperlink" Target="https://advance.lexis.com/api/document?collection=cases-ca&amp;id=urn:contentItem:5F7T-S6Y1-DY33-B06C-00000-00&amp;context=" TargetMode="External" /><Relationship Id="rId115" Type="http://schemas.openxmlformats.org/officeDocument/2006/relationships/hyperlink" Target="https://advance.lexis.com/api/document?collection=cases-ca&amp;id=urn:contentItem:5F7T-S7C1-JSRM-6129-00000-00&amp;context=" TargetMode="External" /><Relationship Id="rId116" Type="http://schemas.openxmlformats.org/officeDocument/2006/relationships/hyperlink" Target="https://advance.lexis.com/api/document?collection=cases-ca&amp;id=urn:contentItem:5F7T-S7D1-FCSB-S2RB-00000-00&amp;context=" TargetMode="External" /><Relationship Id="rId117" Type="http://schemas.openxmlformats.org/officeDocument/2006/relationships/hyperlink" Target="https://advance.lexis.com/api/document?collection=cases-ca&amp;id=urn:contentItem:5F7T-S7D1-F7ND-G0M1-00000-00&amp;context=" TargetMode="External" /><Relationship Id="rId118" Type="http://schemas.openxmlformats.org/officeDocument/2006/relationships/hyperlink" Target="https://advance.lexis.com/api/document?collection=cases-ca&amp;id=urn:contentItem:5F7T-S761-F81W-21WM-00000-00&amp;context=" TargetMode="External" /><Relationship Id="rId119" Type="http://schemas.openxmlformats.org/officeDocument/2006/relationships/hyperlink" Target="https://advance.lexis.com/api/document?collection=cases-ca&amp;id=urn:contentItem:5F7T-S6T1-FD4T-B028-00000-00&amp;context=" TargetMode="External" /><Relationship Id="rId12" Type="http://schemas.openxmlformats.org/officeDocument/2006/relationships/hyperlink" Target="https://advance.lexis.com/api/document?collection=cases-ca&amp;id=urn:contentItem:5F7T-S781-JSC5-M3X2-00000-00&amp;context=" TargetMode="External" /><Relationship Id="rId120" Type="http://schemas.openxmlformats.org/officeDocument/2006/relationships/hyperlink" Target="https://advance.lexis.com/api/document?collection=cases-ca&amp;id=urn:contentItem:5F7T-S771-JSJC-X0FN-00000-00&amp;context=" TargetMode="External" /><Relationship Id="rId121" Type="http://schemas.openxmlformats.org/officeDocument/2006/relationships/hyperlink" Target="https://advance.lexis.com/api/document?collection=cases-ca&amp;id=urn:contentItem:5F7T-S7C1-JCJ5-20GV-00000-00&amp;context=" TargetMode="External" /><Relationship Id="rId122" Type="http://schemas.openxmlformats.org/officeDocument/2006/relationships/header" Target="header22.xml" /><Relationship Id="rId123" Type="http://schemas.openxmlformats.org/officeDocument/2006/relationships/header" Target="header23.xml" /><Relationship Id="rId124" Type="http://schemas.openxmlformats.org/officeDocument/2006/relationships/footer" Target="footer22.xml" /><Relationship Id="rId125" Type="http://schemas.openxmlformats.org/officeDocument/2006/relationships/footer" Target="footer23.xml" /><Relationship Id="rId126" Type="http://schemas.openxmlformats.org/officeDocument/2006/relationships/header" Target="header24.xml" /><Relationship Id="rId127" Type="http://schemas.openxmlformats.org/officeDocument/2006/relationships/footer" Target="footer24.xml" /><Relationship Id="rId128" Type="http://schemas.openxmlformats.org/officeDocument/2006/relationships/hyperlink" Target="https://advance.lexis.com/api/document?collection=cases-ca&amp;id=urn:contentItem:5F7T-S7F1-F7VM-S434-00000-00&amp;context=" TargetMode="External" /><Relationship Id="rId129" Type="http://schemas.openxmlformats.org/officeDocument/2006/relationships/hyperlink" Target="https://advance.lexis.com/api/document?collection=cases-ca&amp;id=urn:contentItem:5F7T-S781-F900-G0TH-00000-00&amp;context=" TargetMode="External" /><Relationship Id="rId13" Type="http://schemas.openxmlformats.org/officeDocument/2006/relationships/hyperlink" Target="https://advance.lexis.com/api/document?collection=cases-ca&amp;id=urn:contentItem:5F7T-S701-JGPY-X1TP-00000-00&amp;context=" TargetMode="External" /><Relationship Id="rId130" Type="http://schemas.openxmlformats.org/officeDocument/2006/relationships/hyperlink" Target="https://advance.lexis.com/api/document?collection=cases-ca&amp;id=urn:contentItem:5F7T-S7C1-FCSB-S291-00000-00&amp;context=" TargetMode="External" /><Relationship Id="rId131" Type="http://schemas.openxmlformats.org/officeDocument/2006/relationships/hyperlink" Target="https://advance.lexis.com/api/document?collection=cases-ca&amp;id=urn:contentItem:5F7T-S7D1-FFFC-B1DT-00000-00&amp;context=" TargetMode="External" /><Relationship Id="rId132" Type="http://schemas.openxmlformats.org/officeDocument/2006/relationships/hyperlink" Target="https://advance.lexis.com/api/document?collection=cases-ca&amp;id=urn:contentItem:5F7T-S771-JW5H-X1SX-00000-00&amp;context=" TargetMode="External" /><Relationship Id="rId133" Type="http://schemas.openxmlformats.org/officeDocument/2006/relationships/hyperlink" Target="https://advance.lexis.com/api/document?collection=cases-ca&amp;id=urn:contentItem:5F7T-S7C1-JSRM-60TS-00000-00&amp;context=" TargetMode="External" /><Relationship Id="rId134" Type="http://schemas.openxmlformats.org/officeDocument/2006/relationships/hyperlink" Target="https://advance.lexis.com/api/document?collection=cases-ca&amp;id=urn:contentItem:5F7T-S6W1-F7ND-G2GK-00000-00&amp;context=" TargetMode="External" /><Relationship Id="rId135" Type="http://schemas.openxmlformats.org/officeDocument/2006/relationships/hyperlink" Target="https://advance.lexis.com/api/document?collection=cases-ca&amp;id=urn:contentItem:5F7T-S791-FJTD-G2VY-00000-00&amp;context=" TargetMode="External" /><Relationship Id="rId136" Type="http://schemas.openxmlformats.org/officeDocument/2006/relationships/hyperlink" Target="https://advance.lexis.com/api/document?collection=cases-ca&amp;id=urn:contentItem:5F7T-S781-JC5P-G1HX-00000-00&amp;context=" TargetMode="External" /><Relationship Id="rId137" Type="http://schemas.openxmlformats.org/officeDocument/2006/relationships/hyperlink" Target="https://advance.lexis.com/api/document?collection=cases-ca&amp;id=urn:contentItem:5F7T-S7C1-FGRY-B0BG-00000-00&amp;context=" TargetMode="External" /><Relationship Id="rId138" Type="http://schemas.openxmlformats.org/officeDocument/2006/relationships/hyperlink" Target="https://advance.lexis.com/api/document?collection=cases-ca&amp;id=urn:contentItem:5F7T-S761-JGHR-M2F7-00000-00&amp;context=" TargetMode="External" /><Relationship Id="rId139" Type="http://schemas.openxmlformats.org/officeDocument/2006/relationships/hyperlink" Target="https://advance.lexis.com/api/document?collection=cases-ca&amp;id=urn:contentItem:5F8T-N3V1-FC1F-M3WX-00000-00&amp;context=" TargetMode="External" /><Relationship Id="rId14" Type="http://schemas.openxmlformats.org/officeDocument/2006/relationships/hyperlink" Target="https://advance.lexis.com/api/document?collection=cases-ca&amp;id=urn:contentItem:5F7T-S7B1-FH4C-X3TT-00000-00&amp;context=" TargetMode="External" /><Relationship Id="rId140" Type="http://schemas.openxmlformats.org/officeDocument/2006/relationships/hyperlink" Target="https://advance.lexis.com/api/document?collection=cases-ca&amp;id=urn:contentItem:5F81-VJX1-FD4T-B2M5-00000-00&amp;context=" TargetMode="External" /><Relationship Id="rId141" Type="http://schemas.openxmlformats.org/officeDocument/2006/relationships/hyperlink" Target="https://advance.lexis.com/api/document?collection=cases-ca&amp;id=urn:contentItem:5F8T-N3V1-JF75-M3V2-00000-00&amp;context=" TargetMode="External" /><Relationship Id="rId142" Type="http://schemas.openxmlformats.org/officeDocument/2006/relationships/hyperlink" Target="https://advance.lexis.com/api/document?collection=cases-ca&amp;id=urn:contentItem:5F7T-S781-F7G6-63TY-00000-00&amp;context=" TargetMode="External" /><Relationship Id="rId143" Type="http://schemas.openxmlformats.org/officeDocument/2006/relationships/hyperlink" Target="https://advance.lexis.com/api/document?collection=cases-ca&amp;id=urn:contentItem:5F7T-S7B1-F7ND-G4Y5-00000-00&amp;context=" TargetMode="External" /><Relationship Id="rId144" Type="http://schemas.openxmlformats.org/officeDocument/2006/relationships/hyperlink" Target="https://advance.lexis.com/api/document?collection=cases-ca&amp;id=urn:contentItem:5F7T-S6Y1-JNY7-X2BJ-00000-00&amp;context=" TargetMode="External" /><Relationship Id="rId145" Type="http://schemas.openxmlformats.org/officeDocument/2006/relationships/hyperlink" Target="https://advance.lexis.com/api/document?collection=cases-ca&amp;id=urn:contentItem:5F8P-SD81-JX8W-M4FB-00000-00&amp;context=" TargetMode="External" /><Relationship Id="rId146" Type="http://schemas.openxmlformats.org/officeDocument/2006/relationships/hyperlink" Target="https://advance.lexis.com/api/document?collection=cases-ca&amp;id=urn:contentItem:5F7T-XPT1-F016-S06B-00000-00&amp;context=" TargetMode="External" /><Relationship Id="rId147" Type="http://schemas.openxmlformats.org/officeDocument/2006/relationships/hyperlink" Target="https://advance.lexis.com/api/document?collection=cases-ca&amp;id=urn:contentItem:5F16-9361-JYYX-63KR-00000-00&amp;context=" TargetMode="External" /><Relationship Id="rId148" Type="http://schemas.openxmlformats.org/officeDocument/2006/relationships/hyperlink" Target="https://advance.lexis.com/api/document?collection=cases-ca&amp;id=urn:contentItem:5F16-9301-JC5P-G16V-00000-00&amp;context=" TargetMode="External" /><Relationship Id="rId149" Type="http://schemas.openxmlformats.org/officeDocument/2006/relationships/hyperlink" Target="https://advance.lexis.com/api/document?collection=cases-ca&amp;id=urn:contentItem:5F8T-N3V1-JTGH-B14C-00000-00&amp;context=" TargetMode="External" /><Relationship Id="rId15" Type="http://schemas.openxmlformats.org/officeDocument/2006/relationships/hyperlink" Target="https://advance.lexis.com/api/document?collection=cases-ca&amp;id=urn:contentItem:5F7T-S7D1-FCSB-S2P6-00000-00&amp;context=" TargetMode="External" /><Relationship Id="rId150" Type="http://schemas.openxmlformats.org/officeDocument/2006/relationships/hyperlink" Target="https://advance.lexis.com/api/document?collection=cases-ca&amp;id=urn:contentItem:5F8T-N3T1-JJSF-23BN-00000-00&amp;context=" TargetMode="External" /><Relationship Id="rId151" Type="http://schemas.openxmlformats.org/officeDocument/2006/relationships/hyperlink" Target="https://advance.lexis.com/api/document?collection=cases-ca&amp;id=urn:contentItem:5F7V-3DH1-JCRC-B4WD-00000-00&amp;context=" TargetMode="External" /><Relationship Id="rId152" Type="http://schemas.openxmlformats.org/officeDocument/2006/relationships/hyperlink" Target="https://advance.lexis.com/api/document?collection=cases-ca&amp;id=urn:contentItem:5F8P-T8W1-F1H1-2292-00000-00&amp;context=" TargetMode="External" /><Relationship Id="rId153" Type="http://schemas.openxmlformats.org/officeDocument/2006/relationships/hyperlink" Target="https://advance.lexis.com/api/document?collection=cases-ca&amp;id=urn:contentItem:5F8T-N3V1-JFKM-609F-00000-00&amp;context=" TargetMode="External" /><Relationship Id="rId154" Type="http://schemas.openxmlformats.org/officeDocument/2006/relationships/hyperlink" Target="https://advance.lexis.com/api/document?collection=cases-ca&amp;id=urn:contentItem:5F7V-3DJ1-JK4W-M3B6-00000-00&amp;context=" TargetMode="External" /><Relationship Id="rId155" Type="http://schemas.openxmlformats.org/officeDocument/2006/relationships/hyperlink" Target="https://advance.lexis.com/api/document?collection=cases-ca&amp;id=urn:contentItem:5F8P-T8W1-F900-G4DG-00000-00&amp;context=" TargetMode="External" /><Relationship Id="rId156" Type="http://schemas.openxmlformats.org/officeDocument/2006/relationships/hyperlink" Target="https://advance.lexis.com/api/document?collection=cases-ca&amp;id=urn:contentItem:5F7T-S771-JJD0-G18F-00000-00&amp;context=" TargetMode="External" /><Relationship Id="rId157" Type="http://schemas.openxmlformats.org/officeDocument/2006/relationships/hyperlink" Target="https://advance.lexis.com/api/document?collection=cases-ca&amp;id=urn:contentItem:5F7T-S771-JWBS-61D6-00000-00&amp;context=" TargetMode="External" /><Relationship Id="rId158" Type="http://schemas.openxmlformats.org/officeDocument/2006/relationships/hyperlink" Target="https://advance.lexis.com/api/document?collection=cases-ca&amp;id=urn:contentItem:5F7T-S7F1-FFFC-B1KP-00000-00&amp;context=" TargetMode="External" /><Relationship Id="rId159" Type="http://schemas.openxmlformats.org/officeDocument/2006/relationships/hyperlink" Target="https://advance.lexis.com/api/document?collection=cases-ca&amp;id=urn:contentItem:5F81-VJX1-FGY5-M3H4-00000-00&amp;context=" TargetMode="External" /><Relationship Id="rId16" Type="http://schemas.openxmlformats.org/officeDocument/2006/relationships/hyperlink" Target="https://advance.lexis.com/api/document?collection=cases-ca&amp;id=urn:contentItem:5F7T-S7C1-F30T-B275-00000-00&amp;context=" TargetMode="External" /><Relationship Id="rId160" Type="http://schemas.openxmlformats.org/officeDocument/2006/relationships/hyperlink" Target="https://advance.lexis.com/api/document?collection=cases-ca&amp;id=urn:contentItem:5F8T-N3T1-JGHR-M1XS-00000-00&amp;context=" TargetMode="External" /><Relationship Id="rId161" Type="http://schemas.openxmlformats.org/officeDocument/2006/relationships/hyperlink" Target="https://advance.lexis.com/api/document?collection=cases-ca&amp;id=urn:contentItem:5F8T-N3T1-JJSF-23B6-00000-00&amp;context=" TargetMode="External" /><Relationship Id="rId162" Type="http://schemas.openxmlformats.org/officeDocument/2006/relationships/hyperlink" Target="https://advance.lexis.com/api/document?collection=cases-ca&amp;id=urn:contentItem:5F7F-5RH1-FJM6-6036-00000-00&amp;context=" TargetMode="External" /><Relationship Id="rId163" Type="http://schemas.openxmlformats.org/officeDocument/2006/relationships/hyperlink" Target="https://advance.lexis.com/api/document?collection=cases-ca&amp;id=urn:contentItem:5F7T-S701-JF75-M4DS-00000-00&amp;context=" TargetMode="External" /><Relationship Id="rId164" Type="http://schemas.openxmlformats.org/officeDocument/2006/relationships/hyperlink" Target="https://advance.lexis.com/api/document?collection=cases-ca&amp;id=urn:contentItem:5F8T-N3V1-FC1F-M43G-00000-00&amp;context=" TargetMode="External" /><Relationship Id="rId165" Type="http://schemas.openxmlformats.org/officeDocument/2006/relationships/hyperlink" Target="https://advance.lexis.com/api/document?collection=cases-ca&amp;id=urn:contentItem:5F8T-N3T1-JJSF-23NF-00000-00&amp;context=" TargetMode="External" /><Relationship Id="rId166" Type="http://schemas.openxmlformats.org/officeDocument/2006/relationships/hyperlink" Target="https://advance.lexis.com/api/document?collection=cases-ca&amp;id=urn:contentItem:5F7T-S7F1-JFKM-61RR-00000-00&amp;context=" TargetMode="External" /><Relationship Id="rId167" Type="http://schemas.openxmlformats.org/officeDocument/2006/relationships/hyperlink" Target="https://advance.lexis.com/api/document?collection=cases-ca&amp;id=urn:contentItem:5F8T-N3T1-JJSF-2339-00000-00&amp;context=" TargetMode="External" /><Relationship Id="rId168" Type="http://schemas.openxmlformats.org/officeDocument/2006/relationships/hyperlink" Target="https://advance.lexis.com/api/document?collection=cases-ca&amp;id=urn:contentItem:5F81-VJW1-FGY5-M2PM-00000-00&amp;context=" TargetMode="External" /><Relationship Id="rId169" Type="http://schemas.openxmlformats.org/officeDocument/2006/relationships/hyperlink" Target="https://advance.lexis.com/api/document?collection=cases-ca&amp;id=urn:contentItem:5F16-9371-JT99-21V1-00000-00&amp;context=" TargetMode="External" /><Relationship Id="rId17" Type="http://schemas.openxmlformats.org/officeDocument/2006/relationships/hyperlink" Target="https://advance.lexis.com/api/document?collection=cases-ca&amp;id=urn:contentItem:5F7T-S6Y1-F4GK-M242-00000-00&amp;context=" TargetMode="External" /><Relationship Id="rId170" Type="http://schemas.openxmlformats.org/officeDocument/2006/relationships/hyperlink" Target="https://advance.lexis.com/api/document?collection=cases-ca&amp;id=urn:contentItem:5F8T-N3V1-JF75-M3GT-00000-00&amp;context=" TargetMode="External" /><Relationship Id="rId171" Type="http://schemas.openxmlformats.org/officeDocument/2006/relationships/hyperlink" Target="https://advance.lexis.com/api/document?collection=cases-ca&amp;id=urn:contentItem:5F7T-S7G1-JX3N-B2JF-00000-00&amp;context=" TargetMode="External" /><Relationship Id="rId172" Type="http://schemas.openxmlformats.org/officeDocument/2006/relationships/header" Target="header25.xml" /><Relationship Id="rId173" Type="http://schemas.openxmlformats.org/officeDocument/2006/relationships/header" Target="header26.xml" /><Relationship Id="rId174" Type="http://schemas.openxmlformats.org/officeDocument/2006/relationships/footer" Target="footer25.xml" /><Relationship Id="rId175" Type="http://schemas.openxmlformats.org/officeDocument/2006/relationships/footer" Target="footer26.xml" /><Relationship Id="rId176" Type="http://schemas.openxmlformats.org/officeDocument/2006/relationships/header" Target="header27.xml" /><Relationship Id="rId177" Type="http://schemas.openxmlformats.org/officeDocument/2006/relationships/footer" Target="footer27.xml" /><Relationship Id="rId178" Type="http://schemas.openxmlformats.org/officeDocument/2006/relationships/hyperlink" Target="https://advance.lexis.com/api/document?collection=cases-ca&amp;id=urn:contentItem:5GCC-XV91-JSXV-G55P-00000-00&amp;context=" TargetMode="External" /><Relationship Id="rId179" Type="http://schemas.openxmlformats.org/officeDocument/2006/relationships/image" Target="media/image1.png" /><Relationship Id="rId18" Type="http://schemas.openxmlformats.org/officeDocument/2006/relationships/header" Target="header4.xml" /><Relationship Id="rId180" Type="http://schemas.openxmlformats.org/officeDocument/2006/relationships/hyperlink" Target="https://advance.lexis.com/api/document?collection=cases-ca&amp;id=urn:contentItem:5F7T-S7K1-JSJC-X16J-00000-00&amp;context=" TargetMode="External" /><Relationship Id="rId181" Type="http://schemas.openxmlformats.org/officeDocument/2006/relationships/hyperlink" Target="https://advance.lexis.com/api/document?collection=cases-ca&amp;id=urn:contentItem:5F7T-S7M1-JNCK-22WV-00000-00&amp;context=" TargetMode="External" /><Relationship Id="rId182" Type="http://schemas.openxmlformats.org/officeDocument/2006/relationships/hyperlink" Target="https://advance.lexis.com/api/document?collection=cases-ca&amp;id=urn:contentItem:5F8T-N3V1-JF75-M3SJ-00000-00&amp;context=" TargetMode="External" /><Relationship Id="rId183" Type="http://schemas.openxmlformats.org/officeDocument/2006/relationships/hyperlink" Target="https://advance.lexis.com/api/document?collection=cases-ca&amp;id=urn:contentItem:5F16-93B1-JN14-G0DP-00000-00&amp;context=" TargetMode="External" /><Relationship Id="rId184" Type="http://schemas.openxmlformats.org/officeDocument/2006/relationships/hyperlink" Target="https://advance.lexis.com/api/document?collection=cases-ca&amp;id=urn:contentItem:5F7T-S7D1-JG02-S2W7-00000-00&amp;context=" TargetMode="External" /><Relationship Id="rId185" Type="http://schemas.openxmlformats.org/officeDocument/2006/relationships/hyperlink" Target="https://advance.lexis.com/api/document?collection=cases-ca&amp;id=urn:contentItem:5F8T-N3V1-FC1F-M4BS-00000-00&amp;context=" TargetMode="External" /><Relationship Id="rId186" Type="http://schemas.openxmlformats.org/officeDocument/2006/relationships/header" Target="header28.xml" /><Relationship Id="rId187" Type="http://schemas.openxmlformats.org/officeDocument/2006/relationships/header" Target="header29.xml" /><Relationship Id="rId188" Type="http://schemas.openxmlformats.org/officeDocument/2006/relationships/footer" Target="footer28.xml" /><Relationship Id="rId189" Type="http://schemas.openxmlformats.org/officeDocument/2006/relationships/footer" Target="footer29.xml" /><Relationship Id="rId19" Type="http://schemas.openxmlformats.org/officeDocument/2006/relationships/header" Target="header5.xml" /><Relationship Id="rId190" Type="http://schemas.openxmlformats.org/officeDocument/2006/relationships/header" Target="header30.xml" /><Relationship Id="rId191" Type="http://schemas.openxmlformats.org/officeDocument/2006/relationships/footer" Target="footer30.xml" /><Relationship Id="rId192" Type="http://schemas.openxmlformats.org/officeDocument/2006/relationships/hyperlink" Target="https://advance.lexis.com/api/document?collection=cases-ca&amp;id=urn:contentItem:5F7T-S7M1-JCRC-B1F6-00000-00&amp;context=" TargetMode="External" /><Relationship Id="rId193" Type="http://schemas.openxmlformats.org/officeDocument/2006/relationships/hyperlink" Target="https://advance.lexis.com/api/document?collection=cases-ca&amp;id=urn:contentItem:5F8P-SGB1-JBT7-X363-00000-00&amp;context=" TargetMode="External" /><Relationship Id="rId194" Type="http://schemas.openxmlformats.org/officeDocument/2006/relationships/hyperlink" Target="https://advance.lexis.com/api/document?collection=cases-ca&amp;id=urn:contentItem:5F8P-SDN1-JG59-23CB-00000-00&amp;context=" TargetMode="External" /><Relationship Id="rId195" Type="http://schemas.openxmlformats.org/officeDocument/2006/relationships/header" Target="header31.xml" /><Relationship Id="rId196" Type="http://schemas.openxmlformats.org/officeDocument/2006/relationships/header" Target="header32.xml" /><Relationship Id="rId197" Type="http://schemas.openxmlformats.org/officeDocument/2006/relationships/footer" Target="footer31.xml" /><Relationship Id="rId198" Type="http://schemas.openxmlformats.org/officeDocument/2006/relationships/footer" Target="footer32.xml" /><Relationship Id="rId199" Type="http://schemas.openxmlformats.org/officeDocument/2006/relationships/header" Target="header33.xml" /><Relationship Id="rId2" Type="http://schemas.openxmlformats.org/officeDocument/2006/relationships/webSettings" Target="webSettings.xml" /><Relationship Id="rId20" Type="http://schemas.openxmlformats.org/officeDocument/2006/relationships/footer" Target="footer4.xml" /><Relationship Id="rId200" Type="http://schemas.openxmlformats.org/officeDocument/2006/relationships/footer" Target="footer33.xml" /><Relationship Id="rId201" Type="http://schemas.openxmlformats.org/officeDocument/2006/relationships/hyperlink" Target="https://advance.lexis.com/api/document?collection=cases-ca&amp;id=urn:contentItem:5F7T-S7F1-DXWW-24D1-00000-00&amp;context=" TargetMode="External" /><Relationship Id="rId202" Type="http://schemas.openxmlformats.org/officeDocument/2006/relationships/hyperlink" Target="https://advance.lexis.com/api/document?collection=cases-ca&amp;id=urn:contentItem:5F7T-S7F1-FJTD-G3D9-00000-00&amp;context=" TargetMode="External" /><Relationship Id="rId203" Type="http://schemas.openxmlformats.org/officeDocument/2006/relationships/hyperlink" Target="https://advance.lexis.com/api/document?collection=cases-ca&amp;id=urn:contentItem:5F7T-S7F1-JX3N-B1VG-00000-00&amp;context=" TargetMode="External" /><Relationship Id="rId204" Type="http://schemas.openxmlformats.org/officeDocument/2006/relationships/hyperlink" Target="https://advance.lexis.com/api/document?collection=cases-ca&amp;id=urn:contentItem:5F8T-N3V1-JTGH-B18G-00000-00&amp;context=" TargetMode="External" /><Relationship Id="rId205" Type="http://schemas.openxmlformats.org/officeDocument/2006/relationships/hyperlink" Target="https://advance.lexis.com/api/document?collection=cases-ca&amp;id=urn:contentItem:5F7T-S6T1-F361-M06J-00000-00&amp;context=" TargetMode="External" /><Relationship Id="rId206" Type="http://schemas.openxmlformats.org/officeDocument/2006/relationships/hyperlink" Target="https://advance.lexis.com/api/document?collection=cases-ca&amp;id=urn:contentItem:5F7T-S6Y1-JTNR-M464-00000-00&amp;context=" TargetMode="External" /><Relationship Id="rId207" Type="http://schemas.openxmlformats.org/officeDocument/2006/relationships/hyperlink" Target="https://advance.lexis.com/api/document?collection=cases-ca&amp;id=urn:contentItem:5F7T-S781-F06F-23PM-00000-00&amp;context=" TargetMode="External" /><Relationship Id="rId208" Type="http://schemas.openxmlformats.org/officeDocument/2006/relationships/hyperlink" Target="https://advance.lexis.com/api/document?collection=cases-ca&amp;id=urn:contentItem:5F7T-S701-JF75-M48M-00000-00&amp;context=" TargetMode="External" /><Relationship Id="rId209" Type="http://schemas.openxmlformats.org/officeDocument/2006/relationships/hyperlink" Target="https://advance.lexis.com/api/document?collection=cases-ca&amp;id=urn:contentItem:5F2P-NNP1-JGBH-B01W-00000-00&amp;context=" TargetMode="External" /><Relationship Id="rId21" Type="http://schemas.openxmlformats.org/officeDocument/2006/relationships/footer" Target="footer5.xml" /><Relationship Id="rId210" Type="http://schemas.openxmlformats.org/officeDocument/2006/relationships/hyperlink" Target="https://advance.lexis.com/api/document?collection=cases-ca&amp;id=urn:contentItem:5F7T-S7F1-DXWW-23JC-00000-00&amp;context=" TargetMode="External" /><Relationship Id="rId211" Type="http://schemas.openxmlformats.org/officeDocument/2006/relationships/hyperlink" Target="https://advance.lexis.com/api/document?collection=cases-ca&amp;id=urn:contentItem:5F7T-S721-F956-S19R-00000-00&amp;context=" TargetMode="External" /><Relationship Id="rId212" Type="http://schemas.openxmlformats.org/officeDocument/2006/relationships/hyperlink" Target="https://advance.lexis.com/api/document?collection=cases-ca&amp;id=urn:contentItem:5F7T-S751-F361-M0NJ-00000-00&amp;context=" TargetMode="External" /><Relationship Id="rId213" Type="http://schemas.openxmlformats.org/officeDocument/2006/relationships/hyperlink" Target="https://advance.lexis.com/api/document?collection=cases-ca&amp;id=urn:contentItem:5F7T-S721-FD4T-B149-00000-00&amp;context=" TargetMode="External" /><Relationship Id="rId214" Type="http://schemas.openxmlformats.org/officeDocument/2006/relationships/hyperlink" Target="https://advance.lexis.com/api/document?collection=cases-ca&amp;id=urn:contentItem:5F7T-S7B1-F7ND-G4X4-00000-00&amp;context=" TargetMode="External" /><Relationship Id="rId215" Type="http://schemas.openxmlformats.org/officeDocument/2006/relationships/hyperlink" Target="https://advance.lexis.com/api/document?collection=cases-ca&amp;id=urn:contentItem:5F7T-S7B1-JSRM-60KR-00000-00&amp;context=" TargetMode="External" /><Relationship Id="rId216" Type="http://schemas.openxmlformats.org/officeDocument/2006/relationships/hyperlink" Target="https://advance.lexis.com/api/document?collection=cases-ca&amp;id=urn:contentItem:5F7T-S7D1-FFFC-B1F7-00000-00&amp;context=" TargetMode="External" /><Relationship Id="rId217" Type="http://schemas.openxmlformats.org/officeDocument/2006/relationships/hyperlink" Target="https://advance.lexis.com/api/document?collection=cases-ca&amp;id=urn:contentItem:5F8T-N3T1-JFKM-651D-00000-00&amp;context=" TargetMode="External" /><Relationship Id="rId218" Type="http://schemas.openxmlformats.org/officeDocument/2006/relationships/hyperlink" Target="https://advance.lexis.com/api/document?collection=cases-ca&amp;id=urn:contentItem:5F7T-S751-F361-M188-00000-00&amp;context=" TargetMode="External" /><Relationship Id="rId219" Type="http://schemas.openxmlformats.org/officeDocument/2006/relationships/hyperlink" Target="https://advance.lexis.com/api/document?collection=cases-ca&amp;id=urn:contentItem:5F7T-S7G1-JX3N-B24S-00000-00&amp;context=" TargetMode="External" /><Relationship Id="rId22" Type="http://schemas.openxmlformats.org/officeDocument/2006/relationships/header" Target="header6.xml" /><Relationship Id="rId220" Type="http://schemas.openxmlformats.org/officeDocument/2006/relationships/hyperlink" Target="https://advance.lexis.com/api/document?collection=cases-ca&amp;id=urn:contentItem:5F7T-S761-FFMK-M15W-00000-00&amp;context=" TargetMode="External" /><Relationship Id="rId221" Type="http://schemas.openxmlformats.org/officeDocument/2006/relationships/hyperlink" Target="https://advance.lexis.com/api/document?collection=cases-ca&amp;id=urn:contentItem:5F7T-S731-JC0G-63F2-00000-00&amp;context=" TargetMode="External" /><Relationship Id="rId222" Type="http://schemas.openxmlformats.org/officeDocument/2006/relationships/hyperlink" Target="https://advance.lexis.com/api/document?collection=cases-ca&amp;id=urn:contentItem:5F8T-N3R1-FJDY-X3CN-00000-00&amp;context=" TargetMode="External" /><Relationship Id="rId223" Type="http://schemas.openxmlformats.org/officeDocument/2006/relationships/hyperlink" Target="https://advance.lexis.com/api/document?collection=cases-ca&amp;id=urn:contentItem:5F7T-S711-JB2B-S112-00000-00&amp;context=" TargetMode="External" /><Relationship Id="rId224" Type="http://schemas.openxmlformats.org/officeDocument/2006/relationships/hyperlink" Target="https://advance.lexis.com/api/document?collection=cases-ca&amp;id=urn:contentItem:5F7T-S7D1-JS5Y-B2J0-00000-00&amp;context=" TargetMode="External" /><Relationship Id="rId225" Type="http://schemas.openxmlformats.org/officeDocument/2006/relationships/hyperlink" Target="https://advance.lexis.com/api/document?collection=cases-ca&amp;id=urn:contentItem:5F7T-S7F1-JX3N-B1MV-00000-00&amp;context=" TargetMode="External" /><Relationship Id="rId226" Type="http://schemas.openxmlformats.org/officeDocument/2006/relationships/hyperlink" Target="https://advance.lexis.com/api/document?collection=cases-ca&amp;id=urn:contentItem:5F7T-S7C1-F7ND-G040-00000-00&amp;context=" TargetMode="External" /><Relationship Id="rId227" Type="http://schemas.openxmlformats.org/officeDocument/2006/relationships/hyperlink" Target="https://advance.lexis.com/api/document?collection=cases-ca&amp;id=urn:contentItem:5F7T-S771-FG68-G10T-00000-00&amp;context=" TargetMode="External" /><Relationship Id="rId228" Type="http://schemas.openxmlformats.org/officeDocument/2006/relationships/hyperlink" Target="https://advance.lexis.com/api/document?collection=cases-ca&amp;id=urn:contentItem:5F7T-S7F1-JX3N-B1J5-00000-00&amp;context=" TargetMode="External" /><Relationship Id="rId229" Type="http://schemas.openxmlformats.org/officeDocument/2006/relationships/header" Target="header34.xml" /><Relationship Id="rId23" Type="http://schemas.openxmlformats.org/officeDocument/2006/relationships/footer" Target="footer6.xml" /><Relationship Id="rId230" Type="http://schemas.openxmlformats.org/officeDocument/2006/relationships/header" Target="header35.xml" /><Relationship Id="rId231" Type="http://schemas.openxmlformats.org/officeDocument/2006/relationships/footer" Target="footer34.xml" /><Relationship Id="rId232" Type="http://schemas.openxmlformats.org/officeDocument/2006/relationships/footer" Target="footer35.xml" /><Relationship Id="rId233" Type="http://schemas.openxmlformats.org/officeDocument/2006/relationships/header" Target="header36.xml" /><Relationship Id="rId234" Type="http://schemas.openxmlformats.org/officeDocument/2006/relationships/footer" Target="footer36.xml" /><Relationship Id="rId235" Type="http://schemas.openxmlformats.org/officeDocument/2006/relationships/hyperlink" Target="https://advance.lexis.com/api/document?collection=cases-ca&amp;id=urn:contentItem:5F7T-S781-FH4C-X30F-00000-00&amp;context=" TargetMode="External" /><Relationship Id="rId236" Type="http://schemas.openxmlformats.org/officeDocument/2006/relationships/hyperlink" Target="https://advance.lexis.com/api/document?collection=cases-ca&amp;id=urn:contentItem:5F7D-TJY1-FGJR-20B9-00000-00&amp;context=" TargetMode="External" /><Relationship Id="rId237" Type="http://schemas.openxmlformats.org/officeDocument/2006/relationships/hyperlink" Target="https://advance.lexis.com/api/document?collection=legislation-ca&amp;id=urn:contentItem:5F3B-B8K1-F81W-220D-00000-00&amp;context=" TargetMode="External" /><Relationship Id="rId238" Type="http://schemas.openxmlformats.org/officeDocument/2006/relationships/hyperlink" Target="https://advance.lexis.com/api/document?collection=legislation-ca&amp;id=urn:contentItem:5F3B-B8S1-JGPY-X12R-00000-00&amp;context=" TargetMode="External" /><Relationship Id="rId239" Type="http://schemas.openxmlformats.org/officeDocument/2006/relationships/hyperlink" Target="https://advance.lexis.com/api/document?collection=legislation-ca&amp;id=urn:contentItem:5F41-1FG1-FC1F-M0TW-00000-00&amp;context=" TargetMode="External" /><Relationship Id="rId24" Type="http://schemas.openxmlformats.org/officeDocument/2006/relationships/hyperlink" Target="https://advance.lexis.com/api/document?collection=cases-ca&amp;id=urn:contentItem:5J9B-77X1-F8D9-M2RW-00000-00&amp;context=" TargetMode="External" /><Relationship Id="rId240" Type="http://schemas.openxmlformats.org/officeDocument/2006/relationships/hyperlink" Target="https://advance.lexis.com/api/document?collection=legislation-ca&amp;id=urn:contentItem:5VYK-WB11-JGHR-M4GH-00000-00&amp;context=" TargetMode="External" /><Relationship Id="rId241" Type="http://schemas.openxmlformats.org/officeDocument/2006/relationships/hyperlink" Target="https://advance.lexis.com/api/document?collection=cases-ca&amp;id=urn:contentItem:5F8W-M451-F528-G25T-00000-00&amp;context=" TargetMode="External" /><Relationship Id="rId242" Type="http://schemas.openxmlformats.org/officeDocument/2006/relationships/hyperlink" Target="https://advance.lexis.com/api/document?collection=cases-ca&amp;id=urn:contentItem:5F81-YGM1-JG02-S13K-00000-00&amp;context=" TargetMode="External" /><Relationship Id="rId243" Type="http://schemas.openxmlformats.org/officeDocument/2006/relationships/hyperlink" Target="https://advance.lexis.com/api/document?collection=legislation-ca&amp;id=urn:contentItem:5VYK-WB51-JKB3-X1DV-00000-00&amp;context=" TargetMode="External" /><Relationship Id="rId244" Type="http://schemas.openxmlformats.org/officeDocument/2006/relationships/hyperlink" Target="https://advance.lexis.com/api/document?collection=cases-ca&amp;id=urn:contentItem:5F81-VJV1-F8D9-M0V7-00000-00&amp;context=" TargetMode="External" /><Relationship Id="rId245" Type="http://schemas.openxmlformats.org/officeDocument/2006/relationships/hyperlink" Target="https://advance.lexis.com/api/document?collection=cases-ca&amp;id=urn:contentItem:5F7T-S6W1-F4GK-M11J-00000-00&amp;context=" TargetMode="External" /><Relationship Id="rId246" Type="http://schemas.openxmlformats.org/officeDocument/2006/relationships/hyperlink" Target="https://advance.lexis.com/api/document?collection=cases-ca&amp;id=urn:contentItem:5F7T-S6T1-JJSF-219N-00000-00&amp;context=" TargetMode="External" /><Relationship Id="rId247" Type="http://schemas.openxmlformats.org/officeDocument/2006/relationships/hyperlink" Target="https://advance.lexis.com/api/document?collection=cases-ca&amp;id=urn:contentItem:5F7T-S6T1-DY89-M2SH-00000-00&amp;context=" TargetMode="External" /><Relationship Id="rId248" Type="http://schemas.openxmlformats.org/officeDocument/2006/relationships/hyperlink" Target="https://advance.lexis.com/api/document?collection=cases-ca&amp;id=urn:contentItem:5F8T-N3T1-JGHR-M1XV-00000-00&amp;context=" TargetMode="External" /><Relationship Id="rId249" Type="http://schemas.openxmlformats.org/officeDocument/2006/relationships/hyperlink" Target="https://advance.lexis.com/api/document?collection=cases-ca&amp;id=urn:contentItem:5F8W-M451-FCSB-S1BS-00000-00&amp;context=" TargetMode="External" /><Relationship Id="rId25" Type="http://schemas.openxmlformats.org/officeDocument/2006/relationships/hyperlink" Target="https://advance.lexis.com/api/document?collection=cases-ca&amp;id=urn:contentItem:5F7T-S7K1-JSJC-X10G-00000-00&amp;context=" TargetMode="External" /><Relationship Id="rId250" Type="http://schemas.openxmlformats.org/officeDocument/2006/relationships/hyperlink" Target="https://advance.lexis.com/api/document?collection=cases-ca&amp;id=urn:contentItem:5F8T-N3T1-JFKM-653K-00000-00&amp;context=" TargetMode="External" /><Relationship Id="rId251" Type="http://schemas.openxmlformats.org/officeDocument/2006/relationships/hyperlink" Target="https://advance.lexis.com/api/document?collection=cases-ca&amp;id=urn:contentItem:5F7T-S761-F7ND-G48N-00000-00&amp;context=" TargetMode="External" /><Relationship Id="rId252" Type="http://schemas.openxmlformats.org/officeDocument/2006/relationships/hyperlink" Target="https://advance.lexis.com/api/document?collection=cases-ca&amp;id=urn:contentItem:5F7T-S751-JG02-S2J4-00000-00&amp;context=" TargetMode="External" /><Relationship Id="rId253" Type="http://schemas.openxmlformats.org/officeDocument/2006/relationships/hyperlink" Target="https://advance.lexis.com/api/document?collection=cases-ca&amp;id=urn:contentItem:5F7T-S7G1-JBT7-X483-00000-00&amp;context=" TargetMode="External" /><Relationship Id="rId254" Type="http://schemas.openxmlformats.org/officeDocument/2006/relationships/hyperlink" Target="https://advance.lexis.com/api/document?collection=cases-ca&amp;id=urn:contentItem:5F7T-S761-JCBX-S0HH-00000-00&amp;context=" TargetMode="External" /><Relationship Id="rId255" Type="http://schemas.openxmlformats.org/officeDocument/2006/relationships/hyperlink" Target="https://advance.lexis.com/api/document?collection=cases-ca&amp;id=urn:contentItem:5F7T-S721-F4NT-X2W2-00000-00&amp;context=" TargetMode="External" /><Relationship Id="rId256" Type="http://schemas.openxmlformats.org/officeDocument/2006/relationships/hyperlink" Target="https://advance.lexis.com/api/document?collection=cases-ca&amp;id=urn:contentItem:5F7T-S6T1-F361-M02B-00000-00&amp;context=" TargetMode="External" /><Relationship Id="rId257" Type="http://schemas.openxmlformats.org/officeDocument/2006/relationships/hyperlink" Target="https://advance.lexis.com/api/document?collection=cases-ca&amp;id=urn:contentItem:5F16-93B1-F4GK-M3X0-00000-00&amp;context=" TargetMode="External" /><Relationship Id="rId258" Type="http://schemas.openxmlformats.org/officeDocument/2006/relationships/hyperlink" Target="https://advance.lexis.com/api/document?collection=cases-ca&amp;id=urn:contentItem:5F7T-S7H1-JFKM-6275-00000-00&amp;context=" TargetMode="External" /><Relationship Id="rId259" Type="http://schemas.openxmlformats.org/officeDocument/2006/relationships/hyperlink" Target="https://advance.lexis.com/api/document?collection=cases-ca&amp;id=urn:contentItem:5F7T-S6R1-F4GK-M0H6-00000-00&amp;context=" TargetMode="External" /><Relationship Id="rId26" Type="http://schemas.openxmlformats.org/officeDocument/2006/relationships/hyperlink" Target="https://advance.lexis.com/api/document?collection=cases-ca&amp;id=urn:contentItem:5F8T-N3T1-JFKM-654F-00000-00&amp;context=" TargetMode="External" /><Relationship Id="rId260" Type="http://schemas.openxmlformats.org/officeDocument/2006/relationships/hyperlink" Target="https://advance.lexis.com/api/document?collection=cases-ca&amp;id=urn:contentItem:5F8T-N3T1-JGHR-M29X-00000-00&amp;context=" TargetMode="External" /><Relationship Id="rId261" Type="http://schemas.openxmlformats.org/officeDocument/2006/relationships/hyperlink" Target="https://advance.lexis.com/api/document?collection=legislation-ca&amp;id=urn:contentItem:5VYK-WB51-JW09-M4VW-00000-00&amp;context=" TargetMode="External" /><Relationship Id="rId262" Type="http://schemas.openxmlformats.org/officeDocument/2006/relationships/hyperlink" Target="https://advance.lexis.com/api/document?collection=cases-ca&amp;id=urn:contentItem:5F8T-N3T1-JGHR-M27Y-00000-00&amp;context=" TargetMode="External" /><Relationship Id="rId263" Type="http://schemas.openxmlformats.org/officeDocument/2006/relationships/hyperlink" Target="https://advance.lexis.com/api/document?collection=cases-ca&amp;id=urn:contentItem:5F7T-S761-FFMK-M17W-00000-00&amp;context=" TargetMode="External" /><Relationship Id="rId264" Type="http://schemas.openxmlformats.org/officeDocument/2006/relationships/hyperlink" Target="https://advance.lexis.com/api/document?collection=cases-ca&amp;id=urn:contentItem:5F82-1SD1-FCK4-G2PD-00000-00&amp;context=" TargetMode="External" /><Relationship Id="rId265" Type="http://schemas.openxmlformats.org/officeDocument/2006/relationships/header" Target="header37.xml" /><Relationship Id="rId266" Type="http://schemas.openxmlformats.org/officeDocument/2006/relationships/header" Target="header38.xml" /><Relationship Id="rId267" Type="http://schemas.openxmlformats.org/officeDocument/2006/relationships/footer" Target="footer37.xml" /><Relationship Id="rId268" Type="http://schemas.openxmlformats.org/officeDocument/2006/relationships/footer" Target="footer38.xml" /><Relationship Id="rId269" Type="http://schemas.openxmlformats.org/officeDocument/2006/relationships/header" Target="header39.xml" /><Relationship Id="rId27" Type="http://schemas.openxmlformats.org/officeDocument/2006/relationships/hyperlink" Target="https://advance.lexis.com/api/document?collection=cases-ca&amp;id=urn:contentItem:5F7T-S7D1-JN6B-S14Y-00000-00&amp;context=" TargetMode="External" /><Relationship Id="rId270" Type="http://schemas.openxmlformats.org/officeDocument/2006/relationships/footer" Target="footer39.xml" /><Relationship Id="rId271" Type="http://schemas.openxmlformats.org/officeDocument/2006/relationships/hyperlink" Target="https://advance.lexis.com/api/document?collection=cases-ca&amp;id=urn:contentItem:5F7T-S781-JSC5-M4D1-00000-00&amp;context=" TargetMode="External" /><Relationship Id="rId272" Type="http://schemas.openxmlformats.org/officeDocument/2006/relationships/hyperlink" Target="https://advance.lexis.com/api/document?collection=cases-ca&amp;id=urn:contentItem:5F7T-S771-JW5H-X207-00000-00&amp;context=" TargetMode="External" /><Relationship Id="rId273" Type="http://schemas.openxmlformats.org/officeDocument/2006/relationships/hyperlink" Target="https://advance.lexis.com/api/document?collection=cases-ca&amp;id=urn:contentItem:5F7T-S781-F06F-23R8-00000-00&amp;context=" TargetMode="External" /><Relationship Id="rId274" Type="http://schemas.openxmlformats.org/officeDocument/2006/relationships/header" Target="header40.xml" /><Relationship Id="rId275" Type="http://schemas.openxmlformats.org/officeDocument/2006/relationships/header" Target="header41.xml" /><Relationship Id="rId276" Type="http://schemas.openxmlformats.org/officeDocument/2006/relationships/footer" Target="footer40.xml" /><Relationship Id="rId277" Type="http://schemas.openxmlformats.org/officeDocument/2006/relationships/footer" Target="footer41.xml" /><Relationship Id="rId278" Type="http://schemas.openxmlformats.org/officeDocument/2006/relationships/header" Target="header42.xml" /><Relationship Id="rId279" Type="http://schemas.openxmlformats.org/officeDocument/2006/relationships/footer" Target="footer42.xml" /><Relationship Id="rId28" Type="http://schemas.openxmlformats.org/officeDocument/2006/relationships/hyperlink" Target="https://advance.lexis.com/api/document?collection=cases-ca&amp;id=urn:contentItem:5F7T-S781-F06F-23NV-00000-00&amp;context=" TargetMode="External" /><Relationship Id="rId280" Type="http://schemas.openxmlformats.org/officeDocument/2006/relationships/hyperlink" Target="https://advance.lexis.com/api/document?collection=cases-ca&amp;id=urn:contentItem:5F7T-S7K1-JKHB-6300-00000-00&amp;context=" TargetMode="External" /><Relationship Id="rId281" Type="http://schemas.openxmlformats.org/officeDocument/2006/relationships/hyperlink" Target="https://advance.lexis.com/api/document?collection=cases-ca&amp;id=urn:contentItem:5F7T-S7G1-JNY7-X3K8-00000-00&amp;context=" TargetMode="External" /><Relationship Id="rId282" Type="http://schemas.openxmlformats.org/officeDocument/2006/relationships/hyperlink" Target="https://advance.lexis.com/api/document?collection=cases-ca&amp;id=urn:contentItem:5F8T-N3S1-JT99-250W-00000-00&amp;context=" TargetMode="External" /><Relationship Id="rId283" Type="http://schemas.openxmlformats.org/officeDocument/2006/relationships/hyperlink" Target="https://advance.lexis.com/api/document?collection=cases-ca&amp;id=urn:contentItem:5F7T-S7C1-F7VM-S3T7-00000-00&amp;context=" TargetMode="External" /><Relationship Id="rId284" Type="http://schemas.openxmlformats.org/officeDocument/2006/relationships/hyperlink" Target="https://advance.lexis.com/api/document?collection=cases-ca&amp;id=urn:contentItem:5F7T-S7D1-JN6B-S131-00000-00&amp;context=" TargetMode="External" /><Relationship Id="rId285" Type="http://schemas.openxmlformats.org/officeDocument/2006/relationships/hyperlink" Target="https://advance.lexis.com/api/document?collection=cases-ca&amp;id=urn:contentItem:5F7T-S7G1-JX3N-B2FW-00000-00&amp;context=" TargetMode="External" /><Relationship Id="rId286" Type="http://schemas.openxmlformats.org/officeDocument/2006/relationships/hyperlink" Target="https://advance.lexis.com/api/document?collection=cases-ca&amp;id=urn:contentItem:5F7T-S7K1-JSJC-X168-00000-00&amp;context=" TargetMode="External" /><Relationship Id="rId287" Type="http://schemas.openxmlformats.org/officeDocument/2006/relationships/hyperlink" Target="https://advance.lexis.com/api/document?collection=cases-ca&amp;id=urn:contentItem:5F7T-S7G1-FCYK-207V-00000-00&amp;context=" TargetMode="External" /><Relationship Id="rId288" Type="http://schemas.openxmlformats.org/officeDocument/2006/relationships/hyperlink" Target="https://advance.lexis.com/api/document?collection=cases-ca&amp;id=urn:contentItem:5F7T-S7K1-JSJC-X0R5-00000-00&amp;context=" TargetMode="External" /><Relationship Id="rId289" Type="http://schemas.openxmlformats.org/officeDocument/2006/relationships/hyperlink" Target="https://advance.lexis.com/api/document?collection=cases-ca&amp;id=urn:contentItem:5F7T-S7F1-F7VM-S475-00000-00&amp;context=" TargetMode="External" /><Relationship Id="rId29" Type="http://schemas.openxmlformats.org/officeDocument/2006/relationships/hyperlink" Target="https://advance.lexis.com/api/document?collection=cases-ca&amp;id=urn:contentItem:5F81-VJW1-K0HK-22HB-00000-00&amp;context=" TargetMode="External" /><Relationship Id="rId290" Type="http://schemas.openxmlformats.org/officeDocument/2006/relationships/hyperlink" Target="https://advance.lexis.com/api/document?collection=cases-ca&amp;id=urn:contentItem:5F7T-S761-F81W-21RK-00000-00&amp;context=" TargetMode="External" /><Relationship Id="rId291" Type="http://schemas.openxmlformats.org/officeDocument/2006/relationships/header" Target="header43.xml" /><Relationship Id="rId292" Type="http://schemas.openxmlformats.org/officeDocument/2006/relationships/header" Target="header44.xml" /><Relationship Id="rId293" Type="http://schemas.openxmlformats.org/officeDocument/2006/relationships/footer" Target="footer43.xml" /><Relationship Id="rId294" Type="http://schemas.openxmlformats.org/officeDocument/2006/relationships/footer" Target="footer44.xml" /><Relationship Id="rId295" Type="http://schemas.openxmlformats.org/officeDocument/2006/relationships/header" Target="header45.xml" /><Relationship Id="rId296" Type="http://schemas.openxmlformats.org/officeDocument/2006/relationships/footer" Target="footer45.xml" /><Relationship Id="rId297" Type="http://schemas.openxmlformats.org/officeDocument/2006/relationships/hyperlink" Target="https://advance.lexis.com/api/document?collection=cases-ca&amp;id=urn:contentItem:5W42-8GJ1-FG68-G3NW-00000-00&amp;context=" TargetMode="External" /><Relationship Id="rId298" Type="http://schemas.openxmlformats.org/officeDocument/2006/relationships/hyperlink" Target="https://advance.lexis.com/api/document?collection=cases-ca&amp;id=urn:contentItem:5F7T-S7N1-DXWW-20M3-00000-00&amp;context=" TargetMode="External" /><Relationship Id="rId299" Type="http://schemas.openxmlformats.org/officeDocument/2006/relationships/hyperlink" Target="https://advance.lexis.com/api/document?collection=cases-ca&amp;id=urn:contentItem:5F7T-S7P1-JNJT-B2P3-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41-F7VM-S2ND-00000-00&amp;context=" TargetMode="External" /><Relationship Id="rId300" Type="http://schemas.openxmlformats.org/officeDocument/2006/relationships/hyperlink" Target="https://advance.lexis.com/api/document?collection=cases-ca&amp;id=urn:contentItem:5G8K-Y431-JWR6-S2F3-00000-00&amp;context=" TargetMode="External" /><Relationship Id="rId301" Type="http://schemas.openxmlformats.org/officeDocument/2006/relationships/hyperlink" Target="https://advance.lexis.com/api/document?collection=cases-ca&amp;id=urn:contentItem:5RYS-K5V1-FD4T-B459-00000-00&amp;context=" TargetMode="External" /><Relationship Id="rId302" Type="http://schemas.openxmlformats.org/officeDocument/2006/relationships/hyperlink" Target="https://advance.lexis.com/api/document?collection=cases-ca&amp;id=urn:contentItem:5SB1-1471-FBV7-B2XB-00000-00&amp;context=" TargetMode="External" /><Relationship Id="rId303" Type="http://schemas.openxmlformats.org/officeDocument/2006/relationships/hyperlink" Target="https://advance.lexis.com/api/document?collection=cases-ca&amp;id=urn:contentItem:5F7T-S7K1-DY33-B1NR-00000-00&amp;context=" TargetMode="External" /><Relationship Id="rId304" Type="http://schemas.openxmlformats.org/officeDocument/2006/relationships/hyperlink" Target="https://advance.lexis.com/api/document?collection=cases-ca&amp;id=urn:contentItem:5M43-BH51-DXHD-G254-00000-00&amp;context=" TargetMode="External" /><Relationship Id="rId305" Type="http://schemas.openxmlformats.org/officeDocument/2006/relationships/hyperlink" Target="https://advance.lexis.com/api/document?collection=cases-ca&amp;id=urn:contentItem:5F7T-S761-JGHR-M2DF-00000-00&amp;context=" TargetMode="External" /><Relationship Id="rId306" Type="http://schemas.openxmlformats.org/officeDocument/2006/relationships/hyperlink" Target="https://advance.lexis.com/api/document?collection=cases-ca&amp;id=urn:contentItem:5F8P-SCW1-FBV7-B2C9-00000-00&amp;context=" TargetMode="External" /><Relationship Id="rId307" Type="http://schemas.openxmlformats.org/officeDocument/2006/relationships/hyperlink" Target="https://advance.lexis.com/api/document?collection=cases-ca&amp;id=urn:contentItem:5F7T-S7K1-F1H1-221P-00000-00&amp;context=" TargetMode="External" /><Relationship Id="rId308" Type="http://schemas.openxmlformats.org/officeDocument/2006/relationships/hyperlink" Target="https://advance.lexis.com/api/document?collection=cases-ca&amp;id=urn:contentItem:5NP1-5SB1-JX8W-M2B3-00000-00&amp;context=" TargetMode="External" /><Relationship Id="rId309" Type="http://schemas.openxmlformats.org/officeDocument/2006/relationships/hyperlink" Target="https://advance.lexis.com/api/document?collection=cases-ca&amp;id=urn:contentItem:5PHW-TYT1-FK0M-S07K-00000-00&amp;context=" TargetMode="External" /><Relationship Id="rId31" Type="http://schemas.openxmlformats.org/officeDocument/2006/relationships/header" Target="header7.xml" /><Relationship Id="rId310" Type="http://schemas.openxmlformats.org/officeDocument/2006/relationships/hyperlink" Target="https://advance.lexis.com/api/document?collection=cases-ca&amp;id=urn:contentItem:5F8T-N3V1-FC1F-M497-00000-00&amp;context=" TargetMode="External" /><Relationship Id="rId311" Type="http://schemas.openxmlformats.org/officeDocument/2006/relationships/hyperlink" Target="https://advance.lexis.com/api/document?collection=cases-ca&amp;id=urn:contentItem:5JVG-2XS1-JN14-G1KG-00000-00&amp;context=" TargetMode="External" /><Relationship Id="rId312" Type="http://schemas.openxmlformats.org/officeDocument/2006/relationships/hyperlink" Target="https://advance.lexis.com/api/document?collection=cases-ca&amp;id=urn:contentItem:5P9X-V571-JTGH-B121-00000-00&amp;context=" TargetMode="External" /><Relationship Id="rId313" Type="http://schemas.openxmlformats.org/officeDocument/2006/relationships/hyperlink" Target="https://advance.lexis.com/api/document?collection=cases-ca&amp;id=urn:contentItem:5PYK-XGB1-JYYX-61TD-00000-00&amp;context=" TargetMode="External" /><Relationship Id="rId314" Type="http://schemas.openxmlformats.org/officeDocument/2006/relationships/hyperlink" Target="https://advance.lexis.com/api/document?collection=legislation-ca&amp;id=urn:contentItem:5VYK-WB61-JXG3-X3FD-00000-00&amp;context=" TargetMode="External" /><Relationship Id="rId315" Type="http://schemas.openxmlformats.org/officeDocument/2006/relationships/hyperlink" Target="https://advance.lexis.com/api/document?collection=legislation-ca&amp;id=urn:contentItem:5VYK-TBV1-FH4C-X0KT-00000-00&amp;context=" TargetMode="External" /><Relationship Id="rId316" Type="http://schemas.openxmlformats.org/officeDocument/2006/relationships/hyperlink" Target="https://advance.lexis.com/api/document?collection=cases-ca&amp;id=urn:contentItem:5TY6-J4N1-DXWW-24PN-00000-00&amp;context=" TargetMode="External" /><Relationship Id="rId317" Type="http://schemas.openxmlformats.org/officeDocument/2006/relationships/hyperlink" Target="https://advance.lexis.com/api/document?collection=cases-ca&amp;id=urn:contentItem:5K56-XKR1-JWJ0-G25D-00000-00&amp;context=" TargetMode="External" /><Relationship Id="rId318" Type="http://schemas.openxmlformats.org/officeDocument/2006/relationships/hyperlink" Target="https://advance.lexis.com/api/document?collection=cases-ca&amp;id=urn:contentItem:5M7Y-D8V1-JJD0-G1J5-00000-00&amp;context=" TargetMode="External" /><Relationship Id="rId319" Type="http://schemas.openxmlformats.org/officeDocument/2006/relationships/hyperlink" Target="https://advance.lexis.com/api/document?collection=cases-ca&amp;id=urn:contentItem:5MW0-CHK1-JWBS-63GG-00000-00&amp;context=" TargetMode="External" /><Relationship Id="rId32" Type="http://schemas.openxmlformats.org/officeDocument/2006/relationships/header" Target="header8.xml" /><Relationship Id="rId320" Type="http://schemas.openxmlformats.org/officeDocument/2006/relationships/hyperlink" Target="https://advance.lexis.com/api/document?collection=cases-ca&amp;id=urn:contentItem:5F16-93D1-JG02-S0PT-00000-00&amp;context=" TargetMode="External" /><Relationship Id="rId321" Type="http://schemas.openxmlformats.org/officeDocument/2006/relationships/hyperlink" Target="https://advance.lexis.com/api/document?collection=cases-ca&amp;id=urn:contentItem:5F16-93D1-F8D9-M53S-00000-00&amp;context=" TargetMode="External" /><Relationship Id="rId322" Type="http://schemas.openxmlformats.org/officeDocument/2006/relationships/hyperlink" Target="https://advance.lexis.com/api/document?collection=cases-ca&amp;id=urn:contentItem:5F82-1SK1-FGJR-24MW-00000-00&amp;context=" TargetMode="External" /><Relationship Id="rId323" Type="http://schemas.openxmlformats.org/officeDocument/2006/relationships/hyperlink" Target="https://advance.lexis.com/api/document?collection=cases-ca&amp;id=urn:contentItem:5JH9-BW81-F22N-X481-00000-00&amp;context=" TargetMode="External" /><Relationship Id="rId324" Type="http://schemas.openxmlformats.org/officeDocument/2006/relationships/hyperlink" Target="https://advance.lexis.com/api/document?collection=cases-ca&amp;id=urn:contentItem:5PSX-VCB1-FCCX-6404-00000-00&amp;context=" TargetMode="External" /><Relationship Id="rId325" Type="http://schemas.openxmlformats.org/officeDocument/2006/relationships/hyperlink" Target="https://advance.lexis.com/api/document?collection=cases-ca&amp;id=urn:contentItem:5RTH-41C1-FG68-G0PJ-00000-00&amp;context=" TargetMode="External" /><Relationship Id="rId326" Type="http://schemas.openxmlformats.org/officeDocument/2006/relationships/hyperlink" Target="https://advance.lexis.com/api/document?collection=legislation-ca&amp;id=urn:contentItem:5VYK-TBT1-DXHD-G22R-00000-00&amp;context=" TargetMode="External" /><Relationship Id="rId327" Type="http://schemas.openxmlformats.org/officeDocument/2006/relationships/hyperlink" Target="https://advance.lexis.com/api/document?collection=cases-ca&amp;id=urn:contentItem:5GNP-DGD1-JJYN-B1W2-00000-00&amp;context=" TargetMode="External" /><Relationship Id="rId328" Type="http://schemas.openxmlformats.org/officeDocument/2006/relationships/hyperlink" Target="https://advance.lexis.com/api/document?collection=cases-ca&amp;id=urn:contentItem:5F8T-N3V1-FC1F-M46D-00000-00&amp;context=" TargetMode="External" /><Relationship Id="rId329" Type="http://schemas.openxmlformats.org/officeDocument/2006/relationships/hyperlink" Target="https://advance.lexis.com/api/document?collection=cases-ca&amp;id=urn:contentItem:5KBJ-4BS1-FGY5-M0B3-00000-00&amp;context=" TargetMode="External" /><Relationship Id="rId33" Type="http://schemas.openxmlformats.org/officeDocument/2006/relationships/footer" Target="footer7.xml" /><Relationship Id="rId330" Type="http://schemas.openxmlformats.org/officeDocument/2006/relationships/hyperlink" Target="https://advance.lexis.com/api/document?collection=cases-ca&amp;id=urn:contentItem:5F8P-SF91-JKHB-63B5-00000-00&amp;context=" TargetMode="External" /><Relationship Id="rId331" Type="http://schemas.openxmlformats.org/officeDocument/2006/relationships/hyperlink" Target="https://advance.lexis.com/api/document?collection=cases-ca&amp;id=urn:contentItem:5NYG-5P81-JKHB-60R8-00000-00&amp;context=" TargetMode="External" /><Relationship Id="rId332" Type="http://schemas.openxmlformats.org/officeDocument/2006/relationships/hyperlink" Target="https://advance.lexis.com/api/document?collection=cases-ca&amp;id=urn:contentItem:5F7T-S771-F2TK-22T7-00000-00&amp;context=" TargetMode="External" /><Relationship Id="rId333" Type="http://schemas.openxmlformats.org/officeDocument/2006/relationships/hyperlink" Target="https://advance.lexis.com/api/document?collection=cases-ca&amp;id=urn:contentItem:5F8T-N3V1-FC1F-M486-00000-00&amp;context=" TargetMode="External" /><Relationship Id="rId334" Type="http://schemas.openxmlformats.org/officeDocument/2006/relationships/hyperlink" Target="https://advance.lexis.com/api/document?collection=legislation-ca&amp;id=urn:contentItem:5VYK-TBV1-FBN1-24KY-00000-00&amp;context=" TargetMode="External" /><Relationship Id="rId335" Type="http://schemas.openxmlformats.org/officeDocument/2006/relationships/hyperlink" Target="https://advance.lexis.com/api/document?collection=legislation-ca&amp;id=urn:contentItem:5VYC-10Y1-JYYX-6059-00000-00&amp;context=" TargetMode="External" /><Relationship Id="rId336" Type="http://schemas.openxmlformats.org/officeDocument/2006/relationships/header" Target="header46.xml" /><Relationship Id="rId337" Type="http://schemas.openxmlformats.org/officeDocument/2006/relationships/header" Target="header47.xml" /><Relationship Id="rId338" Type="http://schemas.openxmlformats.org/officeDocument/2006/relationships/footer" Target="footer46.xml" /><Relationship Id="rId339" Type="http://schemas.openxmlformats.org/officeDocument/2006/relationships/footer" Target="footer47.xml" /><Relationship Id="rId34" Type="http://schemas.openxmlformats.org/officeDocument/2006/relationships/footer" Target="footer8.xml" /><Relationship Id="rId340" Type="http://schemas.openxmlformats.org/officeDocument/2006/relationships/header" Target="header48.xml" /><Relationship Id="rId341" Type="http://schemas.openxmlformats.org/officeDocument/2006/relationships/footer" Target="footer48.xml" /><Relationship Id="rId342" Type="http://schemas.openxmlformats.org/officeDocument/2006/relationships/hyperlink" Target="https://advance.lexis.com/api/document?collection=cases-ca&amp;id=urn:contentItem:5F7T-S7F1-FFFC-B238-00000-00&amp;context=" TargetMode="External" /><Relationship Id="rId343" Type="http://schemas.openxmlformats.org/officeDocument/2006/relationships/hyperlink" Target="https://advance.lexis.com/api/document?collection=cases-ca&amp;id=urn:contentItem:5F7T-S711-F4W2-61M1-00000-00&amp;context=" TargetMode="External" /><Relationship Id="rId344" Type="http://schemas.openxmlformats.org/officeDocument/2006/relationships/hyperlink" Target="https://advance.lexis.com/api/document?collection=cases-ca&amp;id=urn:contentItem:5F8T-N3R1-JJSF-22W1-00000-00&amp;context=" TargetMode="External" /><Relationship Id="rId345" Type="http://schemas.openxmlformats.org/officeDocument/2006/relationships/hyperlink" Target="https://advance.lexis.com/api/document?collection=cases-ca&amp;id=urn:contentItem:5F16-9351-F2MB-S0P5-00000-00&amp;context=" TargetMode="External" /><Relationship Id="rId346" Type="http://schemas.openxmlformats.org/officeDocument/2006/relationships/hyperlink" Target="https://advance.lexis.com/api/document?collection=cases-ca&amp;id=urn:contentItem:5F82-1SF1-K054-G3VX-00000-00&amp;context=" TargetMode="External" /><Relationship Id="rId347" Type="http://schemas.openxmlformats.org/officeDocument/2006/relationships/hyperlink" Target="https://advance.lexis.com/api/document?collection=cases-ca&amp;id=urn:contentItem:5F7T-S771-JJD0-G1H0-00000-00&amp;context=" TargetMode="External" /><Relationship Id="rId348" Type="http://schemas.openxmlformats.org/officeDocument/2006/relationships/hyperlink" Target="https://advance.lexis.com/api/document?collection=cases-ca&amp;id=urn:contentItem:5F8T-N3V1-FC1F-M49J-00000-00&amp;context=" TargetMode="External" /><Relationship Id="rId349" Type="http://schemas.openxmlformats.org/officeDocument/2006/relationships/hyperlink" Target="https://advance.lexis.com/api/document?collection=cases-ca&amp;id=urn:contentItem:5F7T-S711-F4W2-61TJ-00000-00&amp;context=" TargetMode="External" /><Relationship Id="rId35" Type="http://schemas.openxmlformats.org/officeDocument/2006/relationships/header" Target="header9.xml" /><Relationship Id="rId350" Type="http://schemas.openxmlformats.org/officeDocument/2006/relationships/hyperlink" Target="https://advance.lexis.com/api/document?collection=cases-ca&amp;id=urn:contentItem:5F7T-S7D1-FC6N-X0KV-00000-00&amp;context=" TargetMode="External" /><Relationship Id="rId351" Type="http://schemas.openxmlformats.org/officeDocument/2006/relationships/header" Target="header49.xml" /><Relationship Id="rId352" Type="http://schemas.openxmlformats.org/officeDocument/2006/relationships/header" Target="header50.xml" /><Relationship Id="rId353" Type="http://schemas.openxmlformats.org/officeDocument/2006/relationships/footer" Target="footer49.xml" /><Relationship Id="rId354" Type="http://schemas.openxmlformats.org/officeDocument/2006/relationships/footer" Target="footer50.xml" /><Relationship Id="rId355" Type="http://schemas.openxmlformats.org/officeDocument/2006/relationships/header" Target="header51.xml" /><Relationship Id="rId356" Type="http://schemas.openxmlformats.org/officeDocument/2006/relationships/footer" Target="footer51.xml" /><Relationship Id="rId357" Type="http://schemas.openxmlformats.org/officeDocument/2006/relationships/hyperlink" Target="https://advance.lexis.com/api/document?collection=cases-ca&amp;id=urn:contentItem:5F7T-S791-FJTD-G2P2-00000-00&amp;context=" TargetMode="External" /><Relationship Id="rId358" Type="http://schemas.openxmlformats.org/officeDocument/2006/relationships/hyperlink" Target="https://advance.lexis.com/api/document?collection=legislation-ca&amp;id=urn:contentItem:5F3B-BD51-JB7K-20Y6-00000-00&amp;context=" TargetMode="External" /><Relationship Id="rId359" Type="http://schemas.openxmlformats.org/officeDocument/2006/relationships/hyperlink" Target="https://advance.lexis.com/api/document?collection=cases-ca&amp;id=urn:contentItem:5F7T-S721-F5T5-M213-00000-00&amp;context=" TargetMode="External" /><Relationship Id="rId36" Type="http://schemas.openxmlformats.org/officeDocument/2006/relationships/footer" Target="footer9.xml" /><Relationship Id="rId360" Type="http://schemas.openxmlformats.org/officeDocument/2006/relationships/hyperlink" Target="https://advance.lexis.com/api/document?collection=cases-ca&amp;id=urn:contentItem:5F7T-S751-JBM1-M26N-00000-00&amp;context=" TargetMode="External" /><Relationship Id="rId361" Type="http://schemas.openxmlformats.org/officeDocument/2006/relationships/hyperlink" Target="https://advance.lexis.com/api/document?collection=cases-ca&amp;id=urn:contentItem:5F7T-S701-JBT7-X28J-00000-00&amp;context=" TargetMode="External" /><Relationship Id="rId362" Type="http://schemas.openxmlformats.org/officeDocument/2006/relationships/hyperlink" Target="https://advance.lexis.com/api/document?collection=cases-ca&amp;id=urn:contentItem:5F7T-S6Y1-JP9P-G1SM-00000-00&amp;context=" TargetMode="External" /><Relationship Id="rId363" Type="http://schemas.openxmlformats.org/officeDocument/2006/relationships/hyperlink" Target="https://advance.lexis.com/api/document?collection=legislation-ca&amp;id=urn:contentItem:5VYK-W9V1-F1WF-M09J-00000-00&amp;context=" TargetMode="External" /><Relationship Id="rId364" Type="http://schemas.openxmlformats.org/officeDocument/2006/relationships/hyperlink" Target="https://advance.lexis.com/api/document?collection=cases-ca&amp;id=urn:contentItem:5F7T-S7G1-JBT7-X3GX-00000-00&amp;context=" TargetMode="External" /><Relationship Id="rId365" Type="http://schemas.openxmlformats.org/officeDocument/2006/relationships/hyperlink" Target="https://advance.lexis.com/api/document?collection=cases-ca&amp;id=urn:contentItem:5F16-9371-F5DR-2341-00000-00&amp;context=" TargetMode="External" /><Relationship Id="rId366" Type="http://schemas.openxmlformats.org/officeDocument/2006/relationships/header" Target="header52.xml" /><Relationship Id="rId367" Type="http://schemas.openxmlformats.org/officeDocument/2006/relationships/header" Target="header53.xml" /><Relationship Id="rId368" Type="http://schemas.openxmlformats.org/officeDocument/2006/relationships/footer" Target="footer52.xml" /><Relationship Id="rId369" Type="http://schemas.openxmlformats.org/officeDocument/2006/relationships/footer" Target="footer53.xml" /><Relationship Id="rId37" Type="http://schemas.openxmlformats.org/officeDocument/2006/relationships/hyperlink" Target="https://advance.lexis.com/api/document?collection=cases-ca&amp;id=urn:contentItem:5F7T-S781-F27X-61G0-00000-00&amp;context=" TargetMode="External" /><Relationship Id="rId370" Type="http://schemas.openxmlformats.org/officeDocument/2006/relationships/header" Target="header54.xml" /><Relationship Id="rId371" Type="http://schemas.openxmlformats.org/officeDocument/2006/relationships/footer" Target="footer54.xml" /><Relationship Id="rId372" Type="http://schemas.openxmlformats.org/officeDocument/2006/relationships/hyperlink" Target="https://advance.lexis.com/api/document?collection=cases-ca&amp;id=urn:contentItem:5M7G-Y311-JJ1H-X0NP-00000-00&amp;context=" TargetMode="External" /><Relationship Id="rId373" Type="http://schemas.openxmlformats.org/officeDocument/2006/relationships/hyperlink" Target="https://advance.lexis.com/api/document?collection=legislation-ca&amp;id=urn:contentItem:5F41-1FJ1-JK4W-M0K8-00000-00&amp;context=" TargetMode="External" /><Relationship Id="rId374" Type="http://schemas.openxmlformats.org/officeDocument/2006/relationships/hyperlink" Target="https://advance.lexis.com/api/document?collection=legislation-ca&amp;id=urn:contentItem:5TBM-3RN1-FBV7-B0M1-00000-00&amp;context=" TargetMode="External" /><Relationship Id="rId375" Type="http://schemas.openxmlformats.org/officeDocument/2006/relationships/hyperlink" Target="https://advance.lexis.com/api/document?collection=legislation-ca&amp;id=urn:contentItem:5F3B-B791-JW09-M0XN-00000-00&amp;context=" TargetMode="External" /><Relationship Id="rId376" Type="http://schemas.openxmlformats.org/officeDocument/2006/relationships/hyperlink" Target="https://advance.lexis.com/api/document?collection=legislation-ca&amp;id=urn:contentItem:5VYK-W9X1-JN6B-S1KB-00000-00&amp;context=" TargetMode="External" /><Relationship Id="rId377" Type="http://schemas.openxmlformats.org/officeDocument/2006/relationships/hyperlink" Target="https://advance.lexis.com/api/document?collection=legislation-ca&amp;id=urn:contentItem:5W3Y-TSM1-JJYN-B0G4-00000-00&amp;context=" TargetMode="External" /><Relationship Id="rId378" Type="http://schemas.openxmlformats.org/officeDocument/2006/relationships/hyperlink" Target="https://advance.lexis.com/api/document?collection=cases-ca&amp;id=urn:contentItem:5FX6-9TP1-JWBS-63NW-00000-00&amp;context=" TargetMode="External" /><Relationship Id="rId379" Type="http://schemas.openxmlformats.org/officeDocument/2006/relationships/hyperlink" Target="https://advance.lexis.com/api/document?collection=cases-ca&amp;id=urn:contentItem:5J0C-MF51-JSXV-G2N8-00000-00&amp;context=" TargetMode="External" /><Relationship Id="rId38" Type="http://schemas.openxmlformats.org/officeDocument/2006/relationships/hyperlink" Target="https://advance.lexis.com/api/document?collection=legislation-ca&amp;id=urn:contentItem:5F41-1FM1-FJM6-61S3-00000-00&amp;context=" TargetMode="External" /><Relationship Id="rId380" Type="http://schemas.openxmlformats.org/officeDocument/2006/relationships/hyperlink" Target="https://advance.lexis.com/api/document?collection=cases-ca&amp;id=urn:contentItem:5F7T-S7N1-JWR6-S27B-00000-00&amp;context=" TargetMode="External" /><Relationship Id="rId381" Type="http://schemas.openxmlformats.org/officeDocument/2006/relationships/hyperlink" Target="https://advance.lexis.com/api/document?collection=cases-ca&amp;id=urn:contentItem:5F8T-N3V1-FH4C-X248-00000-00&amp;context=" TargetMode="External" /><Relationship Id="rId382" Type="http://schemas.openxmlformats.org/officeDocument/2006/relationships/hyperlink" Target="https://advance.lexis.com/api/document?collection=cases-ca&amp;id=urn:contentItem:5F7T-S7H1-JCRC-B0NX-00000-00&amp;context=" TargetMode="External" /><Relationship Id="rId383" Type="http://schemas.openxmlformats.org/officeDocument/2006/relationships/hyperlink" Target="https://advance.lexis.com/api/document?collection=cases-ca&amp;id=urn:contentItem:5F7T-S7F1-FFFC-B25N-00000-00&amp;context=" TargetMode="External" /><Relationship Id="rId384" Type="http://schemas.openxmlformats.org/officeDocument/2006/relationships/hyperlink" Target="https://advance.lexis.com/api/document?collection=cases-ca&amp;id=urn:contentItem:5F8T-N3V1-FH4C-X247-00000-00&amp;context=" TargetMode="External" /><Relationship Id="rId385" Type="http://schemas.openxmlformats.org/officeDocument/2006/relationships/hyperlink" Target="https://advance.lexis.com/api/document?collection=cases-ca&amp;id=urn:contentItem:5GCC-XVC1-FK0M-S01N-00000-00&amp;context=" TargetMode="External" /><Relationship Id="rId386" Type="http://schemas.openxmlformats.org/officeDocument/2006/relationships/hyperlink" Target="https://advance.lexis.com/api/document?collection=cases-ca&amp;id=urn:contentItem:5F7T-S7P1-JSJC-X1CY-00000-00&amp;context=" TargetMode="External" /><Relationship Id="rId387" Type="http://schemas.openxmlformats.org/officeDocument/2006/relationships/hyperlink" Target="https://advance.lexis.com/api/document?collection=cases-ca&amp;id=urn:contentItem:5F82-1SK1-JJ6S-64HW-00000-00&amp;context=" TargetMode="External" /><Relationship Id="rId388" Type="http://schemas.openxmlformats.org/officeDocument/2006/relationships/hyperlink" Target="https://advance.lexis.com/api/document?collection=cases-ca&amp;id=urn:contentItem:5F7T-S7P1-JNJT-B2VP-00000-00&amp;context=" TargetMode="External" /><Relationship Id="rId389" Type="http://schemas.openxmlformats.org/officeDocument/2006/relationships/hyperlink" Target="https://advance.lexis.com/api/document?collection=cases-ca&amp;id=urn:contentItem:5G7S-1GH1-JBDT-B3F9-00000-00&amp;context=" TargetMode="External" /><Relationship Id="rId39" Type="http://schemas.openxmlformats.org/officeDocument/2006/relationships/hyperlink" Target="https://advance.lexis.com/api/document?collection=cases-ca&amp;id=urn:contentItem:5F7T-S751-JP4G-60YS-00000-00&amp;context=" TargetMode="External" /><Relationship Id="rId390" Type="http://schemas.openxmlformats.org/officeDocument/2006/relationships/hyperlink" Target="https://advance.lexis.com/api/document?collection=cases-ca&amp;id=urn:contentItem:5H1X-STF1-FK0M-S401-00000-00&amp;context=" TargetMode="External" /><Relationship Id="rId391" Type="http://schemas.openxmlformats.org/officeDocument/2006/relationships/hyperlink" Target="https://advance.lexis.com/api/document?collection=cases-ca&amp;id=urn:contentItem:5J17-BK31-F5T5-M24B-00000-00&amp;context=" TargetMode="External" /><Relationship Id="rId392" Type="http://schemas.openxmlformats.org/officeDocument/2006/relationships/hyperlink" Target="https://advance.lexis.com/api/document?collection=cases-ca&amp;id=urn:contentItem:5F8P-SF91-JSC5-M1XG-00000-00&amp;context=" TargetMode="External" /><Relationship Id="rId393" Type="http://schemas.openxmlformats.org/officeDocument/2006/relationships/hyperlink" Target="https://advance.lexis.com/api/document?collection=cases-ca&amp;id=urn:contentItem:5GTH-W621-FCYK-2004-00000-00&amp;context=" TargetMode="External" /><Relationship Id="rId394" Type="http://schemas.openxmlformats.org/officeDocument/2006/relationships/hyperlink" Target="https://advance.lexis.com/api/document?collection=cases-ca&amp;id=urn:contentItem:5J8P-FFP1-FBN1-23XB-00000-00&amp;context=" TargetMode="External" /><Relationship Id="rId395" Type="http://schemas.openxmlformats.org/officeDocument/2006/relationships/hyperlink" Target="https://advance.lexis.com/api/document?collection=cases-ca&amp;id=urn:contentItem:5GCC-XVB1-JGHR-M49K-00000-00&amp;context=" TargetMode="External" /><Relationship Id="rId396" Type="http://schemas.openxmlformats.org/officeDocument/2006/relationships/hyperlink" Target="https://advance.lexis.com/api/document?collection=cases-ca&amp;id=urn:contentItem:5HBP-7JG1-JSRM-60R7-00000-00&amp;context=" TargetMode="External" /><Relationship Id="rId397" Type="http://schemas.openxmlformats.org/officeDocument/2006/relationships/hyperlink" Target="https://advance.lexis.com/api/document?collection=cases-ca&amp;id=urn:contentItem:5F7T-S7P1-JP4G-61XK-00000-00&amp;context=" TargetMode="External" /><Relationship Id="rId398" Type="http://schemas.openxmlformats.org/officeDocument/2006/relationships/hyperlink" Target="https://advance.lexis.com/api/document?collection=cases-ca&amp;id=urn:contentItem:5GSP-CPF1-JB7K-2008-00000-00&amp;context=" TargetMode="External" /><Relationship Id="rId399" Type="http://schemas.openxmlformats.org/officeDocument/2006/relationships/hyperlink" Target="https://advance.lexis.com/api/document?collection=cases-ca&amp;id=urn:contentItem:5F8P-SDM1-F5T5-M2BK-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8T-N3T1-JJSF-236X-00000-00&amp;context=" TargetMode="External" /><Relationship Id="rId400" Type="http://schemas.openxmlformats.org/officeDocument/2006/relationships/hyperlink" Target="https://advance.lexis.com/api/document?collection=cases-ca&amp;id=urn:contentItem:5F8P-SF11-JW5H-X4NY-00000-00&amp;context=" TargetMode="External" /><Relationship Id="rId401" Type="http://schemas.openxmlformats.org/officeDocument/2006/relationships/hyperlink" Target="https://advance.lexis.com/api/document?collection=cases-ca&amp;id=urn:contentItem:5F8P-SF21-FH4C-X1FM-00000-00&amp;context=" TargetMode="External" /><Relationship Id="rId402" Type="http://schemas.openxmlformats.org/officeDocument/2006/relationships/hyperlink" Target="https://advance.lexis.com/api/document?collection=cases-ca&amp;id=urn:contentItem:5F8P-SF51-F5KY-B54Y-00000-00&amp;context=" TargetMode="External" /><Relationship Id="rId403" Type="http://schemas.openxmlformats.org/officeDocument/2006/relationships/hyperlink" Target="https://advance.lexis.com/api/document?collection=cases-ca&amp;id=urn:contentItem:5F81-VJY1-FBN1-22N5-00000-00&amp;context=" TargetMode="External" /><Relationship Id="rId404" Type="http://schemas.openxmlformats.org/officeDocument/2006/relationships/hyperlink" Target="https://advance.lexis.com/api/document?collection=cases-ca&amp;id=urn:contentItem:5F8P-SF71-JWR6-S3WS-00000-00&amp;context=" TargetMode="External" /><Relationship Id="rId405" Type="http://schemas.openxmlformats.org/officeDocument/2006/relationships/hyperlink" Target="https://advance.lexis.com/api/document?collection=cases-ca&amp;id=urn:contentItem:5F8N-K711-F1P7-B3NX-00000-00&amp;context=" TargetMode="External" /><Relationship Id="rId406" Type="http://schemas.openxmlformats.org/officeDocument/2006/relationships/hyperlink" Target="https://advance.lexis.com/api/document?collection=cases-ca&amp;id=urn:contentItem:5F8N-K711-F1P7-B3J8-00000-00&amp;context=" TargetMode="External" /><Relationship Id="rId407" Type="http://schemas.openxmlformats.org/officeDocument/2006/relationships/hyperlink" Target="https://advance.lexis.com/api/document?collection=cases-ca&amp;id=urn:contentItem:5F8P-SDR1-JJSF-226V-00000-00&amp;context=" TargetMode="External" /><Relationship Id="rId408" Type="http://schemas.openxmlformats.org/officeDocument/2006/relationships/hyperlink" Target="https://advance.lexis.com/api/document?collection=cases-ca&amp;id=urn:contentItem:5F7T-S7P1-JP4G-61XS-00000-00&amp;context=" TargetMode="External" /><Relationship Id="rId409" Type="http://schemas.openxmlformats.org/officeDocument/2006/relationships/header" Target="header55.xml" /><Relationship Id="rId41" Type="http://schemas.openxmlformats.org/officeDocument/2006/relationships/hyperlink" Target="https://advance.lexis.com/api/document?collection=cases-ca&amp;id=urn:contentItem:5F7T-S721-FG12-61P4-00000-00&amp;context=" TargetMode="External" /><Relationship Id="rId410" Type="http://schemas.openxmlformats.org/officeDocument/2006/relationships/header" Target="header56.xml" /><Relationship Id="rId411" Type="http://schemas.openxmlformats.org/officeDocument/2006/relationships/footer" Target="footer55.xml" /><Relationship Id="rId412" Type="http://schemas.openxmlformats.org/officeDocument/2006/relationships/footer" Target="footer56.xml" /><Relationship Id="rId413" Type="http://schemas.openxmlformats.org/officeDocument/2006/relationships/header" Target="header57.xml" /><Relationship Id="rId414" Type="http://schemas.openxmlformats.org/officeDocument/2006/relationships/footer" Target="footer57.xml" /><Relationship Id="rId415" Type="http://schemas.openxmlformats.org/officeDocument/2006/relationships/hyperlink" Target="https://advance.lexis.com/api/document?collection=cases-ca&amp;id=urn:contentItem:5F7T-S7G1-JN6B-S1JB-00000-00&amp;context=" TargetMode="External" /><Relationship Id="rId416" Type="http://schemas.openxmlformats.org/officeDocument/2006/relationships/hyperlink" Target="https://advance.lexis.com/api/document?collection=legislation-ca&amp;id=urn:contentItem:5F41-1FN1-JJK6-S03B-00000-00&amp;context=" TargetMode="External" /><Relationship Id="rId417" Type="http://schemas.openxmlformats.org/officeDocument/2006/relationships/hyperlink" Target="https://advance.lexis.com/api/document?collection=legislation-ca&amp;id=urn:contentItem:5F41-1FG1-JC0G-61TM-00000-00&amp;context=" TargetMode="External" /><Relationship Id="rId418" Type="http://schemas.openxmlformats.org/officeDocument/2006/relationships/hyperlink" Target="https://advance.lexis.com/api/document?collection=cases-ca&amp;id=urn:contentItem:5F7T-S7D1-FC6N-X0NB-00000-00&amp;context=" TargetMode="External" /><Relationship Id="rId419" Type="http://schemas.openxmlformats.org/officeDocument/2006/relationships/hyperlink" Target="https://advance.lexis.com/api/document?collection=cases-ca&amp;id=urn:contentItem:5F7T-S7G1-JWR6-S1JY-00000-00&amp;context=" TargetMode="External" /><Relationship Id="rId42" Type="http://schemas.openxmlformats.org/officeDocument/2006/relationships/header" Target="header10.xml" /><Relationship Id="rId420" Type="http://schemas.openxmlformats.org/officeDocument/2006/relationships/hyperlink" Target="https://advance.lexis.com/api/document?collection=cases-ca&amp;id=urn:contentItem:5F81-YH41-JX8W-M003-00000-00&amp;context=" TargetMode="External" /><Relationship Id="rId421" Type="http://schemas.openxmlformats.org/officeDocument/2006/relationships/hyperlink" Target="https://advance.lexis.com/api/document?collection=cases-ca&amp;id=urn:contentItem:5F8T-N3V1-JTGH-B1BH-00000-00&amp;context=" TargetMode="External" /><Relationship Id="rId422" Type="http://schemas.openxmlformats.org/officeDocument/2006/relationships/hyperlink" Target="https://advance.lexis.com/api/document?collection=cases-ca&amp;id=urn:contentItem:5F7F-5RH1-F873-B0FV-00000-00&amp;context=" TargetMode="External" /><Relationship Id="rId423" Type="http://schemas.openxmlformats.org/officeDocument/2006/relationships/hyperlink" Target="https://advance.lexis.com/api/document?collection=cases-ca&amp;id=urn:contentItem:5F7F-5RG1-JG02-S0BF-00000-00&amp;context=" TargetMode="External" /><Relationship Id="rId424" Type="http://schemas.openxmlformats.org/officeDocument/2006/relationships/hyperlink" Target="https://advance.lexis.com/api/document?collection=cases-ca&amp;id=urn:contentItem:5F7F-5RG1-F4NT-X0K6-00000-00&amp;context=" TargetMode="External" /><Relationship Id="rId425" Type="http://schemas.openxmlformats.org/officeDocument/2006/relationships/hyperlink" Target="https://advance.lexis.com/api/document?collection=cases-ca&amp;id=urn:contentItem:5F7F-5RG1-JC5P-G0K2-00000-00&amp;context=" TargetMode="External" /><Relationship Id="rId426" Type="http://schemas.openxmlformats.org/officeDocument/2006/relationships/hyperlink" Target="https://advance.lexis.com/api/document?collection=cases-ca&amp;id=urn:contentItem:5F7F-5RG1-F4NT-X01Y-00000-00&amp;context=" TargetMode="External" /><Relationship Id="rId427" Type="http://schemas.openxmlformats.org/officeDocument/2006/relationships/hyperlink" Target="https://advance.lexis.com/api/document?collection=cases-ca&amp;id=urn:contentItem:5F8T-N3T1-JGHR-M24Y-00000-00&amp;context=" TargetMode="External" /><Relationship Id="rId428" Type="http://schemas.openxmlformats.org/officeDocument/2006/relationships/hyperlink" Target="https://advance.lexis.com/api/document?collection=cases-ca&amp;id=urn:contentItem:5F8W-M411-F7G6-61VM-00000-00&amp;context=" TargetMode="External" /><Relationship Id="rId429" Type="http://schemas.openxmlformats.org/officeDocument/2006/relationships/hyperlink" Target="https://advance.lexis.com/api/document?collection=cases-ca&amp;id=urn:contentItem:5F7D-YKB1-JB2B-S0KK-00000-00&amp;context=" TargetMode="External" /><Relationship Id="rId43" Type="http://schemas.openxmlformats.org/officeDocument/2006/relationships/header" Target="header11.xml" /><Relationship Id="rId430" Type="http://schemas.openxmlformats.org/officeDocument/2006/relationships/hyperlink" Target="https://advance.lexis.com/api/document?collection=cases-ca&amp;id=urn:contentItem:5F81-YGH1-F1P7-B35T-00000-00&amp;context=" TargetMode="External" /><Relationship Id="rId431" Type="http://schemas.openxmlformats.org/officeDocument/2006/relationships/hyperlink" Target="https://advance.lexis.com/api/document?collection=cases-ca&amp;id=urn:contentItem:5F7F-5RG1-JG02-S0VS-00000-00&amp;context=" TargetMode="External" /><Relationship Id="rId432" Type="http://schemas.openxmlformats.org/officeDocument/2006/relationships/hyperlink" Target="https://advance.lexis.com/api/document?collection=cases-ca&amp;id=urn:contentItem:5F8W-M3Y1-JKPJ-G2GC-00000-00&amp;context=" TargetMode="External" /><Relationship Id="rId433" Type="http://schemas.openxmlformats.org/officeDocument/2006/relationships/hyperlink" Target="https://advance.lexis.com/api/document?collection=cases-ca&amp;id=urn:contentItem:5F8T-N3T1-JGHR-M1PF-00000-00&amp;context=" TargetMode="External" /><Relationship Id="rId434" Type="http://schemas.openxmlformats.org/officeDocument/2006/relationships/hyperlink" Target="https://advance.lexis.com/api/document?collection=cases-ca&amp;id=urn:contentItem:5F7F-5RG1-JG02-S0X3-00000-00&amp;context=" TargetMode="External" /><Relationship Id="rId435" Type="http://schemas.openxmlformats.org/officeDocument/2006/relationships/hyperlink" Target="https://advance.lexis.com/api/document?collection=cases-ca&amp;id=urn:contentItem:5F8T-N3T1-JFKM-6516-00000-00&amp;context=" TargetMode="External" /><Relationship Id="rId436" Type="http://schemas.openxmlformats.org/officeDocument/2006/relationships/hyperlink" Target="https://advance.lexis.com/api/document?collection=cases-ca&amp;id=urn:contentItem:5F8W-M411-JNCK-221D-00000-00&amp;context=" TargetMode="External" /><Relationship Id="rId437" Type="http://schemas.openxmlformats.org/officeDocument/2006/relationships/hyperlink" Target="https://advance.lexis.com/api/document?collection=cases-ca&amp;id=urn:contentItem:5F7F-5RG1-FCSB-S0GX-00000-00&amp;context=" TargetMode="External" /><Relationship Id="rId438" Type="http://schemas.openxmlformats.org/officeDocument/2006/relationships/hyperlink" Target="https://advance.lexis.com/api/document?collection=cases-ca&amp;id=urn:contentItem:5F7F-5RF1-F4W2-60CM-00000-00&amp;context=" TargetMode="External" /><Relationship Id="rId439" Type="http://schemas.openxmlformats.org/officeDocument/2006/relationships/hyperlink" Target="https://advance.lexis.com/api/document?collection=cases-ca&amp;id=urn:contentItem:5F8W-M411-JS5Y-B42M-00000-00&amp;context=" TargetMode="External" /><Relationship Id="rId44" Type="http://schemas.openxmlformats.org/officeDocument/2006/relationships/footer" Target="footer10.xml" /><Relationship Id="rId440" Type="http://schemas.openxmlformats.org/officeDocument/2006/relationships/hyperlink" Target="https://advance.lexis.com/api/document?collection=cases-ca&amp;id=urn:contentItem:5F7F-5RG1-JT42-S073-00000-00&amp;context=" TargetMode="External" /><Relationship Id="rId441" Type="http://schemas.openxmlformats.org/officeDocument/2006/relationships/header" Target="header58.xml" /><Relationship Id="rId442" Type="http://schemas.openxmlformats.org/officeDocument/2006/relationships/header" Target="header59.xml" /><Relationship Id="rId443" Type="http://schemas.openxmlformats.org/officeDocument/2006/relationships/footer" Target="footer58.xml" /><Relationship Id="rId444" Type="http://schemas.openxmlformats.org/officeDocument/2006/relationships/footer" Target="footer59.xml" /><Relationship Id="rId445" Type="http://schemas.openxmlformats.org/officeDocument/2006/relationships/header" Target="header60.xml" /><Relationship Id="rId446" Type="http://schemas.openxmlformats.org/officeDocument/2006/relationships/footer" Target="footer60.xml" /><Relationship Id="rId447" Type="http://schemas.openxmlformats.org/officeDocument/2006/relationships/hyperlink" Target="https://advance.lexis.com/api/document?collection=cases-ca&amp;id=urn:contentItem:5F7T-S7M1-DYMS-623V-00000-00&amp;context=" TargetMode="External" /><Relationship Id="rId448" Type="http://schemas.openxmlformats.org/officeDocument/2006/relationships/hyperlink" Target="https://advance.lexis.com/api/document?collection=legislation-ca&amp;id=urn:contentItem:5F41-1FN1-JJK6-S036-00000-00&amp;context=" TargetMode="External" /><Relationship Id="rId449" Type="http://schemas.openxmlformats.org/officeDocument/2006/relationships/hyperlink" Target="https://advance.lexis.com/api/document?collection=legislation-ca&amp;id=urn:contentItem:5F41-1FK1-FJM6-60PM-00000-00&amp;context=" TargetMode="External" /><Relationship Id="rId45" Type="http://schemas.openxmlformats.org/officeDocument/2006/relationships/footer" Target="footer11.xml" /><Relationship Id="rId450" Type="http://schemas.openxmlformats.org/officeDocument/2006/relationships/hyperlink" Target="https://advance.lexis.com/api/document?collection=cases-ca&amp;id=urn:contentItem:5F7T-S7J1-JNS1-M294-00000-00&amp;context=" TargetMode="External" /><Relationship Id="rId451" Type="http://schemas.openxmlformats.org/officeDocument/2006/relationships/hyperlink" Target="https://advance.lexis.com/api/document?collection=cases-ca&amp;id=urn:contentItem:5F82-1SJ1-JCRC-B07K-00000-00&amp;context=" TargetMode="External" /><Relationship Id="rId452" Type="http://schemas.openxmlformats.org/officeDocument/2006/relationships/hyperlink" Target="https://advance.lexis.com/api/document?collection=cases-ca&amp;id=urn:contentItem:5F7T-S7H1-F016-S46R-00000-00&amp;context=" TargetMode="External" /><Relationship Id="rId453" Type="http://schemas.openxmlformats.org/officeDocument/2006/relationships/hyperlink" Target="https://advance.lexis.com/api/document?collection=cases-ca&amp;id=urn:contentItem:5F7T-S7K1-JKHB-630S-00000-00&amp;context=" TargetMode="External" /><Relationship Id="rId454" Type="http://schemas.openxmlformats.org/officeDocument/2006/relationships/hyperlink" Target="https://advance.lexis.com/api/document?collection=cases-ca&amp;id=urn:contentItem:5F8T-N3V1-JTGH-B19J-00000-00&amp;context=" TargetMode="External" /><Relationship Id="rId455" Type="http://schemas.openxmlformats.org/officeDocument/2006/relationships/hyperlink" Target="https://advance.lexis.com/api/document?collection=cases-ca&amp;id=urn:contentItem:5F7T-S7J1-DXWW-2520-00000-00&amp;context=" TargetMode="External" /><Relationship Id="rId456" Type="http://schemas.openxmlformats.org/officeDocument/2006/relationships/hyperlink" Target="https://advance.lexis.com/api/document?collection=cases-ca&amp;id=urn:contentItem:5F7T-S701-JBT7-X2DT-00000-00&amp;context=" TargetMode="External" /><Relationship Id="rId457" Type="http://schemas.openxmlformats.org/officeDocument/2006/relationships/hyperlink" Target="https://advance.lexis.com/api/document?collection=cases-ca&amp;id=urn:contentItem:5F7T-S7K1-JSJC-X0S5-00000-00&amp;context=" TargetMode="External" /><Relationship Id="rId458" Type="http://schemas.openxmlformats.org/officeDocument/2006/relationships/hyperlink" Target="https://advance.lexis.com/api/document?collection=cases-ca&amp;id=urn:contentItem:5F7T-S7C1-F30T-B298-00000-00&amp;context=" TargetMode="External" /><Relationship Id="rId459" Type="http://schemas.openxmlformats.org/officeDocument/2006/relationships/hyperlink" Target="https://advance.lexis.com/api/document?collection=cases-ca&amp;id=urn:contentItem:5F8T-N3V1-FC1F-M4DN-00000-00&amp;context=" TargetMode="External" /><Relationship Id="rId46" Type="http://schemas.openxmlformats.org/officeDocument/2006/relationships/header" Target="header12.xml" /><Relationship Id="rId460" Type="http://schemas.openxmlformats.org/officeDocument/2006/relationships/hyperlink" Target="https://advance.lexis.com/api/document?collection=cases-ca&amp;id=urn:contentItem:5K6X-WKJ1-F22N-X070-00000-00&amp;context=" TargetMode="External" /><Relationship Id="rId461" Type="http://schemas.openxmlformats.org/officeDocument/2006/relationships/hyperlink" Target="https://advance.lexis.com/api/document?collection=cases-ca&amp;id=urn:contentItem:5F7T-S7K1-JWXF-2132-00000-00&amp;context=" TargetMode="External" /><Relationship Id="rId462" Type="http://schemas.openxmlformats.org/officeDocument/2006/relationships/hyperlink" Target="https://advance.lexis.com/api/document?collection=cases-ca&amp;id=urn:contentItem:5F7T-S7K1-F528-G2X2-00000-00&amp;context=" TargetMode="External" /><Relationship Id="rId463" Type="http://schemas.openxmlformats.org/officeDocument/2006/relationships/hyperlink" Target="https://advance.lexis.com/api/document?collection=cases-ca&amp;id=urn:contentItem:5F8T-N3V1-FC1F-M4BD-00000-00&amp;context=" TargetMode="External" /><Relationship Id="rId464" Type="http://schemas.openxmlformats.org/officeDocument/2006/relationships/hyperlink" Target="https://advance.lexis.com/api/document?collection=cases-ca&amp;id=urn:contentItem:5F8T-N3V1-FH4C-X1WB-00000-00&amp;context=" TargetMode="External" /><Relationship Id="rId465" Type="http://schemas.openxmlformats.org/officeDocument/2006/relationships/hyperlink" Target="https://advance.lexis.com/api/document?collection=cases-ca&amp;id=urn:contentItem:5F8T-N3V1-JTGH-B0YP-00000-00&amp;context=" TargetMode="External" /><Relationship Id="rId466" Type="http://schemas.openxmlformats.org/officeDocument/2006/relationships/hyperlink" Target="https://advance.lexis.com/api/document?collection=cases-ca&amp;id=urn:contentItem:5F7T-S741-F57G-S1KJ-00000-00&amp;context=" TargetMode="External" /><Relationship Id="rId467" Type="http://schemas.openxmlformats.org/officeDocument/2006/relationships/hyperlink" Target="https://advance.lexis.com/api/document?collection=cases-ca&amp;id=urn:contentItem:5F7T-S781-JC5P-G1HV-00000-00&amp;context=" TargetMode="External" /><Relationship Id="rId468" Type="http://schemas.openxmlformats.org/officeDocument/2006/relationships/hyperlink" Target="https://advance.lexis.com/api/document?collection=cases-ca&amp;id=urn:contentItem:5F8T-N3V1-JF75-M3K6-00000-00&amp;context=" TargetMode="External" /><Relationship Id="rId469" Type="http://schemas.openxmlformats.org/officeDocument/2006/relationships/hyperlink" Target="https://advance.lexis.com/api/document?collection=cases-ca&amp;id=urn:contentItem:5F8T-N3S1-JBDT-B032-00000-00&amp;context=" TargetMode="External" /><Relationship Id="rId47" Type="http://schemas.openxmlformats.org/officeDocument/2006/relationships/footer" Target="footer12.xml" /><Relationship Id="rId470" Type="http://schemas.openxmlformats.org/officeDocument/2006/relationships/hyperlink" Target="https://advance.lexis.com/api/document?collection=cases-ca&amp;id=urn:contentItem:5F16-93B1-JKB3-X3X0-00000-00&amp;context=" TargetMode="External" /><Relationship Id="rId471" Type="http://schemas.openxmlformats.org/officeDocument/2006/relationships/hyperlink" Target="https://advance.lexis.com/api/document?collection=cases-ca&amp;id=urn:contentItem:5F16-93C1-JKHB-63PS-00000-00&amp;context=" TargetMode="External" /><Relationship Id="rId472" Type="http://schemas.openxmlformats.org/officeDocument/2006/relationships/hyperlink" Target="https://advance.lexis.com/api/document?collection=cases-ca&amp;id=urn:contentItem:5F8T-N3V1-FC1F-M4FX-00000-00&amp;context=" TargetMode="External" /><Relationship Id="rId473" Type="http://schemas.openxmlformats.org/officeDocument/2006/relationships/hyperlink" Target="https://advance.lexis.com/api/document?collection=cases-ca&amp;id=urn:contentItem:5F8T-N3V1-JF75-M3SR-00000-00&amp;context=" TargetMode="External" /><Relationship Id="rId474" Type="http://schemas.openxmlformats.org/officeDocument/2006/relationships/hyperlink" Target="https://advance.lexis.com/api/document?collection=cases-ca&amp;id=urn:contentItem:5F7T-S7M1-JNCK-22H8-00000-00&amp;context=" TargetMode="External" /><Relationship Id="rId475" Type="http://schemas.openxmlformats.org/officeDocument/2006/relationships/header" Target="header61.xml" /><Relationship Id="rId476" Type="http://schemas.openxmlformats.org/officeDocument/2006/relationships/header" Target="header62.xml" /><Relationship Id="rId477" Type="http://schemas.openxmlformats.org/officeDocument/2006/relationships/footer" Target="footer61.xml" /><Relationship Id="rId478" Type="http://schemas.openxmlformats.org/officeDocument/2006/relationships/footer" Target="footer62.xml" /><Relationship Id="rId479" Type="http://schemas.openxmlformats.org/officeDocument/2006/relationships/header" Target="header63.xml" /><Relationship Id="rId48" Type="http://schemas.openxmlformats.org/officeDocument/2006/relationships/hyperlink" Target="https://advance.lexis.com/api/document?collection=cases-ca&amp;id=urn:contentItem:5F7T-S771-JWBS-61TT-00000-00&amp;context=" TargetMode="External" /><Relationship Id="rId480" Type="http://schemas.openxmlformats.org/officeDocument/2006/relationships/footer" Target="footer63.xml" /><Relationship Id="rId481" Type="http://schemas.openxmlformats.org/officeDocument/2006/relationships/hyperlink" Target="https://advance.lexis.com/api/document?collection=cases-ca&amp;id=urn:contentItem:5G7T-4HT1-JF75-M00B-00000-00&amp;context=" TargetMode="External" /><Relationship Id="rId482" Type="http://schemas.openxmlformats.org/officeDocument/2006/relationships/hyperlink" Target="https://advance.lexis.com/api/document?collection=legislation-ca&amp;id=urn:contentItem:5WC4-20K1-JWJ0-G2NY-00000-00&amp;context=" TargetMode="External" /><Relationship Id="rId483" Type="http://schemas.openxmlformats.org/officeDocument/2006/relationships/hyperlink" Target="https://advance.lexis.com/api/document?collection=legislation-ca&amp;id=urn:contentItem:5F41-1FG1-JC0G-61TJ-00000-00&amp;context=" TargetMode="External" /><Relationship Id="rId484" Type="http://schemas.openxmlformats.org/officeDocument/2006/relationships/hyperlink" Target="https://advance.lexis.com/api/document?collection=legislation-ca&amp;id=urn:contentItem:5F41-1FG1-F4NT-X0CX-00000-00&amp;context=" TargetMode="External" /><Relationship Id="rId485" Type="http://schemas.openxmlformats.org/officeDocument/2006/relationships/hyperlink" Target="https://advance.lexis.com/api/document?collection=cases-ca&amp;id=urn:contentItem:5F7T-S7N1-F06F-24G3-00000-00&amp;context=" TargetMode="External" /><Relationship Id="rId486" Type="http://schemas.openxmlformats.org/officeDocument/2006/relationships/hyperlink" Target="https://advance.lexis.com/api/document?collection=cases-ca&amp;id=urn:contentItem:5F7T-S7P1-F2TK-23SG-00000-00&amp;context=" TargetMode="External" /><Relationship Id="rId487" Type="http://schemas.openxmlformats.org/officeDocument/2006/relationships/hyperlink" Target="https://advance.lexis.com/api/document?collection=cases-ca&amp;id=urn:contentItem:5F7T-S7P1-JP4G-61RR-00000-00&amp;context=" TargetMode="External" /><Relationship Id="rId488" Type="http://schemas.openxmlformats.org/officeDocument/2006/relationships/hyperlink" Target="https://advance.lexis.com/api/document?collection=cases-ca&amp;id=urn:contentItem:5F7T-S7P1-JNJT-B2SM-00000-00&amp;context=" TargetMode="External" /><Relationship Id="rId489" Type="http://schemas.openxmlformats.org/officeDocument/2006/relationships/hyperlink" Target="https://advance.lexis.com/api/document?collection=cases-ca&amp;id=urn:contentItem:5F7T-S721-JSC5-M3B8-00000-00&amp;context=" TargetMode="External" /><Relationship Id="rId49" Type="http://schemas.openxmlformats.org/officeDocument/2006/relationships/hyperlink" Target="https://advance.lexis.com/api/document?collection=cases-ca&amp;id=urn:contentItem:5F7T-S711-JB2B-S0W5-00000-00&amp;context=" TargetMode="External" /><Relationship Id="rId490" Type="http://schemas.openxmlformats.org/officeDocument/2006/relationships/hyperlink" Target="https://advance.lexis.com/api/document?collection=cases-ca&amp;id=urn:contentItem:5F7T-S7D1-DY89-M48F-00000-00&amp;context=" TargetMode="External" /><Relationship Id="rId491" Type="http://schemas.openxmlformats.org/officeDocument/2006/relationships/hyperlink" Target="https://advance.lexis.com/api/document?collection=cases-ca&amp;id=urn:contentItem:5F7T-S7K1-JWXF-2106-00000-00&amp;context=" TargetMode="External" /><Relationship Id="rId492" Type="http://schemas.openxmlformats.org/officeDocument/2006/relationships/hyperlink" Target="https://advance.lexis.com/api/document?collection=cases-ca&amp;id=urn:contentItem:5F8P-SG01-JYYX-652K-00000-00&amp;context=" TargetMode="External" /><Relationship Id="rId493" Type="http://schemas.openxmlformats.org/officeDocument/2006/relationships/hyperlink" Target="https://advance.lexis.com/api/document?collection=cases-ca&amp;id=urn:contentItem:5GC0-VTK1-FG68-G1X4-00000-00&amp;context=" TargetMode="External" /><Relationship Id="rId494" Type="http://schemas.openxmlformats.org/officeDocument/2006/relationships/hyperlink" Target="https://advance.lexis.com/api/document?collection=legislation-ca&amp;id=urn:contentItem:5W07-7G11-FG12-6309-00000-00&amp;context=" TargetMode="External" /><Relationship Id="rId495" Type="http://schemas.openxmlformats.org/officeDocument/2006/relationships/hyperlink" Target="https://advance.lexis.com/api/document?collection=cases-ca&amp;id=urn:contentItem:5F7T-S7P1-JBDT-B0X3-00000-00&amp;context=" TargetMode="External" /><Relationship Id="rId496" Type="http://schemas.openxmlformats.org/officeDocument/2006/relationships/hyperlink" Target="https://advance.lexis.com/api/document?collection=cases-ca&amp;id=urn:contentItem:5GBX-BXM1-FGRY-B3GX-00000-00&amp;context=" TargetMode="External" /><Relationship Id="rId497" Type="http://schemas.openxmlformats.org/officeDocument/2006/relationships/hyperlink" Target="https://advance.lexis.com/api/document?collection=cases-ca&amp;id=urn:contentItem:5F7T-S7D1-FCSB-S2RM-00000-00&amp;context=" TargetMode="External" /><Relationship Id="rId498" Type="http://schemas.openxmlformats.org/officeDocument/2006/relationships/hyperlink" Target="https://advance.lexis.com/api/document?collection=cases-ca&amp;id=urn:contentItem:5F7T-S7F1-DXWW-23NY-00000-00&amp;context=" TargetMode="External" /><Relationship Id="rId499" Type="http://schemas.openxmlformats.org/officeDocument/2006/relationships/hyperlink" Target="https://advance.lexis.com/api/document?collection=cases-ca&amp;id=urn:contentItem:5F7T-S7K1-F1H1-222R-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51-F361-M16K-00000-00&amp;context=" TargetMode="External" /><Relationship Id="rId500" Type="http://schemas.openxmlformats.org/officeDocument/2006/relationships/header" Target="header64.xml" /><Relationship Id="rId501" Type="http://schemas.openxmlformats.org/officeDocument/2006/relationships/header" Target="header65.xml" /><Relationship Id="rId502" Type="http://schemas.openxmlformats.org/officeDocument/2006/relationships/footer" Target="footer64.xml" /><Relationship Id="rId503" Type="http://schemas.openxmlformats.org/officeDocument/2006/relationships/footer" Target="footer65.xml" /><Relationship Id="rId504" Type="http://schemas.openxmlformats.org/officeDocument/2006/relationships/header" Target="header66.xml" /><Relationship Id="rId505" Type="http://schemas.openxmlformats.org/officeDocument/2006/relationships/footer" Target="footer66.xml" /><Relationship Id="rId506" Type="http://schemas.openxmlformats.org/officeDocument/2006/relationships/hyperlink" Target="https://advance.lexis.com/api/document?collection=cases-ca&amp;id=urn:contentItem:5F7T-S7C1-JCJ5-208G-00000-00&amp;context=" TargetMode="External" /><Relationship Id="rId507" Type="http://schemas.openxmlformats.org/officeDocument/2006/relationships/hyperlink" Target="https://advance.lexis.com/api/document?collection=cases-ca&amp;id=urn:contentItem:5F7T-S7C1-FCSB-S28Y-00000-00&amp;context=" TargetMode="External" /><Relationship Id="rId508" Type="http://schemas.openxmlformats.org/officeDocument/2006/relationships/hyperlink" Target="https://advance.lexis.com/api/document?collection=cases-ca&amp;id=urn:contentItem:5F7T-S701-F8KH-X1C7-00000-00&amp;context=" TargetMode="External" /><Relationship Id="rId509" Type="http://schemas.openxmlformats.org/officeDocument/2006/relationships/hyperlink" Target="https://advance.lexis.com/api/document?collection=cases-ca&amp;id=urn:contentItem:5F7T-S791-JCJ5-2553-00000-00&amp;context=" TargetMode="External" /><Relationship Id="rId51" Type="http://schemas.openxmlformats.org/officeDocument/2006/relationships/hyperlink" Target="https://advance.lexis.com/api/document?collection=cases-ca&amp;id=urn:contentItem:5F8T-N3T1-JJSF-236M-00000-00&amp;context=" TargetMode="External" /><Relationship Id="rId510" Type="http://schemas.openxmlformats.org/officeDocument/2006/relationships/hyperlink" Target="https://advance.lexis.com/api/document?collection=cases-ca&amp;id=urn:contentItem:5F8T-N3T1-JJSF-23P9-00000-00&amp;context=" TargetMode="External" /><Relationship Id="rId511" Type="http://schemas.openxmlformats.org/officeDocument/2006/relationships/hyperlink" Target="https://advance.lexis.com/api/document?collection=cases-ca&amp;id=urn:contentItem:5F2P-NNM1-JCRC-B52T-00000-00&amp;context=" TargetMode="External" /><Relationship Id="rId512" Type="http://schemas.openxmlformats.org/officeDocument/2006/relationships/hyperlink" Target="https://advance.lexis.com/api/document?collection=cases-ca&amp;id=urn:contentItem:5F8T-N3V1-JF75-M3K1-00000-00&amp;context=" TargetMode="External" /><Relationship Id="rId513" Type="http://schemas.openxmlformats.org/officeDocument/2006/relationships/hyperlink" Target="https://advance.lexis.com/api/document?collection=cases-ca&amp;id=urn:contentItem:5F7T-S741-F1H1-21PK-00000-00&amp;context=" TargetMode="External" /><Relationship Id="rId514" Type="http://schemas.openxmlformats.org/officeDocument/2006/relationships/hyperlink" Target="https://advance.lexis.com/api/document?collection=cases-ca&amp;id=urn:contentItem:5F7T-S751-JGHR-M1Y9-00000-00&amp;context=" TargetMode="External" /><Relationship Id="rId515" Type="http://schemas.openxmlformats.org/officeDocument/2006/relationships/header" Target="header67.xml" /><Relationship Id="rId516" Type="http://schemas.openxmlformats.org/officeDocument/2006/relationships/header" Target="header68.xml" /><Relationship Id="rId517" Type="http://schemas.openxmlformats.org/officeDocument/2006/relationships/footer" Target="footer67.xml" /><Relationship Id="rId518" Type="http://schemas.openxmlformats.org/officeDocument/2006/relationships/footer" Target="footer68.xml" /><Relationship Id="rId519" Type="http://schemas.openxmlformats.org/officeDocument/2006/relationships/header" Target="header69.xml" /><Relationship Id="rId52" Type="http://schemas.openxmlformats.org/officeDocument/2006/relationships/hyperlink" Target="https://advance.lexis.com/api/document?collection=cases-ca&amp;id=urn:contentItem:5F7T-S751-JNS1-M1M4-00000-00&amp;context=" TargetMode="External" /><Relationship Id="rId520" Type="http://schemas.openxmlformats.org/officeDocument/2006/relationships/footer" Target="footer69.xml" /><Relationship Id="rId521" Type="http://schemas.openxmlformats.org/officeDocument/2006/relationships/hyperlink" Target="https://advance.lexis.com/api/document?collection=cases-ca&amp;id=urn:contentItem:5WND-DFH1-FJM6-60W6-00000-00&amp;context=" TargetMode="External" /><Relationship Id="rId522" Type="http://schemas.openxmlformats.org/officeDocument/2006/relationships/hyperlink" Target="https://advance.lexis.com/api/document?collection=cases-ca&amp;id=urn:contentItem:5F7T-S7C1-FCSB-S2DT-00000-00&amp;context=" TargetMode="External" /><Relationship Id="rId523" Type="http://schemas.openxmlformats.org/officeDocument/2006/relationships/hyperlink" Target="https://advance.lexis.com/api/document?collection=cases-ca&amp;id=urn:contentItem:5F7T-S7N1-JGHR-M2WG-00000-00&amp;context=" TargetMode="External" /><Relationship Id="rId524" Type="http://schemas.openxmlformats.org/officeDocument/2006/relationships/hyperlink" Target="https://advance.lexis.com/api/document?collection=cases-ca&amp;id=urn:contentItem:5HSD-C7M1-JFSV-G4C1-00000-00&amp;context=" TargetMode="External" /><Relationship Id="rId525" Type="http://schemas.openxmlformats.org/officeDocument/2006/relationships/hyperlink" Target="https://advance.lexis.com/api/document?collection=cases-ca&amp;id=urn:contentItem:5KP4-X8R1-JW09-M429-00000-00&amp;context=" TargetMode="External" /><Relationship Id="rId526" Type="http://schemas.openxmlformats.org/officeDocument/2006/relationships/hyperlink" Target="https://advance.lexis.com/api/document?collection=cases-ca&amp;id=urn:contentItem:5F7T-S7N1-JC5P-G2D1-00000-00&amp;context=" TargetMode="External" /><Relationship Id="rId527" Type="http://schemas.openxmlformats.org/officeDocument/2006/relationships/hyperlink" Target="https://advance.lexis.com/api/document?collection=cases-ca&amp;id=urn:contentItem:5F7T-S7N1-JWR6-S2GP-00000-00&amp;context=" TargetMode="External" /><Relationship Id="rId528" Type="http://schemas.openxmlformats.org/officeDocument/2006/relationships/hyperlink" Target="https://advance.lexis.com/api/document?collection=cases-ca&amp;id=urn:contentItem:5F7T-S7P1-JSJC-X1F1-00000-00&amp;context=" TargetMode="External" /><Relationship Id="rId529" Type="http://schemas.openxmlformats.org/officeDocument/2006/relationships/hyperlink" Target="https://advance.lexis.com/api/document?collection=cases-ca&amp;id=urn:contentItem:5R79-CD61-FG12-637C-00000-00&amp;context=" TargetMode="External" /><Relationship Id="rId53" Type="http://schemas.openxmlformats.org/officeDocument/2006/relationships/hyperlink" Target="https://advance.lexis.com/api/document?collection=cases-ca&amp;id=urn:contentItem:5F7T-S741-F2F4-G2CF-00000-00&amp;context=" TargetMode="External" /><Relationship Id="rId530" Type="http://schemas.openxmlformats.org/officeDocument/2006/relationships/hyperlink" Target="https://advance.lexis.com/api/document?collection=cases-ca&amp;id=urn:contentItem:5GCC-XVB1-FK0M-S504-00000-00&amp;context=" TargetMode="External" /><Relationship Id="rId531" Type="http://schemas.openxmlformats.org/officeDocument/2006/relationships/hyperlink" Target="https://advance.lexis.com/api/document?collection=cases-ca&amp;id=urn:contentItem:5F7T-S7P1-JBDT-B16D-00000-00&amp;context=" TargetMode="External" /><Relationship Id="rId532" Type="http://schemas.openxmlformats.org/officeDocument/2006/relationships/hyperlink" Target="https://advance.lexis.com/api/document?collection=cases-ca&amp;id=urn:contentItem:5F7T-S7P1-JNJT-B2VS-00000-00&amp;context=" TargetMode="External" /><Relationship Id="rId533" Type="http://schemas.openxmlformats.org/officeDocument/2006/relationships/hyperlink" Target="https://advance.lexis.com/api/document?collection=cases-ca&amp;id=urn:contentItem:5F7T-S7G1-JPP5-21X8-00000-00&amp;context=" TargetMode="External" /><Relationship Id="rId534" Type="http://schemas.openxmlformats.org/officeDocument/2006/relationships/hyperlink" Target="https://advance.lexis.com/api/document?collection=cases-ca&amp;id=urn:contentItem:5F7T-S7D1-DY89-M463-00000-00&amp;context=" TargetMode="External" /><Relationship Id="rId535" Type="http://schemas.openxmlformats.org/officeDocument/2006/relationships/hyperlink" Target="https://advance.lexis.com/api/document?collection=cases-ca&amp;id=urn:contentItem:5NDB-4M41-F956-S0BN-00000-00&amp;context=" TargetMode="External" /><Relationship Id="rId536" Type="http://schemas.openxmlformats.org/officeDocument/2006/relationships/hyperlink" Target="https://advance.lexis.com/api/document?collection=cases-ca&amp;id=urn:contentItem:5F7T-S7D1-F7ND-G0MH-00000-00&amp;context=" TargetMode="External" /><Relationship Id="rId537" Type="http://schemas.openxmlformats.org/officeDocument/2006/relationships/hyperlink" Target="https://advance.lexis.com/api/document?collection=cases-ca&amp;id=urn:contentItem:5F7T-S731-FFFC-B0K2-00000-00&amp;context=" TargetMode="External" /><Relationship Id="rId538" Type="http://schemas.openxmlformats.org/officeDocument/2006/relationships/hyperlink" Target="https://advance.lexis.com/api/document?collection=cases-ca&amp;id=urn:contentItem:5RHM-83W1-F873-B4BP-00000-00&amp;context=" TargetMode="External" /><Relationship Id="rId539" Type="http://schemas.openxmlformats.org/officeDocument/2006/relationships/hyperlink" Target="https://advance.lexis.com/api/document?collection=cases-ca&amp;id=urn:contentItem:5F7T-S7K1-DY33-B1K8-00000-00&amp;context=" TargetMode="External" /><Relationship Id="rId54" Type="http://schemas.openxmlformats.org/officeDocument/2006/relationships/hyperlink" Target="https://advance.lexis.com/api/document?collection=cases-ca&amp;id=urn:contentItem:5F7T-S741-F7VM-S34P-00000-00&amp;context=" TargetMode="External" /><Relationship Id="rId540" Type="http://schemas.openxmlformats.org/officeDocument/2006/relationships/hyperlink" Target="https://advance.lexis.com/api/document?collection=cases-ca&amp;id=urn:contentItem:5F7T-S7N1-F57G-S2D4-00000-00&amp;context=" TargetMode="External" /><Relationship Id="rId541" Type="http://schemas.openxmlformats.org/officeDocument/2006/relationships/hyperlink" Target="https://advance.lexis.com/api/document?collection=cases-ca&amp;id=urn:contentItem:5F7T-S7P1-JG02-S42X-00000-00&amp;context=" TargetMode="External" /><Relationship Id="rId542" Type="http://schemas.openxmlformats.org/officeDocument/2006/relationships/header" Target="header70.xml" /><Relationship Id="rId543" Type="http://schemas.openxmlformats.org/officeDocument/2006/relationships/header" Target="header71.xml" /><Relationship Id="rId544" Type="http://schemas.openxmlformats.org/officeDocument/2006/relationships/footer" Target="footer70.xml" /><Relationship Id="rId545" Type="http://schemas.openxmlformats.org/officeDocument/2006/relationships/footer" Target="footer71.xml" /><Relationship Id="rId546" Type="http://schemas.openxmlformats.org/officeDocument/2006/relationships/header" Target="header72.xml" /><Relationship Id="rId547" Type="http://schemas.openxmlformats.org/officeDocument/2006/relationships/footer" Target="footer72.xml" /><Relationship Id="rId548" Type="http://schemas.openxmlformats.org/officeDocument/2006/relationships/hyperlink" Target="https://advance.lexis.com/api/document?collection=cases-ca&amp;id=urn:contentItem:5G7X-SNK1-FD4T-B000-00000-00&amp;context=" TargetMode="External" /><Relationship Id="rId549" Type="http://schemas.openxmlformats.org/officeDocument/2006/relationships/hyperlink" Target="https://advance.lexis.com/api/document?collection=cases-ca&amp;id=urn:contentItem:5F7T-S771-JJD0-G14N-00000-00&amp;context=" TargetMode="External" /><Relationship Id="rId55" Type="http://schemas.openxmlformats.org/officeDocument/2006/relationships/hyperlink" Target="https://advance.lexis.com/api/document?collection=cases-ca&amp;id=urn:contentItem:5F7T-S741-F528-G2J7-00000-00&amp;context=" TargetMode="External" /><Relationship Id="rId550" Type="http://schemas.openxmlformats.org/officeDocument/2006/relationships/hyperlink" Target="https://advance.lexis.com/api/document?collection=cases-ca&amp;id=urn:contentItem:5F7T-S7D1-JG02-S2K2-00000-00&amp;context=" TargetMode="External" /><Relationship Id="rId551" Type="http://schemas.openxmlformats.org/officeDocument/2006/relationships/hyperlink" Target="https://advance.lexis.com/api/document?collection=cases-ca&amp;id=urn:contentItem:5F7T-S7C1-JCJ5-209C-00000-00&amp;context=" TargetMode="External" /><Relationship Id="rId552" Type="http://schemas.openxmlformats.org/officeDocument/2006/relationships/hyperlink" Target="https://advance.lexis.com/api/document?collection=cases-ca&amp;id=urn:contentItem:5F7T-S781-FH4C-X31D-00000-00&amp;context=" TargetMode="External" /><Relationship Id="rId553" Type="http://schemas.openxmlformats.org/officeDocument/2006/relationships/hyperlink" Target="https://advance.lexis.com/api/document?collection=cases-ca&amp;id=urn:contentItem:5F7T-S7K1-F1H1-221C-00000-00&amp;context=" TargetMode="External" /><Relationship Id="rId554" Type="http://schemas.openxmlformats.org/officeDocument/2006/relationships/hyperlink" Target="https://advance.lexis.com/api/document?collection=cases-ca&amp;id=urn:contentItem:5F7T-S7J1-JNS1-M244-00000-00&amp;context=" TargetMode="External" /><Relationship Id="rId555" Type="http://schemas.openxmlformats.org/officeDocument/2006/relationships/hyperlink" Target="https://advance.lexis.com/api/document?collection=cases-ca&amp;id=urn:contentItem:5F7T-S7D1-F7ND-G0C5-00000-00&amp;context=" TargetMode="External" /><Relationship Id="rId556" Type="http://schemas.openxmlformats.org/officeDocument/2006/relationships/hyperlink" Target="https://advance.lexis.com/api/document?collection=cases-ca&amp;id=urn:contentItem:5F7T-S7C1-F4NT-X44P-00000-00&amp;context=" TargetMode="External" /><Relationship Id="rId557" Type="http://schemas.openxmlformats.org/officeDocument/2006/relationships/hyperlink" Target="https://advance.lexis.com/api/document?collection=cases-ca&amp;id=urn:contentItem:5F7T-S6T1-FJTD-G1NW-00000-00&amp;context=" TargetMode="External" /><Relationship Id="rId558" Type="http://schemas.openxmlformats.org/officeDocument/2006/relationships/hyperlink" Target="https://advance.lexis.com/api/document?collection=cases-ca&amp;id=urn:contentItem:5F7T-S6V1-JC0G-6242-00000-00&amp;context=" TargetMode="External" /><Relationship Id="rId559" Type="http://schemas.openxmlformats.org/officeDocument/2006/relationships/hyperlink" Target="https://advance.lexis.com/api/document?collection=cases-ca&amp;id=urn:contentItem:5F7T-S781-F27X-611H-00000-00&amp;context=" TargetMode="External" /><Relationship Id="rId56" Type="http://schemas.openxmlformats.org/officeDocument/2006/relationships/hyperlink" Target="https://advance.lexis.com/api/document?collection=cases-ca&amp;id=urn:contentItem:5F8T-N3R1-JNS1-M18G-00000-00&amp;context=" TargetMode="External" /><Relationship Id="rId560" Type="http://schemas.openxmlformats.org/officeDocument/2006/relationships/hyperlink" Target="https://advance.lexis.com/api/document?collection=cases-ca&amp;id=urn:contentItem:5F7T-S711-JNY7-X3JM-00000-00&amp;context=" TargetMode="External" /><Relationship Id="rId561" Type="http://schemas.openxmlformats.org/officeDocument/2006/relationships/header" Target="header73.xml" /><Relationship Id="rId562" Type="http://schemas.openxmlformats.org/officeDocument/2006/relationships/header" Target="header74.xml" /><Relationship Id="rId563" Type="http://schemas.openxmlformats.org/officeDocument/2006/relationships/footer" Target="footer73.xml" /><Relationship Id="rId564" Type="http://schemas.openxmlformats.org/officeDocument/2006/relationships/footer" Target="footer74.xml" /><Relationship Id="rId565" Type="http://schemas.openxmlformats.org/officeDocument/2006/relationships/header" Target="header75.xml" /><Relationship Id="rId566" Type="http://schemas.openxmlformats.org/officeDocument/2006/relationships/footer" Target="footer75.xml" /><Relationship Id="rId567" Type="http://schemas.openxmlformats.org/officeDocument/2006/relationships/hyperlink" Target="https://advance.lexis.com/api/document?collection=cases-ca&amp;id=urn:contentItem:5G44-J3J1-JT42-S3KR-00000-00&amp;context=" TargetMode="External" /><Relationship Id="rId568" Type="http://schemas.openxmlformats.org/officeDocument/2006/relationships/hyperlink" Target="https://advance.lexis.com/api/document?collection=legislation-ca&amp;id=urn:contentItem:5F41-1FN1-JBDT-B0J5-00000-00&amp;context=" TargetMode="External" /><Relationship Id="rId569" Type="http://schemas.openxmlformats.org/officeDocument/2006/relationships/hyperlink" Target="https://advance.lexis.com/api/document?collection=cases-ca&amp;id=urn:contentItem:5F7T-S7G1-JN6B-S1BS-00000-00&amp;context=" TargetMode="External" /><Relationship Id="rId57" Type="http://schemas.openxmlformats.org/officeDocument/2006/relationships/header" Target="header13.xml" /><Relationship Id="rId570" Type="http://schemas.openxmlformats.org/officeDocument/2006/relationships/hyperlink" Target="https://advance.lexis.com/api/document?collection=cases-ca&amp;id=urn:contentItem:5F16-93D1-F81W-219M-00000-00&amp;context=" TargetMode="External" /><Relationship Id="rId571" Type="http://schemas.openxmlformats.org/officeDocument/2006/relationships/hyperlink" Target="https://advance.lexis.com/api/document?collection=cases-ca&amp;id=urn:contentItem:5F8T-N3R1-JJSF-22MN-00000-00&amp;context=" TargetMode="External" /><Relationship Id="rId572" Type="http://schemas.openxmlformats.org/officeDocument/2006/relationships/hyperlink" Target="https://advance.lexis.com/api/document?collection=cases-ca&amp;id=urn:contentItem:5F7T-S7D1-F7ND-G076-00000-00&amp;context=" TargetMode="External" /><Relationship Id="rId573" Type="http://schemas.openxmlformats.org/officeDocument/2006/relationships/hyperlink" Target="https://advance.lexis.com/api/document?collection=cases-ca&amp;id=urn:contentItem:5F7T-S761-FFMK-M0YH-00000-00&amp;context=" TargetMode="External" /><Relationship Id="rId574" Type="http://schemas.openxmlformats.org/officeDocument/2006/relationships/hyperlink" Target="https://advance.lexis.com/api/document?collection=cases-ca&amp;id=urn:contentItem:5F16-9321-JJK6-S24M-00000-00&amp;context=" TargetMode="External" /><Relationship Id="rId575" Type="http://schemas.openxmlformats.org/officeDocument/2006/relationships/hyperlink" Target="https://advance.lexis.com/api/document?collection=cases-ca&amp;id=urn:contentItem:5G45-PN11-JBDT-B4VV-00000-00&amp;context=" TargetMode="External" /><Relationship Id="rId576" Type="http://schemas.openxmlformats.org/officeDocument/2006/relationships/hyperlink" Target="https://advance.lexis.com/api/document?collection=cases-ca&amp;id=urn:contentItem:5F8T-N3V1-JFKM-609D-00000-00&amp;context=" TargetMode="External" /><Relationship Id="rId577" Type="http://schemas.openxmlformats.org/officeDocument/2006/relationships/hyperlink" Target="https://advance.lexis.com/api/document?collection=cases-ca&amp;id=urn:contentItem:5F8T-N3T1-JGHR-M29M-00000-00&amp;context=" TargetMode="External" /><Relationship Id="rId578" Type="http://schemas.openxmlformats.org/officeDocument/2006/relationships/hyperlink" Target="https://advance.lexis.com/api/document?collection=cases-ca&amp;id=urn:contentItem:5F8T-N3V1-FC1F-M41V-00000-00&amp;context=" TargetMode="External" /><Relationship Id="rId579" Type="http://schemas.openxmlformats.org/officeDocument/2006/relationships/hyperlink" Target="https://advance.lexis.com/api/document?collection=cases-ca&amp;id=urn:contentItem:5F7T-S7J1-FGCG-S097-00000-00&amp;context=" TargetMode="External" /><Relationship Id="rId58" Type="http://schemas.openxmlformats.org/officeDocument/2006/relationships/header" Target="header14.xml" /><Relationship Id="rId580" Type="http://schemas.openxmlformats.org/officeDocument/2006/relationships/header" Target="header76.xml" /><Relationship Id="rId581" Type="http://schemas.openxmlformats.org/officeDocument/2006/relationships/header" Target="header77.xml" /><Relationship Id="rId582" Type="http://schemas.openxmlformats.org/officeDocument/2006/relationships/footer" Target="footer76.xml" /><Relationship Id="rId583" Type="http://schemas.openxmlformats.org/officeDocument/2006/relationships/footer" Target="footer77.xml" /><Relationship Id="rId584" Type="http://schemas.openxmlformats.org/officeDocument/2006/relationships/header" Target="header78.xml" /><Relationship Id="rId585" Type="http://schemas.openxmlformats.org/officeDocument/2006/relationships/footer" Target="footer78.xml" /><Relationship Id="rId586" Type="http://schemas.openxmlformats.org/officeDocument/2006/relationships/hyperlink" Target="https://advance.lexis.com/api/document?collection=cases-ca&amp;id=urn:contentItem:5F7T-S7F1-DXWW-23G9-00000-00&amp;context=" TargetMode="External" /><Relationship Id="rId587" Type="http://schemas.openxmlformats.org/officeDocument/2006/relationships/hyperlink" Target="https://advance.lexis.com/api/document?collection=legislation-ca&amp;id=urn:contentItem:5F3B-BCR1-F016-S00M-00000-00&amp;context=" TargetMode="External" /><Relationship Id="rId588" Type="http://schemas.openxmlformats.org/officeDocument/2006/relationships/hyperlink" Target="https://advance.lexis.com/api/document?collection=legislation-ca&amp;id=urn:contentItem:5F3B-B9C1-FJDY-X0FR-00000-00&amp;context=" TargetMode="External" /><Relationship Id="rId589" Type="http://schemas.openxmlformats.org/officeDocument/2006/relationships/hyperlink" Target="https://advance.lexis.com/api/document?collection=legislation-ca&amp;id=urn:contentItem:5VYK-W9Y1-F2MB-S2PF-00000-00&amp;context=" TargetMode="External" /><Relationship Id="rId59" Type="http://schemas.openxmlformats.org/officeDocument/2006/relationships/footer" Target="footer13.xml" /><Relationship Id="rId590" Type="http://schemas.openxmlformats.org/officeDocument/2006/relationships/hyperlink" Target="https://advance.lexis.com/api/document?collection=cases-ca&amp;id=urn:contentItem:5F7T-S7D1-DY89-M485-00000-00&amp;context=" TargetMode="External" /><Relationship Id="rId591" Type="http://schemas.openxmlformats.org/officeDocument/2006/relationships/hyperlink" Target="https://advance.lexis.com/api/document?collection=cases-ca&amp;id=urn:contentItem:5F7T-S7D1-FC6N-X0WS-00000-00&amp;context=" TargetMode="External" /><Relationship Id="rId592" Type="http://schemas.openxmlformats.org/officeDocument/2006/relationships/hyperlink" Target="https://advance.lexis.com/api/document?collection=cases-ca&amp;id=urn:contentItem:5F7T-S761-JX8W-M2PD-00000-00&amp;context=" TargetMode="External" /><Relationship Id="rId593" Type="http://schemas.openxmlformats.org/officeDocument/2006/relationships/hyperlink" Target="https://advance.lexis.com/api/document?collection=cases-ca&amp;id=urn:contentItem:5F7T-S721-F5T5-M20X-00000-00&amp;context=" TargetMode="External" /><Relationship Id="rId594" Type="http://schemas.openxmlformats.org/officeDocument/2006/relationships/hyperlink" Target="https://advance.lexis.com/api/document?collection=cases-ca&amp;id=urn:contentItem:5F8T-N3V1-JFKM-60BM-00000-00&amp;context=" TargetMode="External" /><Relationship Id="rId595" Type="http://schemas.openxmlformats.org/officeDocument/2006/relationships/hyperlink" Target="https://advance.lexis.com/api/document?collection=cases-ca&amp;id=urn:contentItem:5F7T-S6X1-FBN1-20VS-00000-00&amp;context=" TargetMode="External" /><Relationship Id="rId596" Type="http://schemas.openxmlformats.org/officeDocument/2006/relationships/hyperlink" Target="https://advance.lexis.com/api/document?collection=cases-ca&amp;id=urn:contentItem:5F7T-S791-FJTD-G32F-00000-00&amp;context=" TargetMode="External" /><Relationship Id="rId597" Type="http://schemas.openxmlformats.org/officeDocument/2006/relationships/hyperlink" Target="https://advance.lexis.com/api/document?collection=cases-ca&amp;id=urn:contentItem:5F7T-S7C1-JS0R-2269-00000-00&amp;context=" TargetMode="External" /><Relationship Id="rId598" Type="http://schemas.openxmlformats.org/officeDocument/2006/relationships/hyperlink" Target="https://advance.lexis.com/api/document?collection=cases-ca&amp;id=urn:contentItem:5F7T-S7D1-JXG3-X108-00000-00&amp;context=" TargetMode="External" /><Relationship Id="rId599" Type="http://schemas.openxmlformats.org/officeDocument/2006/relationships/hyperlink" Target="https://advance.lexis.com/api/document?collection=cases-ca&amp;id=urn:contentItem:5F8T-N3S1-JBDT-B09R-00000-00&amp;context=" TargetMode="External" /><Relationship Id="rId6" Type="http://schemas.openxmlformats.org/officeDocument/2006/relationships/footer" Target="footer1.xml" /><Relationship Id="rId60" Type="http://schemas.openxmlformats.org/officeDocument/2006/relationships/footer" Target="footer14.xml" /><Relationship Id="rId600" Type="http://schemas.openxmlformats.org/officeDocument/2006/relationships/hyperlink" Target="https://advance.lexis.com/api/document?collection=cases-ca&amp;id=urn:contentItem:5F8T-N3V1-JF75-M3GM-00000-00&amp;context=" TargetMode="External" /><Relationship Id="rId601" Type="http://schemas.openxmlformats.org/officeDocument/2006/relationships/hyperlink" Target="https://advance.lexis.com/api/document?collection=legislation-ca&amp;id=urn:contentItem:5VYK-W9T1-JGBH-B3CT-00000-00&amp;context=" TargetMode="External" /><Relationship Id="rId602" Type="http://schemas.openxmlformats.org/officeDocument/2006/relationships/hyperlink" Target="https://advance.lexis.com/api/document?collection=cases-ca&amp;id=urn:contentItem:5F7T-S7D1-JXG3-X0PM-00000-00&amp;context=" TargetMode="External" /><Relationship Id="rId603" Type="http://schemas.openxmlformats.org/officeDocument/2006/relationships/hyperlink" Target="https://advance.lexis.com/api/document?collection=cases-ca&amp;id=urn:contentItem:5F8T-N3V1-JF75-M3DF-00000-00&amp;context=" TargetMode="External" /><Relationship Id="rId604" Type="http://schemas.openxmlformats.org/officeDocument/2006/relationships/header" Target="header79.xml" /><Relationship Id="rId605" Type="http://schemas.openxmlformats.org/officeDocument/2006/relationships/header" Target="header80.xml" /><Relationship Id="rId606" Type="http://schemas.openxmlformats.org/officeDocument/2006/relationships/footer" Target="footer79.xml" /><Relationship Id="rId607" Type="http://schemas.openxmlformats.org/officeDocument/2006/relationships/footer" Target="footer80.xml" /><Relationship Id="rId608" Type="http://schemas.openxmlformats.org/officeDocument/2006/relationships/header" Target="header81.xml" /><Relationship Id="rId609" Type="http://schemas.openxmlformats.org/officeDocument/2006/relationships/footer" Target="footer81.xml" /><Relationship Id="rId61" Type="http://schemas.openxmlformats.org/officeDocument/2006/relationships/header" Target="header15.xml" /><Relationship Id="rId610" Type="http://schemas.openxmlformats.org/officeDocument/2006/relationships/hyperlink" Target="https://advance.lexis.com/api/document?collection=cases-ca&amp;id=urn:contentItem:5F7T-S7P1-JP4G-623P-00000-00&amp;context=" TargetMode="External" /><Relationship Id="rId611" Type="http://schemas.openxmlformats.org/officeDocument/2006/relationships/hyperlink" Target="https://advance.lexis.com/api/document?collection=cases-ca&amp;id=urn:contentItem:5F7T-S7K1-DY33-B1RF-00000-00&amp;context=" TargetMode="External" /><Relationship Id="rId612" Type="http://schemas.openxmlformats.org/officeDocument/2006/relationships/hyperlink" Target="https://advance.lexis.com/api/document?collection=cases-ca&amp;id=urn:contentItem:5F7T-S7F1-JBT7-X2R8-00000-00&amp;context=" TargetMode="External" /><Relationship Id="rId613" Type="http://schemas.openxmlformats.org/officeDocument/2006/relationships/hyperlink" Target="https://advance.lexis.com/api/document?collection=cases-ca&amp;id=urn:contentItem:5F7T-S7M1-F4W2-62JF-00000-00&amp;context=" TargetMode="External" /><Relationship Id="rId614" Type="http://schemas.openxmlformats.org/officeDocument/2006/relationships/hyperlink" Target="https://advance.lexis.com/api/document?collection=cases-ca&amp;id=urn:contentItem:5F7T-S7G1-F5KY-B1R6-00000-00&amp;context=" TargetMode="External" /><Relationship Id="rId615" Type="http://schemas.openxmlformats.org/officeDocument/2006/relationships/hyperlink" Target="https://advance.lexis.com/api/document?collection=cases-ca&amp;id=urn:contentItem:5F7T-S7M1-JCRC-B1SH-00000-00&amp;context=" TargetMode="External" /><Relationship Id="rId616" Type="http://schemas.openxmlformats.org/officeDocument/2006/relationships/hyperlink" Target="https://advance.lexis.com/api/document?collection=cases-ca&amp;id=urn:contentItem:5F7T-S751-F361-M0SR-00000-00&amp;context=" TargetMode="External" /><Relationship Id="rId617" Type="http://schemas.openxmlformats.org/officeDocument/2006/relationships/hyperlink" Target="https://advance.lexis.com/api/document?collection=cases-ca&amp;id=urn:contentItem:5F7T-S7N1-F57G-S2DJ-00000-00&amp;context=" TargetMode="External" /><Relationship Id="rId618" Type="http://schemas.openxmlformats.org/officeDocument/2006/relationships/hyperlink" Target="https://advance.lexis.com/api/document?collection=cases-ca&amp;id=urn:contentItem:5F7T-S7J1-JYYX-627J-00000-00&amp;context=" TargetMode="External" /><Relationship Id="rId619" Type="http://schemas.openxmlformats.org/officeDocument/2006/relationships/hyperlink" Target="https://advance.lexis.com/api/document?collection=cases-ca&amp;id=urn:contentItem:5F7T-S7M1-JCRC-B1T0-00000-00&amp;context=" TargetMode="External" /><Relationship Id="rId62" Type="http://schemas.openxmlformats.org/officeDocument/2006/relationships/footer" Target="footer15.xml" /><Relationship Id="rId620" Type="http://schemas.openxmlformats.org/officeDocument/2006/relationships/hyperlink" Target="https://advance.lexis.com/api/document?collection=cases-ca&amp;id=urn:contentItem:5F7T-S7N1-JC5P-G2GF-00000-00&amp;context=" TargetMode="External" /><Relationship Id="rId621" Type="http://schemas.openxmlformats.org/officeDocument/2006/relationships/hyperlink" Target="https://advance.lexis.com/api/document?collection=cases-ca&amp;id=urn:contentItem:5F8T-N3V1-JTGH-B0YX-00000-00&amp;context=" TargetMode="External" /><Relationship Id="rId622" Type="http://schemas.openxmlformats.org/officeDocument/2006/relationships/hyperlink" Target="https://advance.lexis.com/api/document?collection=cases-ca&amp;id=urn:contentItem:5F7T-S7N1-JJ1H-X2P9-00000-00&amp;context=" TargetMode="External" /><Relationship Id="rId623" Type="http://schemas.openxmlformats.org/officeDocument/2006/relationships/hyperlink" Target="https://advance.lexis.com/api/document?collection=cases-ca&amp;id=urn:contentItem:5F7T-S711-F5KY-B10P-00000-00&amp;context=" TargetMode="External" /><Relationship Id="rId624" Type="http://schemas.openxmlformats.org/officeDocument/2006/relationships/hyperlink" Target="https://advance.lexis.com/api/document?collection=cases-ca&amp;id=urn:contentItem:5F8T-N3V1-FC1F-M428-00000-00&amp;context=" TargetMode="External" /><Relationship Id="rId625" Type="http://schemas.openxmlformats.org/officeDocument/2006/relationships/hyperlink" Target="https://advance.lexis.com/api/document?collection=cases-ca&amp;id=urn:contentItem:5F7T-S741-FJM6-61JD-00000-00&amp;context=" TargetMode="External" /><Relationship Id="rId626" Type="http://schemas.openxmlformats.org/officeDocument/2006/relationships/hyperlink" Target="https://advance.lexis.com/api/document?collection=cases-ca&amp;id=urn:contentItem:5F7T-S7C1-F7ND-G02F-00000-00&amp;context=" TargetMode="External" /><Relationship Id="rId627" Type="http://schemas.openxmlformats.org/officeDocument/2006/relationships/hyperlink" Target="https://advance.lexis.com/api/document?collection=cases-ca&amp;id=urn:contentItem:5F7T-S6W1-F5T5-M1XG-00000-00&amp;context=" TargetMode="External" /><Relationship Id="rId628" Type="http://schemas.openxmlformats.org/officeDocument/2006/relationships/hyperlink" Target="https://advance.lexis.com/api/document?collection=cases-ca&amp;id=urn:contentItem:5F7T-S6X1-K0BB-S0F0-00000-00&amp;context=" TargetMode="External" /><Relationship Id="rId629" Type="http://schemas.openxmlformats.org/officeDocument/2006/relationships/hyperlink" Target="https://advance.lexis.com/api/document?collection=cases-ca&amp;id=urn:contentItem:5F7T-S7D1-DY89-M43J-00000-00&amp;context=" TargetMode="External" /><Relationship Id="rId63" Type="http://schemas.openxmlformats.org/officeDocument/2006/relationships/hyperlink" Target="https://advance.lexis.com/api/document?collection=cases-ca&amp;id=urn:contentItem:5F7T-S7J1-JYYX-62B6-00000-00&amp;context=" TargetMode="External" /><Relationship Id="rId630" Type="http://schemas.openxmlformats.org/officeDocument/2006/relationships/hyperlink" Target="https://advance.lexis.com/api/document?collection=cases-ca&amp;id=urn:contentItem:5F7T-S6Y1-F4GK-M210-00000-00&amp;context=" TargetMode="External" /><Relationship Id="rId631" Type="http://schemas.openxmlformats.org/officeDocument/2006/relationships/hyperlink" Target="https://advance.lexis.com/api/document?collection=cases-ca&amp;id=urn:contentItem:5F7T-S7M1-JNCK-22PV-00000-00&amp;context=" TargetMode="External" /><Relationship Id="rId632" Type="http://schemas.openxmlformats.org/officeDocument/2006/relationships/hyperlink" Target="https://advance.lexis.com/api/document?collection=cases-ca&amp;id=urn:contentItem:5F7T-S7M1-JPP5-22NF-00000-00&amp;context=" TargetMode="External" /><Relationship Id="rId633" Type="http://schemas.openxmlformats.org/officeDocument/2006/relationships/hyperlink" Target="https://advance.lexis.com/api/document?collection=cases-ca&amp;id=urn:contentItem:5F7T-S6Y1-F81W-216M-00000-00&amp;context=" TargetMode="External" /><Relationship Id="rId634" Type="http://schemas.openxmlformats.org/officeDocument/2006/relationships/hyperlink" Target="https://advance.lexis.com/api/document?collection=cases-ca&amp;id=urn:contentItem:5F8T-N3V1-JFKM-60BP-00000-00&amp;context=" TargetMode="External" /><Relationship Id="rId635" Type="http://schemas.openxmlformats.org/officeDocument/2006/relationships/hyperlink" Target="https://advance.lexis.com/api/document?collection=cases-ca&amp;id=urn:contentItem:5F8T-N3V1-FH4C-X1XK-00000-00&amp;context=" TargetMode="External" /><Relationship Id="rId636" Type="http://schemas.openxmlformats.org/officeDocument/2006/relationships/hyperlink" Target="https://advance.lexis.com/api/document?collection=cases-ca&amp;id=urn:contentItem:5F7T-S7P1-JP4G-61P7-00000-00&amp;context=" TargetMode="External" /><Relationship Id="rId637" Type="http://schemas.openxmlformats.org/officeDocument/2006/relationships/hyperlink" Target="https://advance.lexis.com/api/document?collection=cases-ca&amp;id=urn:contentItem:5F8T-N3V1-FH4C-X1WF-00000-00&amp;context=" TargetMode="External" /><Relationship Id="rId638" Type="http://schemas.openxmlformats.org/officeDocument/2006/relationships/hyperlink" Target="https://advance.lexis.com/api/document?collection=cases-ca&amp;id=urn:contentItem:5F8T-N3V1-JFKM-6096-00000-00&amp;context=" TargetMode="External" /><Relationship Id="rId639" Type="http://schemas.openxmlformats.org/officeDocument/2006/relationships/hyperlink" Target="https://advance.lexis.com/api/document?collection=cases-ca&amp;id=urn:contentItem:5F8T-N3V1-JTGH-B111-00000-00&amp;context=" TargetMode="External" /><Relationship Id="rId64" Type="http://schemas.openxmlformats.org/officeDocument/2006/relationships/hyperlink" Target="https://advance.lexis.com/api/document?collection=cases-ca&amp;id=urn:contentItem:5K6Y-81M1-DXHD-G2R2-00000-00&amp;context=" TargetMode="External" /><Relationship Id="rId640" Type="http://schemas.openxmlformats.org/officeDocument/2006/relationships/header" Target="header82.xml" /><Relationship Id="rId641" Type="http://schemas.openxmlformats.org/officeDocument/2006/relationships/header" Target="header83.xml" /><Relationship Id="rId642" Type="http://schemas.openxmlformats.org/officeDocument/2006/relationships/footer" Target="footer82.xml" /><Relationship Id="rId643" Type="http://schemas.openxmlformats.org/officeDocument/2006/relationships/footer" Target="footer83.xml" /><Relationship Id="rId644" Type="http://schemas.openxmlformats.org/officeDocument/2006/relationships/header" Target="header84.xml" /><Relationship Id="rId645" Type="http://schemas.openxmlformats.org/officeDocument/2006/relationships/footer" Target="footer84.xml" /><Relationship Id="rId646" Type="http://schemas.openxmlformats.org/officeDocument/2006/relationships/hyperlink" Target="https://advance.lexis.com/api/document?collection=cases-ca&amp;id=urn:contentItem:5F7T-S7M1-JCRC-B1KK-00000-00&amp;context=" TargetMode="External" /><Relationship Id="rId647" Type="http://schemas.openxmlformats.org/officeDocument/2006/relationships/hyperlink" Target="https://advance.lexis.com/api/document?collection=legislation-ca&amp;id=urn:contentItem:5VYK-WB51-K054-G4Y8-00000-00&amp;context=" TargetMode="External" /><Relationship Id="rId648" Type="http://schemas.openxmlformats.org/officeDocument/2006/relationships/hyperlink" Target="https://advance.lexis.com/api/document?collection=legislation-ca&amp;id=urn:contentItem:5F41-1FG1-F4NT-X09B-00000-00&amp;context=" TargetMode="External" /><Relationship Id="rId649" Type="http://schemas.openxmlformats.org/officeDocument/2006/relationships/hyperlink" Target="https://advance.lexis.com/api/document?collection=legislation-ca&amp;id=urn:contentItem:5F41-1FJ1-F5DR-20BD-00000-00&amp;context=" TargetMode="External" /><Relationship Id="rId65" Type="http://schemas.openxmlformats.org/officeDocument/2006/relationships/hyperlink" Target="https://advance.lexis.com/api/document?collection=cases-ca&amp;id=urn:contentItem:5F8T-N3T1-JFKM-655K-00000-00&amp;context=" TargetMode="External" /><Relationship Id="rId650" Type="http://schemas.openxmlformats.org/officeDocument/2006/relationships/hyperlink" Target="https://advance.lexis.com/api/document?collection=cases-ca&amp;id=urn:contentItem:5F8T-N3T1-JJSF-23FD-00000-00&amp;context=" TargetMode="External" /><Relationship Id="rId651" Type="http://schemas.openxmlformats.org/officeDocument/2006/relationships/hyperlink" Target="https://advance.lexis.com/api/document?collection=cases-ca&amp;id=urn:contentItem:5F7T-S6W1-JYYX-61DY-00000-00&amp;context=" TargetMode="External" /><Relationship Id="rId652" Type="http://schemas.openxmlformats.org/officeDocument/2006/relationships/hyperlink" Target="https://advance.lexis.com/api/document?collection=cases-ca&amp;id=urn:contentItem:5F8N-K751-F22N-X21V-00000-00&amp;context=" TargetMode="External" /><Relationship Id="rId653" Type="http://schemas.openxmlformats.org/officeDocument/2006/relationships/hyperlink" Target="https://advance.lexis.com/api/document?collection=cases-ca&amp;id=urn:contentItem:5F81-VJX1-FGY5-M38V-00000-00&amp;context=" TargetMode="External" /><Relationship Id="rId654" Type="http://schemas.openxmlformats.org/officeDocument/2006/relationships/hyperlink" Target="https://advance.lexis.com/api/document?collection=cases-ca&amp;id=urn:contentItem:5F8P-SGB1-JKB3-X154-00000-00&amp;context=" TargetMode="External" /><Relationship Id="rId655" Type="http://schemas.openxmlformats.org/officeDocument/2006/relationships/hyperlink" Target="https://advance.lexis.com/api/document?collection=cases-ca&amp;id=urn:contentItem:5F8P-SDF1-FJDY-X14W-00000-00&amp;context=" TargetMode="External" /><Relationship Id="rId656" Type="http://schemas.openxmlformats.org/officeDocument/2006/relationships/hyperlink" Target="https://advance.lexis.com/api/document?collection=cases-ca&amp;id=urn:contentItem:5F8P-SCW1-JGBH-B3W3-00000-00&amp;context=" TargetMode="External" /><Relationship Id="rId657" Type="http://schemas.openxmlformats.org/officeDocument/2006/relationships/hyperlink" Target="https://advance.lexis.com/api/document?collection=cases-ca&amp;id=urn:contentItem:5F8P-SDR1-JSJC-X47D-00000-00&amp;context=" TargetMode="External" /><Relationship Id="rId658" Type="http://schemas.openxmlformats.org/officeDocument/2006/relationships/hyperlink" Target="https://advance.lexis.com/api/document?collection=cases-ca&amp;id=urn:contentItem:5F8N-K6Y1-FBN1-217M-00000-00&amp;context=" TargetMode="External" /><Relationship Id="rId659" Type="http://schemas.openxmlformats.org/officeDocument/2006/relationships/hyperlink" Target="https://advance.lexis.com/api/document?collection=cases-ca&amp;id=urn:contentItem:5F8N-K6Y1-JN14-G25B-00000-00&amp;context=" TargetMode="External" /><Relationship Id="rId66" Type="http://schemas.openxmlformats.org/officeDocument/2006/relationships/hyperlink" Target="https://advance.lexis.com/api/document?collection=cases-ca&amp;id=urn:contentItem:5F8T-N3V1-JF75-M3S6-00000-00&amp;context=" TargetMode="External" /><Relationship Id="rId660" Type="http://schemas.openxmlformats.org/officeDocument/2006/relationships/hyperlink" Target="https://advance.lexis.com/api/document?collection=cases-ca&amp;id=urn:contentItem:5F7T-S771-F2TK-231M-00000-00&amp;context=" TargetMode="External" /><Relationship Id="rId661" Type="http://schemas.openxmlformats.org/officeDocument/2006/relationships/hyperlink" Target="https://advance.lexis.com/api/document?collection=cases-ca&amp;id=urn:contentItem:5F8N-K6Y1-F2MB-S09S-00000-00&amp;context=" TargetMode="External" /><Relationship Id="rId662" Type="http://schemas.openxmlformats.org/officeDocument/2006/relationships/hyperlink" Target="https://advance.lexis.com/api/document?collection=cases-ca&amp;id=urn:contentItem:5F7T-S781-DYMS-61BG-00000-00&amp;context=" TargetMode="External" /><Relationship Id="rId663" Type="http://schemas.openxmlformats.org/officeDocument/2006/relationships/hyperlink" Target="https://advance.lexis.com/api/document?collection=cases-ca&amp;id=urn:contentItem:5F7T-S721-F06F-23C4-00000-00&amp;context=" TargetMode="External" /><Relationship Id="rId664" Type="http://schemas.openxmlformats.org/officeDocument/2006/relationships/hyperlink" Target="https://advance.lexis.com/api/document?collection=cases-ca&amp;id=urn:contentItem:5F7T-S6V1-JFKM-60TN-00000-00&amp;context=" TargetMode="External" /><Relationship Id="rId665" Type="http://schemas.openxmlformats.org/officeDocument/2006/relationships/hyperlink" Target="https://advance.lexis.com/api/document?collection=cases-ca&amp;id=urn:contentItem:5F7T-S701-F8KH-X14H-00000-00&amp;context=" TargetMode="External" /><Relationship Id="rId666" Type="http://schemas.openxmlformats.org/officeDocument/2006/relationships/hyperlink" Target="https://advance.lexis.com/api/document?collection=cases-ca&amp;id=urn:contentItem:5F7T-S6W1-F7ND-G2KP-00000-00&amp;context=" TargetMode="External" /><Relationship Id="rId667" Type="http://schemas.openxmlformats.org/officeDocument/2006/relationships/hyperlink" Target="https://advance.lexis.com/api/document?collection=cases-ca&amp;id=urn:contentItem:5F7T-S711-F4W2-61JR-00000-00&amp;context=" TargetMode="External" /><Relationship Id="rId668" Type="http://schemas.openxmlformats.org/officeDocument/2006/relationships/hyperlink" Target="https://advance.lexis.com/api/document?collection=cases-ca&amp;id=urn:contentItem:5F7T-S7K1-JKHB-62N7-00000-00&amp;context=" TargetMode="External" /><Relationship Id="rId669" Type="http://schemas.openxmlformats.org/officeDocument/2006/relationships/hyperlink" Target="https://advance.lexis.com/api/document?collection=cases-ca&amp;id=urn:contentItem:5F7T-S721-F06F-23BX-00000-00&amp;context=" TargetMode="External" /><Relationship Id="rId67" Type="http://schemas.openxmlformats.org/officeDocument/2006/relationships/hyperlink" Target="https://advance.lexis.com/api/document?collection=cases-ca&amp;id=urn:contentItem:5F8T-N3V1-JTGH-B153-00000-00&amp;context=" TargetMode="External" /><Relationship Id="rId670" Type="http://schemas.openxmlformats.org/officeDocument/2006/relationships/hyperlink" Target="https://advance.lexis.com/api/document?collection=cases-ca&amp;id=urn:contentItem:5F7T-S7H1-JCRC-B147-00000-00&amp;context=" TargetMode="External" /><Relationship Id="rId671" Type="http://schemas.openxmlformats.org/officeDocument/2006/relationships/header" Target="header85.xml" /><Relationship Id="rId672" Type="http://schemas.openxmlformats.org/officeDocument/2006/relationships/header" Target="header86.xml" /><Relationship Id="rId673" Type="http://schemas.openxmlformats.org/officeDocument/2006/relationships/footer" Target="footer85.xml" /><Relationship Id="rId674" Type="http://schemas.openxmlformats.org/officeDocument/2006/relationships/footer" Target="footer86.xml" /><Relationship Id="rId675" Type="http://schemas.openxmlformats.org/officeDocument/2006/relationships/header" Target="header87.xml" /><Relationship Id="rId676" Type="http://schemas.openxmlformats.org/officeDocument/2006/relationships/footer" Target="footer87.xml" /><Relationship Id="rId677" Type="http://schemas.openxmlformats.org/officeDocument/2006/relationships/hyperlink" Target="https://advance.lexis.com/api/document?collection=cases-ca&amp;id=urn:contentItem:5GB3-MY31-JX3N-B2C7-00000-00&amp;context=" TargetMode="External" /><Relationship Id="rId678" Type="http://schemas.openxmlformats.org/officeDocument/2006/relationships/hyperlink" Target="https://advance.lexis.com/api/document?collection=cases-ca&amp;id=urn:contentItem:5F7T-S7P1-JBDT-B0X2-00000-00&amp;context=" TargetMode="External" /><Relationship Id="rId679" Type="http://schemas.openxmlformats.org/officeDocument/2006/relationships/hyperlink" Target="https://advance.lexis.com/api/document?collection=cases-ca&amp;id=urn:contentItem:5F8T-N3V1-JF75-M3CB-00000-00&amp;context=" TargetMode="External" /><Relationship Id="rId68" Type="http://schemas.openxmlformats.org/officeDocument/2006/relationships/hyperlink" Target="https://advance.lexis.com/api/document?collection=cases-ca&amp;id=urn:contentItem:5F8T-N3V1-JTGH-B18F-00000-00&amp;context=" TargetMode="External" /><Relationship Id="rId680" Type="http://schemas.openxmlformats.org/officeDocument/2006/relationships/hyperlink" Target="https://advance.lexis.com/api/document?collection=cases-ca&amp;id=urn:contentItem:5F8T-N3V1-FC1F-M3Y5-00000-00&amp;context=" TargetMode="External" /><Relationship Id="rId681" Type="http://schemas.openxmlformats.org/officeDocument/2006/relationships/hyperlink" Target="https://advance.lexis.com/api/document?collection=cases-ca&amp;id=urn:contentItem:5F8T-N3T1-JJSF-23CS-00000-00&amp;context=" TargetMode="External" /><Relationship Id="rId682" Type="http://schemas.openxmlformats.org/officeDocument/2006/relationships/hyperlink" Target="https://advance.lexis.com/api/document?collection=cases-ca&amp;id=urn:contentItem:5F81-VJV1-JK4W-M53T-00000-00&amp;context=" TargetMode="External" /><Relationship Id="rId683" Type="http://schemas.openxmlformats.org/officeDocument/2006/relationships/hyperlink" Target="https://advance.lexis.com/api/document?collection=cases-ca&amp;id=urn:contentItem:5F8P-JG81-JS5Y-B3MV-00000-00&amp;context=" TargetMode="External" /><Relationship Id="rId684" Type="http://schemas.openxmlformats.org/officeDocument/2006/relationships/hyperlink" Target="https://advance.lexis.com/api/document?collection=cases-ca&amp;id=urn:contentItem:5F7T-S7P1-F2TK-23BN-00000-00&amp;context=" TargetMode="External" /><Relationship Id="rId685" Type="http://schemas.openxmlformats.org/officeDocument/2006/relationships/hyperlink" Target="https://advance.lexis.com/api/document?collection=cases-ca&amp;id=urn:contentItem:5F8T-N3V1-JTGH-B1GX-00000-00&amp;context=" TargetMode="External" /><Relationship Id="rId686" Type="http://schemas.openxmlformats.org/officeDocument/2006/relationships/hyperlink" Target="https://advance.lexis.com/api/document?collection=legislation-ca&amp;id=urn:contentItem:5F41-1FG1-F4NT-X0B8-00000-00&amp;context=" TargetMode="External" /><Relationship Id="rId687" Type="http://schemas.openxmlformats.org/officeDocument/2006/relationships/hyperlink" Target="https://advance.lexis.com/api/document?collection=cases-ca&amp;id=urn:contentItem:5G44-J3J1-JT42-S3K4-00000-00&amp;context=" TargetMode="External" /><Relationship Id="rId688" Type="http://schemas.openxmlformats.org/officeDocument/2006/relationships/hyperlink" Target="https://advance.lexis.com/api/document?collection=cases-ca&amp;id=urn:contentItem:5F7T-S7H1-F4GK-M2VX-00000-00&amp;context=" TargetMode="External" /><Relationship Id="rId689" Type="http://schemas.openxmlformats.org/officeDocument/2006/relationships/hyperlink" Target="https://advance.lexis.com/api/document?collection=cases-ca&amp;id=urn:contentItem:5F8T-N3V1-FH4C-X1XS-00000-00&amp;context=" TargetMode="External" /><Relationship Id="rId69" Type="http://schemas.openxmlformats.org/officeDocument/2006/relationships/hyperlink" Target="https://advance.lexis.com/api/document?collection=cases-ca&amp;id=urn:contentItem:5F81-VJV1-JK4W-M4YV-00000-00&amp;context=" TargetMode="External" /><Relationship Id="rId690" Type="http://schemas.openxmlformats.org/officeDocument/2006/relationships/hyperlink" Target="https://advance.lexis.com/api/document?collection=cases-ca&amp;id=urn:contentItem:5F7T-S7M1-JJK6-S1VH-00000-00&amp;context=" TargetMode="External" /><Relationship Id="rId691" Type="http://schemas.openxmlformats.org/officeDocument/2006/relationships/hyperlink" Target="https://advance.lexis.com/api/document?collection=cases-ca&amp;id=urn:contentItem:5F7T-S7N1-JGHR-M2WR-00000-00&amp;context=" TargetMode="External" /><Relationship Id="rId692" Type="http://schemas.openxmlformats.org/officeDocument/2006/relationships/hyperlink" Target="https://advance.lexis.com/api/document?collection=cases-ca&amp;id=urn:contentItem:5F8T-N3V1-JTGH-B1BS-00000-00&amp;context=" TargetMode="External" /><Relationship Id="rId693" Type="http://schemas.openxmlformats.org/officeDocument/2006/relationships/hyperlink" Target="https://advance.lexis.com/api/document?collection=cases-ca&amp;id=urn:contentItem:5G5R-VSV1-DYMS-602H-00000-00&amp;context=" TargetMode="External" /><Relationship Id="rId694" Type="http://schemas.openxmlformats.org/officeDocument/2006/relationships/hyperlink" Target="https://advance.lexis.com/api/document?collection=cases-ca&amp;id=urn:contentItem:5F8T-N3P1-F81W-22CK-00000-00&amp;context=" TargetMode="External" /><Relationship Id="rId695" Type="http://schemas.openxmlformats.org/officeDocument/2006/relationships/hyperlink" Target="https://advance.lexis.com/api/document?collection=cases-ca&amp;id=urn:contentItem:5F8T-N3V1-JTGH-B11R-00000-00&amp;context=" TargetMode="External" /><Relationship Id="rId696" Type="http://schemas.openxmlformats.org/officeDocument/2006/relationships/hyperlink" Target="https://advance.lexis.com/api/document?collection=cases-ca&amp;id=urn:contentItem:5F7T-S7K1-DY33-B1FT-00000-00&amp;context=" TargetMode="External" /><Relationship Id="rId697" Type="http://schemas.openxmlformats.org/officeDocument/2006/relationships/header" Target="header88.xml" /><Relationship Id="rId698" Type="http://schemas.openxmlformats.org/officeDocument/2006/relationships/header" Target="header89.xml" /><Relationship Id="rId699" Type="http://schemas.openxmlformats.org/officeDocument/2006/relationships/footer" Target="footer88.xm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41-F528-G2J5-00000-00&amp;context=" TargetMode="External" /><Relationship Id="rId700" Type="http://schemas.openxmlformats.org/officeDocument/2006/relationships/footer" Target="footer89.xml" /><Relationship Id="rId701" Type="http://schemas.openxmlformats.org/officeDocument/2006/relationships/header" Target="header90.xml" /><Relationship Id="rId702" Type="http://schemas.openxmlformats.org/officeDocument/2006/relationships/footer" Target="footer90.xml" /><Relationship Id="rId703" Type="http://schemas.openxmlformats.org/officeDocument/2006/relationships/hyperlink" Target="https://advance.lexis.com/api/document?collection=cases-ca&amp;id=urn:contentItem:5F7T-S7M1-JNCK-22KY-00000-00&amp;context=" TargetMode="External" /><Relationship Id="rId704" Type="http://schemas.openxmlformats.org/officeDocument/2006/relationships/hyperlink" Target="https://advance.lexis.com/api/document?collection=cases-ca&amp;id=urn:contentItem:5F7T-S721-F8D9-M0YF-00000-00&amp;context=" TargetMode="External" /><Relationship Id="rId705" Type="http://schemas.openxmlformats.org/officeDocument/2006/relationships/hyperlink" Target="https://advance.lexis.com/api/document?collection=cases-ca&amp;id=urn:contentItem:5F7T-S6X1-K0BB-S0MB-00000-00&amp;context=" TargetMode="External" /><Relationship Id="rId706" Type="http://schemas.openxmlformats.org/officeDocument/2006/relationships/hyperlink" Target="https://advance.lexis.com/api/document?collection=cases-ca&amp;id=urn:contentItem:5F7T-S731-FFFC-B0D7-00000-00&amp;context=" TargetMode="External" /><Relationship Id="rId707" Type="http://schemas.openxmlformats.org/officeDocument/2006/relationships/hyperlink" Target="https://advance.lexis.com/api/document?collection=cases-ca&amp;id=urn:contentItem:5F8T-N3V1-JFKM-608J-00000-00&amp;context=" TargetMode="External" /><Relationship Id="rId708" Type="http://schemas.openxmlformats.org/officeDocument/2006/relationships/hyperlink" Target="https://advance.lexis.com/api/document?collection=legislation-ca&amp;id=urn:contentItem:5GBY-CM41-JJYN-B3H0-00000-00&amp;context=" TargetMode="External" /><Relationship Id="rId709" Type="http://schemas.openxmlformats.org/officeDocument/2006/relationships/header" Target="header91.xml" /><Relationship Id="rId71" Type="http://schemas.openxmlformats.org/officeDocument/2006/relationships/hyperlink" Target="https://advance.lexis.com/api/document?collection=cases-ca&amp;id=urn:contentItem:5F7T-S7C1-JSRM-60TP-00000-00&amp;context=" TargetMode="External" /><Relationship Id="rId710" Type="http://schemas.openxmlformats.org/officeDocument/2006/relationships/header" Target="header92.xml" /><Relationship Id="rId711" Type="http://schemas.openxmlformats.org/officeDocument/2006/relationships/footer" Target="footer91.xml" /><Relationship Id="rId712" Type="http://schemas.openxmlformats.org/officeDocument/2006/relationships/footer" Target="footer92.xml" /><Relationship Id="rId713" Type="http://schemas.openxmlformats.org/officeDocument/2006/relationships/header" Target="header93.xml" /><Relationship Id="rId714" Type="http://schemas.openxmlformats.org/officeDocument/2006/relationships/footer" Target="footer93.xml" /><Relationship Id="rId715" Type="http://schemas.openxmlformats.org/officeDocument/2006/relationships/hyperlink" Target="https://advance.lexis.com/api/document?collection=cases-ca&amp;id=urn:contentItem:5WX1-B7V1-JWR6-S3N0-00000-00&amp;context=" TargetMode="External" /><Relationship Id="rId716" Type="http://schemas.openxmlformats.org/officeDocument/2006/relationships/hyperlink" Target="https://advance.lexis.com/api/document?collection=cases-ca&amp;id=urn:contentItem:5F7T-S7K1-JX3N-B2V4-00000-00&amp;context=" TargetMode="External" /><Relationship Id="rId717" Type="http://schemas.openxmlformats.org/officeDocument/2006/relationships/hyperlink" Target="https://advance.lexis.com/api/document?collection=cases-ca&amp;id=urn:contentItem:5F7T-S7N1-F06F-24KX-00000-00&amp;context=" TargetMode="External" /><Relationship Id="rId718" Type="http://schemas.openxmlformats.org/officeDocument/2006/relationships/hyperlink" Target="https://advance.lexis.com/api/document?collection=cases-ca&amp;id=urn:contentItem:5F8T-N3P1-F7ND-G14C-00000-00&amp;context=" TargetMode="External" /><Relationship Id="rId719" Type="http://schemas.openxmlformats.org/officeDocument/2006/relationships/hyperlink" Target="https://advance.lexis.com/api/document?collection=cases-ca&amp;id=urn:contentItem:5F81-YGW1-DYFH-X025-00000-00&amp;context=" TargetMode="External" /><Relationship Id="rId72" Type="http://schemas.openxmlformats.org/officeDocument/2006/relationships/hyperlink" Target="https://advance.lexis.com/api/document?collection=cases-ca&amp;id=urn:contentItem:5F8T-N3T1-JJSF-234V-00000-00&amp;context=" TargetMode="External" /><Relationship Id="rId720" Type="http://schemas.openxmlformats.org/officeDocument/2006/relationships/hyperlink" Target="https://advance.lexis.com/api/document?collection=cases-ca&amp;id=urn:contentItem:5F8P-SC71-JK4W-M2MK-00000-00&amp;context=" TargetMode="External" /><Relationship Id="rId721" Type="http://schemas.openxmlformats.org/officeDocument/2006/relationships/hyperlink" Target="https://advance.lexis.com/api/document?collection=cases-ca&amp;id=urn:contentItem:5F8T-N3V1-JF75-M3WX-00000-00&amp;context=" TargetMode="External" /><Relationship Id="rId722" Type="http://schemas.openxmlformats.org/officeDocument/2006/relationships/hyperlink" Target="https://advance.lexis.com/api/document?collection=cases-ca&amp;id=urn:contentItem:5W78-2BT1-F30T-B35G-00000-00&amp;context=" TargetMode="External" /><Relationship Id="rId723" Type="http://schemas.openxmlformats.org/officeDocument/2006/relationships/hyperlink" Target="https://advance.lexis.com/api/document?collection=cases-ca&amp;id=urn:contentItem:5F7T-S771-JSJC-X0FT-00000-00&amp;context=" TargetMode="External" /><Relationship Id="rId724" Type="http://schemas.openxmlformats.org/officeDocument/2006/relationships/hyperlink" Target="https://advance.lexis.com/api/document?collection=cases-ca&amp;id=urn:contentItem:5JH9-BW81-F22N-X486-00000-00&amp;context=" TargetMode="External" /><Relationship Id="rId725" Type="http://schemas.openxmlformats.org/officeDocument/2006/relationships/hyperlink" Target="https://advance.lexis.com/api/document?collection=cases-ca&amp;id=urn:contentItem:5F7T-S7D1-JS5Y-B2JK-00000-00&amp;context=" TargetMode="External" /><Relationship Id="rId726" Type="http://schemas.openxmlformats.org/officeDocument/2006/relationships/hyperlink" Target="https://advance.lexis.com/api/document?collection=cases-ca&amp;id=urn:contentItem:5F7T-S7K1-F1H1-22C1-00000-00&amp;context=" TargetMode="External" /><Relationship Id="rId727" Type="http://schemas.openxmlformats.org/officeDocument/2006/relationships/hyperlink" Target="https://advance.lexis.com/api/document?collection=cases-ca&amp;id=urn:contentItem:5F7T-S771-JW5H-X21S-00000-00&amp;context=" TargetMode="External" /><Relationship Id="rId728" Type="http://schemas.openxmlformats.org/officeDocument/2006/relationships/hyperlink" Target="https://advance.lexis.com/api/document?collection=cases-ca&amp;id=urn:contentItem:5F7T-S7H1-JCRC-B158-00000-00&amp;context=" TargetMode="External" /><Relationship Id="rId729" Type="http://schemas.openxmlformats.org/officeDocument/2006/relationships/hyperlink" Target="https://advance.lexis.com/api/document?collection=cases-ca&amp;id=urn:contentItem:5F7T-S7P1-JSJC-X1SJ-00000-00&amp;context=" TargetMode="External" /><Relationship Id="rId73" Type="http://schemas.openxmlformats.org/officeDocument/2006/relationships/hyperlink" Target="https://advance.lexis.com/api/document?collection=cases-ca&amp;id=urn:contentItem:5F7T-S7H1-JFSV-G35Y-00000-00&amp;context=" TargetMode="External" /><Relationship Id="rId730" Type="http://schemas.openxmlformats.org/officeDocument/2006/relationships/hyperlink" Target="https://advance.lexis.com/api/document?collection=cases-ca&amp;id=urn:contentItem:5F7T-S7K1-JKHB-62NV-00000-00&amp;context=" TargetMode="External" /><Relationship Id="rId731" Type="http://schemas.openxmlformats.org/officeDocument/2006/relationships/hyperlink" Target="https://advance.lexis.com/api/document?collection=cases-ca&amp;id=urn:contentItem:5F7T-S7M1-JFSV-G3BP-00000-00&amp;context=" TargetMode="External" /><Relationship Id="rId732" Type="http://schemas.openxmlformats.org/officeDocument/2006/relationships/hyperlink" Target="https://advance.lexis.com/api/document?collection=cases-ca&amp;id=urn:contentItem:5F7T-S7P1-JP4G-61S5-00000-00&amp;context=" TargetMode="External" /><Relationship Id="rId733" Type="http://schemas.openxmlformats.org/officeDocument/2006/relationships/hyperlink" Target="https://advance.lexis.com/api/document?collection=cases-ca&amp;id=urn:contentItem:5F7T-S7K1-JX3N-B32V-00000-00&amp;context=" TargetMode="External" /><Relationship Id="rId734" Type="http://schemas.openxmlformats.org/officeDocument/2006/relationships/hyperlink" Target="https://advance.lexis.com/api/document?collection=cases-ca&amp;id=urn:contentItem:5F7T-S7M1-JCRC-B1V3-00000-00&amp;context=" TargetMode="External" /><Relationship Id="rId735" Type="http://schemas.openxmlformats.org/officeDocument/2006/relationships/hyperlink" Target="https://advance.lexis.com/api/document?collection=cases-ca&amp;id=urn:contentItem:5F7T-S7H1-F016-S3X8-00000-00&amp;context=" TargetMode="External" /><Relationship Id="rId736" Type="http://schemas.openxmlformats.org/officeDocument/2006/relationships/hyperlink" Target="https://advance.lexis.com/api/document?collection=cases-ca&amp;id=urn:contentItem:5F82-1SH1-F8KH-X1YH-00000-00&amp;context=" TargetMode="External" /><Relationship Id="rId737" Type="http://schemas.openxmlformats.org/officeDocument/2006/relationships/hyperlink" Target="https://advance.lexis.com/api/document?collection=cases-ca&amp;id=urn:contentItem:5G4B-CVF1-JPGX-S2TN-00000-00&amp;context=" TargetMode="External" /><Relationship Id="rId738" Type="http://schemas.openxmlformats.org/officeDocument/2006/relationships/hyperlink" Target="https://advance.lexis.com/api/document?collection=cases-ca&amp;id=urn:contentItem:5WT1-XTC1-JF1Y-B0CK-00000-00&amp;context=" TargetMode="External" /><Relationship Id="rId739" Type="http://schemas.openxmlformats.org/officeDocument/2006/relationships/hyperlink" Target="https://advance.lexis.com/api/document?collection=cases-ca&amp;id=urn:contentItem:5F7T-S7P1-JSJC-X1MC-00000-00&amp;context=" TargetMode="External" /><Relationship Id="rId74" Type="http://schemas.openxmlformats.org/officeDocument/2006/relationships/hyperlink" Target="https://advance.lexis.com/api/document?collection=cases-ca&amp;id=urn:contentItem:5F7T-S7H1-FCSB-S3SN-00000-00&amp;context=" TargetMode="External" /><Relationship Id="rId740" Type="http://schemas.openxmlformats.org/officeDocument/2006/relationships/hyperlink" Target="https://advance.lexis.com/api/document?collection=cases-ca&amp;id=urn:contentItem:5F7T-S7M1-JNCK-22SH-00000-00&amp;context=" TargetMode="External" /><Relationship Id="rId741" Type="http://schemas.openxmlformats.org/officeDocument/2006/relationships/hyperlink" Target="https://advance.lexis.com/api/document?collection=cases-ca&amp;id=urn:contentItem:5F7T-S711-JNY7-X30K-00000-00&amp;context=" TargetMode="External" /><Relationship Id="rId742" Type="http://schemas.openxmlformats.org/officeDocument/2006/relationships/hyperlink" Target="https://advance.lexis.com/api/document?collection=cases-ca&amp;id=urn:contentItem:5F7T-S7H1-JS5Y-B37B-00000-00&amp;context=" TargetMode="External" /><Relationship Id="rId743" Type="http://schemas.openxmlformats.org/officeDocument/2006/relationships/hyperlink" Target="https://advance.lexis.com/api/document?collection=cases-ca&amp;id=urn:contentItem:5F7T-S7K1-JNY7-X4TM-00000-00&amp;context=" TargetMode="External" /><Relationship Id="rId744" Type="http://schemas.openxmlformats.org/officeDocument/2006/relationships/hyperlink" Target="https://advance.lexis.com/api/document?collection=cases-ca&amp;id=urn:contentItem:5F7T-S7B1-FH4C-X3NP-00000-00&amp;context=" TargetMode="External" /><Relationship Id="rId745" Type="http://schemas.openxmlformats.org/officeDocument/2006/relationships/hyperlink" Target="https://advance.lexis.com/api/document?collection=cases-ca&amp;id=urn:contentItem:5MRB-VMB1-K054-G0MG-00000-00&amp;context=" TargetMode="External" /><Relationship Id="rId746" Type="http://schemas.openxmlformats.org/officeDocument/2006/relationships/hyperlink" Target="https://advance.lexis.com/api/document?collection=cases-ca&amp;id=urn:contentItem:5RNF-R891-JFSV-G0BF-00000-00&amp;context=" TargetMode="External" /><Relationship Id="rId747" Type="http://schemas.openxmlformats.org/officeDocument/2006/relationships/hyperlink" Target="https://advance.lexis.com/api/document?collection=cases-ca&amp;id=urn:contentItem:5F81-VJX1-F5T5-M3YH-00000-00&amp;context=" TargetMode="External" /><Relationship Id="rId748" Type="http://schemas.openxmlformats.org/officeDocument/2006/relationships/hyperlink" Target="https://advance.lexis.com/api/document?collection=cases-ca&amp;id=urn:contentItem:5F7T-S6X1-JTNR-M3X3-00000-00&amp;context=" TargetMode="External" /><Relationship Id="rId749" Type="http://schemas.openxmlformats.org/officeDocument/2006/relationships/hyperlink" Target="https://advance.lexis.com/api/document?collection=cases-ca&amp;id=urn:contentItem:5F7T-S741-F528-G26C-00000-00&amp;context=" TargetMode="External" /><Relationship Id="rId75" Type="http://schemas.openxmlformats.org/officeDocument/2006/relationships/hyperlink" Target="https://advance.lexis.com/api/document?collection=cases-ca&amp;id=urn:contentItem:5F7T-S7D1-FBFS-S1M7-00000-00&amp;context=" TargetMode="External" /><Relationship Id="rId750" Type="http://schemas.openxmlformats.org/officeDocument/2006/relationships/hyperlink" Target="https://advance.lexis.com/api/document?collection=cases-ca&amp;id=urn:contentItem:5F7T-S7H1-JS5Y-B2T7-00000-00&amp;context=" TargetMode="External" /><Relationship Id="rId751" Type="http://schemas.openxmlformats.org/officeDocument/2006/relationships/hyperlink" Target="https://advance.lexis.com/api/document?collection=cases-ca&amp;id=urn:contentItem:5F8T-N3V1-FC1F-M4BC-00000-00&amp;context=" TargetMode="External" /><Relationship Id="rId752" Type="http://schemas.openxmlformats.org/officeDocument/2006/relationships/hyperlink" Target="https://advance.lexis.com/api/document?collection=cases-ca&amp;id=urn:contentItem:5F7T-S7F1-JX3N-B19D-00000-00&amp;context=" TargetMode="External" /><Relationship Id="rId753" Type="http://schemas.openxmlformats.org/officeDocument/2006/relationships/hyperlink" Target="https://advance.lexis.com/api/document?collection=cases-ca&amp;id=urn:contentItem:5F7T-S7M1-DYMS-62FG-00000-00&amp;context=" TargetMode="External" /><Relationship Id="rId754" Type="http://schemas.openxmlformats.org/officeDocument/2006/relationships/hyperlink" Target="https://advance.lexis.com/api/document?collection=cases-ca&amp;id=urn:contentItem:5F7T-S7C1-JS0R-22BW-00000-00&amp;context=" TargetMode="External" /><Relationship Id="rId755" Type="http://schemas.openxmlformats.org/officeDocument/2006/relationships/hyperlink" Target="https://advance.lexis.com/api/document?collection=cases-ca&amp;id=urn:contentItem:5F7T-S7P1-JSJC-X1B5-00000-00&amp;context=" TargetMode="External" /><Relationship Id="rId756" Type="http://schemas.openxmlformats.org/officeDocument/2006/relationships/hyperlink" Target="https://advance.lexis.com/api/document?collection=cases-ca&amp;id=urn:contentItem:5KS2-M7W1-JNY7-X3HR-00000-00&amp;context=" TargetMode="External" /><Relationship Id="rId757" Type="http://schemas.openxmlformats.org/officeDocument/2006/relationships/hyperlink" Target="https://advance.lexis.com/api/document?collection=cases-ca&amp;id=urn:contentItem:5R1J-31X1-F956-S16N-00000-00&amp;context=" TargetMode="External" /><Relationship Id="rId758" Type="http://schemas.openxmlformats.org/officeDocument/2006/relationships/hyperlink" Target="https://advance.lexis.com/api/document?collection=cases-ca&amp;id=urn:contentItem:5F7T-S771-JSJC-X05N-00000-00&amp;context=" TargetMode="External" /><Relationship Id="rId759" Type="http://schemas.openxmlformats.org/officeDocument/2006/relationships/hyperlink" Target="https://advance.lexis.com/api/document?collection=cases-ca&amp;id=urn:contentItem:5F7T-S7P1-JP4G-61XP-00000-00&amp;context=" TargetMode="External" /><Relationship Id="rId76" Type="http://schemas.openxmlformats.org/officeDocument/2006/relationships/hyperlink" Target="https://advance.lexis.com/api/document?collection=cases-ca&amp;id=urn:contentItem:5F7T-S6W1-JB7K-21F4-00000-00&amp;context=" TargetMode="External" /><Relationship Id="rId760" Type="http://schemas.openxmlformats.org/officeDocument/2006/relationships/hyperlink" Target="https://advance.lexis.com/api/document?collection=cases-ca&amp;id=urn:contentItem:5F81-VJY1-FBN1-22RF-00000-00&amp;context=" TargetMode="External" /><Relationship Id="rId761" Type="http://schemas.openxmlformats.org/officeDocument/2006/relationships/hyperlink" Target="https://advance.lexis.com/api/document?collection=cases-ca&amp;id=urn:contentItem:5F7T-S7N1-JW09-M13J-00000-00&amp;context=" TargetMode="External" /><Relationship Id="rId762" Type="http://schemas.openxmlformats.org/officeDocument/2006/relationships/hyperlink" Target="https://advance.lexis.com/api/document?collection=cases-ca&amp;id=urn:contentItem:5F7T-S7D1-JN6B-S16W-00000-00&amp;context=" TargetMode="External" /><Relationship Id="rId763" Type="http://schemas.openxmlformats.org/officeDocument/2006/relationships/hyperlink" Target="https://advance.lexis.com/api/document?collection=cases-ca&amp;id=urn:contentItem:5GCC-XVB1-JSXV-G0G9-00000-00&amp;context=" TargetMode="External" /><Relationship Id="rId764" Type="http://schemas.openxmlformats.org/officeDocument/2006/relationships/hyperlink" Target="https://advance.lexis.com/api/document?collection=cases-ca&amp;id=urn:contentItem:5F7T-S7P1-JCRC-B2J1-00000-00&amp;context=" TargetMode="External" /><Relationship Id="rId765" Type="http://schemas.openxmlformats.org/officeDocument/2006/relationships/hyperlink" Target="https://advance.lexis.com/api/document?collection=cases-ca&amp;id=urn:contentItem:5F7T-S781-F7G6-63NT-00000-00&amp;context=" TargetMode="External" /><Relationship Id="rId766" Type="http://schemas.openxmlformats.org/officeDocument/2006/relationships/hyperlink" Target="https://advance.lexis.com/api/document?collection=cases-ca&amp;id=urn:contentItem:5F82-1SF1-JXG3-X2CR-00000-00&amp;context=" TargetMode="External" /><Relationship Id="rId767" Type="http://schemas.openxmlformats.org/officeDocument/2006/relationships/hyperlink" Target="https://advance.lexis.com/api/document?collection=cases-ca&amp;id=urn:contentItem:5F7T-S7B1-FH4C-X381-00000-00&amp;context=" TargetMode="External" /><Relationship Id="rId768" Type="http://schemas.openxmlformats.org/officeDocument/2006/relationships/hyperlink" Target="https://advance.lexis.com/api/document?collection=cases-ca&amp;id=urn:contentItem:5F8T-N3T1-JJSF-2361-00000-00&amp;context=" TargetMode="External" /><Relationship Id="rId769" Type="http://schemas.openxmlformats.org/officeDocument/2006/relationships/hyperlink" Target="https://advance.lexis.com/api/document?collection=cases-ca&amp;id=urn:contentItem:5F7T-S7M1-F4W2-626S-00000-00&amp;context=" TargetMode="External" /><Relationship Id="rId77" Type="http://schemas.openxmlformats.org/officeDocument/2006/relationships/hyperlink" Target="https://advance.lexis.com/api/document?collection=cases-ca&amp;id=urn:contentItem:5F7T-S771-JN14-G2PR-00000-00&amp;context=" TargetMode="External" /><Relationship Id="rId770" Type="http://schemas.openxmlformats.org/officeDocument/2006/relationships/header" Target="header94.xml" /><Relationship Id="rId771" Type="http://schemas.openxmlformats.org/officeDocument/2006/relationships/header" Target="header95.xml" /><Relationship Id="rId772" Type="http://schemas.openxmlformats.org/officeDocument/2006/relationships/footer" Target="footer94.xml" /><Relationship Id="rId773" Type="http://schemas.openxmlformats.org/officeDocument/2006/relationships/footer" Target="footer95.xml" /><Relationship Id="rId774" Type="http://schemas.openxmlformats.org/officeDocument/2006/relationships/header" Target="header96.xml" /><Relationship Id="rId775" Type="http://schemas.openxmlformats.org/officeDocument/2006/relationships/footer" Target="footer96.xml" /><Relationship Id="rId776" Type="http://schemas.openxmlformats.org/officeDocument/2006/relationships/hyperlink" Target="https://advance.lexis.com/api/document?collection=cases-ca&amp;id=urn:contentItem:5GCC-XVB1-JSXV-G0BJ-00000-00&amp;context=" TargetMode="External" /><Relationship Id="rId777" Type="http://schemas.openxmlformats.org/officeDocument/2006/relationships/hyperlink" Target="https://advance.lexis.com/api/document?collection=cases-ca&amp;id=urn:contentItem:5F7T-S7N1-F57G-S2BK-00000-00&amp;context=" TargetMode="External" /><Relationship Id="rId778" Type="http://schemas.openxmlformats.org/officeDocument/2006/relationships/hyperlink" Target="https://advance.lexis.com/api/document?collection=cases-ca&amp;id=urn:contentItem:5F7T-S6V1-F956-S051-00000-00&amp;context=" TargetMode="External" /><Relationship Id="rId779" Type="http://schemas.openxmlformats.org/officeDocument/2006/relationships/hyperlink" Target="https://advance.lexis.com/api/document?collection=cases-ca&amp;id=urn:contentItem:5F7T-S6T1-JJ1H-X20X-00000-00&amp;context=" TargetMode="External" /><Relationship Id="rId78" Type="http://schemas.openxmlformats.org/officeDocument/2006/relationships/hyperlink" Target="https://advance.lexis.com/api/document?collection=cases-ca&amp;id=urn:contentItem:5F7T-S7B1-F7ND-G50F-00000-00&amp;context=" TargetMode="External" /><Relationship Id="rId780" Type="http://schemas.openxmlformats.org/officeDocument/2006/relationships/hyperlink" Target="https://advance.lexis.com/api/document?collection=cases-ca&amp;id=urn:contentItem:5F7T-S6V1-FJTD-G241-00000-00&amp;context=" TargetMode="External" /><Relationship Id="rId781" Type="http://schemas.openxmlformats.org/officeDocument/2006/relationships/hyperlink" Target="https://advance.lexis.com/api/document?collection=cases-ca&amp;id=urn:contentItem:5F7T-S7H1-JS5Y-B2N4-00000-00&amp;context=" TargetMode="External" /><Relationship Id="rId782" Type="http://schemas.openxmlformats.org/officeDocument/2006/relationships/hyperlink" Target="https://advance.lexis.com/api/document?collection=cases-ca&amp;id=urn:contentItem:5F7T-S7B1-F7ND-G53V-00000-00&amp;context=" TargetMode="External" /><Relationship Id="rId783" Type="http://schemas.openxmlformats.org/officeDocument/2006/relationships/hyperlink" Target="https://advance.lexis.com/api/document?collection=cases-ca&amp;id=urn:contentItem:5F7T-S7M1-F4W2-620S-00000-00&amp;context=" TargetMode="External" /><Relationship Id="rId784" Type="http://schemas.openxmlformats.org/officeDocument/2006/relationships/hyperlink" Target="https://advance.lexis.com/api/document?collection=cases-ca&amp;id=urn:contentItem:5F7T-S771-JWBS-61CT-00000-00&amp;context=" TargetMode="External" /><Relationship Id="rId785" Type="http://schemas.openxmlformats.org/officeDocument/2006/relationships/hyperlink" Target="https://advance.lexis.com/api/document?collection=cases-ca&amp;id=urn:contentItem:5F7T-S7H1-F4GK-M33F-00000-00&amp;context=" TargetMode="External" /><Relationship Id="rId786" Type="http://schemas.openxmlformats.org/officeDocument/2006/relationships/hyperlink" Target="https://advance.lexis.com/api/document?collection=cases-ca&amp;id=urn:contentItem:5F7T-S7P1-JP4G-61ST-00000-00&amp;context=" TargetMode="External" /><Relationship Id="rId787" Type="http://schemas.openxmlformats.org/officeDocument/2006/relationships/hyperlink" Target="https://advance.lexis.com/api/document?collection=cases-ca&amp;id=urn:contentItem:5F7T-S7P1-JCRC-B2JG-00000-00&amp;context=" TargetMode="External" /><Relationship Id="rId788" Type="http://schemas.openxmlformats.org/officeDocument/2006/relationships/hyperlink" Target="https://advance.lexis.com/api/document?collection=cases-ca&amp;id=urn:contentItem:5F7T-S7N1-DXWW-207X-00000-00&amp;context=" TargetMode="External" /><Relationship Id="rId789" Type="http://schemas.openxmlformats.org/officeDocument/2006/relationships/hyperlink" Target="https://advance.lexis.com/api/document?collection=cases-ca&amp;id=urn:contentItem:5F7T-S6S1-FFTT-X0FC-00000-00&amp;context=" TargetMode="External" /><Relationship Id="rId79" Type="http://schemas.openxmlformats.org/officeDocument/2006/relationships/hyperlink" Target="https://advance.lexis.com/api/document?collection=cases-ca&amp;id=urn:contentItem:5F7T-S7F1-DXWW-242B-00000-00&amp;context=" TargetMode="External" /><Relationship Id="rId790" Type="http://schemas.openxmlformats.org/officeDocument/2006/relationships/hyperlink" Target="https://advance.lexis.com/api/document?collection=cases-ca&amp;id=urn:contentItem:5F7T-S6P1-JC0G-61D2-00000-00&amp;context=" TargetMode="External" /><Relationship Id="rId791" Type="http://schemas.openxmlformats.org/officeDocument/2006/relationships/hyperlink" Target="https://advance.lexis.com/api/document?collection=cases-ca&amp;id=urn:contentItem:5F7T-S6T1-F361-M06P-00000-00&amp;context=" TargetMode="External" /><Relationship Id="rId792" Type="http://schemas.openxmlformats.org/officeDocument/2006/relationships/hyperlink" Target="https://advance.lexis.com/api/document?collection=cases-ca&amp;id=urn:contentItem:5F7T-S7M1-JJK6-S1TX-00000-00&amp;context=" TargetMode="External" /><Relationship Id="rId793" Type="http://schemas.openxmlformats.org/officeDocument/2006/relationships/hyperlink" Target="https://advance.lexis.com/api/document?collection=cases-ca&amp;id=urn:contentItem:5F7T-S7F1-JK4W-M1GJ-00000-00&amp;context=" TargetMode="External" /><Relationship Id="rId794" Type="http://schemas.openxmlformats.org/officeDocument/2006/relationships/hyperlink" Target="https://advance.lexis.com/api/document?collection=cases-ca&amp;id=urn:contentItem:5F8P-SDS1-JKB3-X10H-00000-00&amp;context=" TargetMode="External" /><Relationship Id="rId795" Type="http://schemas.openxmlformats.org/officeDocument/2006/relationships/hyperlink" Target="https://advance.lexis.com/api/document?collection=cases-ca&amp;id=urn:contentItem:5F7T-S7N1-JW09-M14K-00000-00&amp;context=" TargetMode="External" /><Relationship Id="rId796" Type="http://schemas.openxmlformats.org/officeDocument/2006/relationships/hyperlink" Target="https://advance.lexis.com/api/document?collection=cases-ca&amp;id=urn:contentItem:5F7T-S7H1-F4GK-M3DK-00000-00&amp;context=" TargetMode="External" /><Relationship Id="rId797" Type="http://schemas.openxmlformats.org/officeDocument/2006/relationships/header" Target="header97.xml" /><Relationship Id="rId798" Type="http://schemas.openxmlformats.org/officeDocument/2006/relationships/header" Target="header98.xml" /><Relationship Id="rId799" Type="http://schemas.openxmlformats.org/officeDocument/2006/relationships/footer" Target="footer97.xm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01-JBT7-X23F-00000-00&amp;context=" TargetMode="External" /><Relationship Id="rId800" Type="http://schemas.openxmlformats.org/officeDocument/2006/relationships/footer" Target="footer98.xml" /><Relationship Id="rId801" Type="http://schemas.openxmlformats.org/officeDocument/2006/relationships/header" Target="header99.xml" /><Relationship Id="rId802" Type="http://schemas.openxmlformats.org/officeDocument/2006/relationships/footer" Target="footer99.xml" /><Relationship Id="rId803" Type="http://schemas.openxmlformats.org/officeDocument/2006/relationships/hyperlink" Target="https://advance.lexis.com/api/document?collection=cases-ca&amp;id=urn:contentItem:5F7T-S7H1-JS5Y-B32D-00000-00&amp;context=" TargetMode="External" /><Relationship Id="rId804" Type="http://schemas.openxmlformats.org/officeDocument/2006/relationships/hyperlink" Target="https://advance.lexis.com/api/document?collection=cases-ca&amp;id=urn:contentItem:5F7T-S761-F7ND-G47G-00000-00&amp;context=" TargetMode="External" /><Relationship Id="rId805" Type="http://schemas.openxmlformats.org/officeDocument/2006/relationships/hyperlink" Target="https://advance.lexis.com/api/document?collection=cases-ca&amp;id=urn:contentItem:5F7T-S781-F7G6-639V-00000-00&amp;context=" TargetMode="External" /><Relationship Id="rId806" Type="http://schemas.openxmlformats.org/officeDocument/2006/relationships/hyperlink" Target="https://advance.lexis.com/api/document?collection=cases-ca&amp;id=urn:contentItem:5F8T-N3V1-FC1F-M4GD-00000-00&amp;context=" TargetMode="External" /><Relationship Id="rId807" Type="http://schemas.openxmlformats.org/officeDocument/2006/relationships/hyperlink" Target="https://advance.lexis.com/api/document?collection=cases-ca&amp;id=urn:contentItem:5F8T-N3V1-JF75-M3RV-00000-00&amp;context=" TargetMode="External" /><Relationship Id="rId808" Type="http://schemas.openxmlformats.org/officeDocument/2006/relationships/hyperlink" Target="https://advance.lexis.com/api/document?collection=cases-ca&amp;id=urn:contentItem:5F81-VJW1-FGY5-M306-00000-00&amp;context=" TargetMode="External" /><Relationship Id="rId809" Type="http://schemas.openxmlformats.org/officeDocument/2006/relationships/hyperlink" Target="https://advance.lexis.com/api/document?collection=cases-ca&amp;id=urn:contentItem:5F8T-N3V1-FC1F-M4BH-00000-00&amp;context=" TargetMode="External" /><Relationship Id="rId81" Type="http://schemas.openxmlformats.org/officeDocument/2006/relationships/hyperlink" Target="https://advance.lexis.com/api/document?collection=cases-ca&amp;id=urn:contentItem:5F7T-S6W1-JYYX-61TX-00000-00&amp;context=" TargetMode="External" /><Relationship Id="rId810" Type="http://schemas.openxmlformats.org/officeDocument/2006/relationships/hyperlink" Target="https://advance.lexis.com/api/document?collection=cases-ca&amp;id=urn:contentItem:5F7T-S771-JJD0-G15V-00000-00&amp;context=" TargetMode="External" /><Relationship Id="rId811" Type="http://schemas.openxmlformats.org/officeDocument/2006/relationships/hyperlink" Target="https://advance.lexis.com/api/document?collection=cases-ca&amp;id=urn:contentItem:5F7T-S7B1-JSRM-609W-00000-00&amp;context=" TargetMode="External" /><Relationship Id="rId812" Type="http://schemas.openxmlformats.org/officeDocument/2006/relationships/hyperlink" Target="https://advance.lexis.com/api/document?collection=cases-ca&amp;id=urn:contentItem:5F8W-M471-F8D9-M3MG-00000-00&amp;context=" TargetMode="External" /><Relationship Id="rId813" Type="http://schemas.openxmlformats.org/officeDocument/2006/relationships/hyperlink" Target="https://advance.lexis.com/api/document?collection=cases-ca&amp;id=urn:contentItem:5F8P-SDV1-JG02-S0VH-00000-00&amp;context=" TargetMode="External" /><Relationship Id="rId814" Type="http://schemas.openxmlformats.org/officeDocument/2006/relationships/hyperlink" Target="https://advance.lexis.com/api/document?collection=cases-ca&amp;id=urn:contentItem:5F8P-SF11-JF1Y-B352-00000-00&amp;context=" TargetMode="External" /><Relationship Id="rId815" Type="http://schemas.openxmlformats.org/officeDocument/2006/relationships/hyperlink" Target="https://advance.lexis.com/api/document?collection=cases-ca&amp;id=urn:contentItem:5F8T-N3V1-FC1F-M434-00000-00&amp;context=" TargetMode="External" /><Relationship Id="rId816" Type="http://schemas.openxmlformats.org/officeDocument/2006/relationships/header" Target="header100.xml" /><Relationship Id="rId817" Type="http://schemas.openxmlformats.org/officeDocument/2006/relationships/header" Target="header101.xml" /><Relationship Id="rId818" Type="http://schemas.openxmlformats.org/officeDocument/2006/relationships/footer" Target="footer100.xml" /><Relationship Id="rId819" Type="http://schemas.openxmlformats.org/officeDocument/2006/relationships/footer" Target="footer101.xml" /><Relationship Id="rId82" Type="http://schemas.openxmlformats.org/officeDocument/2006/relationships/hyperlink" Target="https://advance.lexis.com/api/document?collection=cases-ca&amp;id=urn:contentItem:5F7T-S7F1-DXWW-23RN-00000-00&amp;context=" TargetMode="External" /><Relationship Id="rId820" Type="http://schemas.openxmlformats.org/officeDocument/2006/relationships/header" Target="header102.xml" /><Relationship Id="rId821" Type="http://schemas.openxmlformats.org/officeDocument/2006/relationships/footer" Target="footer102.xml" /><Relationship Id="rId822" Type="http://schemas.openxmlformats.org/officeDocument/2006/relationships/hyperlink" Target="https://advance.lexis.com/api/document?collection=cases-ca&amp;id=urn:contentItem:5F7T-S7C1-JCJ5-20K7-00000-00&amp;context=" TargetMode="External" /><Relationship Id="rId823" Type="http://schemas.openxmlformats.org/officeDocument/2006/relationships/hyperlink" Target="https://advance.lexis.com/api/document?collection=cases-ca&amp;id=urn:contentItem:5F8T-N3V1-JFKM-609G-00000-00&amp;context=" TargetMode="External" /><Relationship Id="rId824" Type="http://schemas.openxmlformats.org/officeDocument/2006/relationships/hyperlink" Target="https://advance.lexis.com/api/document?collection=cases-ca&amp;id=urn:contentItem:5F8T-N3V1-JF75-M3VR-00000-00&amp;context=" TargetMode="External" /><Relationship Id="rId825" Type="http://schemas.openxmlformats.org/officeDocument/2006/relationships/hyperlink" Target="https://advance.lexis.com/api/document?collection=cases-ca&amp;id=urn:contentItem:5F7T-S6W1-JF75-M33H-00000-00&amp;context=" TargetMode="External" /><Relationship Id="rId826" Type="http://schemas.openxmlformats.org/officeDocument/2006/relationships/hyperlink" Target="https://advance.lexis.com/api/document?collection=cases-ca&amp;id=urn:contentItem:5F7T-S781-DYMS-61N0-00000-00&amp;context=" TargetMode="External" /><Relationship Id="rId827" Type="http://schemas.openxmlformats.org/officeDocument/2006/relationships/header" Target="header103.xml" /><Relationship Id="rId828" Type="http://schemas.openxmlformats.org/officeDocument/2006/relationships/header" Target="header104.xml" /><Relationship Id="rId829" Type="http://schemas.openxmlformats.org/officeDocument/2006/relationships/footer" Target="footer103.xml" /><Relationship Id="rId83" Type="http://schemas.openxmlformats.org/officeDocument/2006/relationships/hyperlink" Target="https://advance.lexis.com/api/document?collection=cases-ca&amp;id=urn:contentItem:5F7T-S7D1-JN6B-S184-00000-00&amp;context=" TargetMode="External" /><Relationship Id="rId830" Type="http://schemas.openxmlformats.org/officeDocument/2006/relationships/footer" Target="footer104.xml" /><Relationship Id="rId831" Type="http://schemas.openxmlformats.org/officeDocument/2006/relationships/header" Target="header105.xml" /><Relationship Id="rId832" Type="http://schemas.openxmlformats.org/officeDocument/2006/relationships/footer" Target="footer105.xml" /><Relationship Id="rId833" Type="http://schemas.openxmlformats.org/officeDocument/2006/relationships/hyperlink" Target="https://advance.lexis.com/api/document?collection=cases-ca&amp;id=urn:contentItem:5F7T-S771-JSJC-X01S-00000-00&amp;context=" TargetMode="External" /><Relationship Id="rId834" Type="http://schemas.openxmlformats.org/officeDocument/2006/relationships/hyperlink" Target="https://advance.lexis.com/api/document?collection=cases-ca&amp;id=urn:contentItem:5F7T-S6Y1-FJDY-X23K-00000-00&amp;context=" TargetMode="External" /><Relationship Id="rId835" Type="http://schemas.openxmlformats.org/officeDocument/2006/relationships/hyperlink" Target="https://advance.lexis.com/api/document?collection=cases-ca&amp;id=urn:contentItem:5F8T-N3P1-FC6N-X1MN-00000-00&amp;context=" TargetMode="External" /><Relationship Id="rId836" Type="http://schemas.openxmlformats.org/officeDocument/2006/relationships/hyperlink" Target="https://advance.lexis.com/api/document?collection=cases-ca&amp;id=urn:contentItem:5F7T-S761-FGJR-22SB-00000-00&amp;context=" TargetMode="External" /><Relationship Id="rId837" Type="http://schemas.openxmlformats.org/officeDocument/2006/relationships/hyperlink" Target="https://advance.lexis.com/api/document?collection=cases-ca&amp;id=urn:contentItem:5F7T-S6W1-JXNB-6262-00000-00&amp;context=" TargetMode="External" /><Relationship Id="rId838" Type="http://schemas.openxmlformats.org/officeDocument/2006/relationships/hyperlink" Target="https://advance.lexis.com/api/document?collection=cases-ca&amp;id=urn:contentItem:5F7T-S751-F361-M11H-00000-00&amp;context=" TargetMode="External" /><Relationship Id="rId839" Type="http://schemas.openxmlformats.org/officeDocument/2006/relationships/hyperlink" Target="https://advance.lexis.com/api/document?collection=cases-ca&amp;id=urn:contentItem:5F7T-S731-F60C-X1GS-00000-00&amp;context=" TargetMode="External" /><Relationship Id="rId84" Type="http://schemas.openxmlformats.org/officeDocument/2006/relationships/header" Target="header16.xml" /><Relationship Id="rId840" Type="http://schemas.openxmlformats.org/officeDocument/2006/relationships/hyperlink" Target="https://advance.lexis.com/api/document?collection=cases-ca&amp;id=urn:contentItem:5F7T-S6Y1-JTNR-M4F9-00000-00&amp;context=" TargetMode="External" /><Relationship Id="rId841" Type="http://schemas.openxmlformats.org/officeDocument/2006/relationships/hyperlink" Target="https://advance.lexis.com/api/document?collection=cases-ca&amp;id=urn:contentItem:5F7T-S6T1-JT99-210W-00000-00&amp;context=" TargetMode="External" /><Relationship Id="rId842" Type="http://schemas.openxmlformats.org/officeDocument/2006/relationships/hyperlink" Target="https://advance.lexis.com/api/document?collection=cases-ca&amp;id=urn:contentItem:5F7T-S751-JCJ5-24SP-00000-00&amp;context=" TargetMode="External" /><Relationship Id="rId843" Type="http://schemas.openxmlformats.org/officeDocument/2006/relationships/hyperlink" Target="https://advance.lexis.com/api/document?collection=cases-ca&amp;id=urn:contentItem:5F7T-S751-FJDY-X3W3-00000-00&amp;context=" TargetMode="External" /><Relationship Id="rId844" Type="http://schemas.openxmlformats.org/officeDocument/2006/relationships/hyperlink" Target="https://advance.lexis.com/api/document?collection=cases-ca&amp;id=urn:contentItem:5F7V-3DG1-JJK6-S417-00000-00&amp;context=" TargetMode="External" /><Relationship Id="rId845" Type="http://schemas.openxmlformats.org/officeDocument/2006/relationships/header" Target="header106.xml" /><Relationship Id="rId846" Type="http://schemas.openxmlformats.org/officeDocument/2006/relationships/header" Target="header107.xml" /><Relationship Id="rId847" Type="http://schemas.openxmlformats.org/officeDocument/2006/relationships/footer" Target="footer106.xml" /><Relationship Id="rId848" Type="http://schemas.openxmlformats.org/officeDocument/2006/relationships/footer" Target="footer107.xml" /><Relationship Id="rId849" Type="http://schemas.openxmlformats.org/officeDocument/2006/relationships/header" Target="header108.xml" /><Relationship Id="rId85" Type="http://schemas.openxmlformats.org/officeDocument/2006/relationships/header" Target="header17.xml" /><Relationship Id="rId850" Type="http://schemas.openxmlformats.org/officeDocument/2006/relationships/footer" Target="footer108.xml" /><Relationship Id="rId851" Type="http://schemas.openxmlformats.org/officeDocument/2006/relationships/hyperlink" Target="https://advance.lexis.com/api/document?collection=cases-ca&amp;id=urn:contentItem:5F7T-S7C1-F30T-B283-00000-00&amp;context=" TargetMode="External" /><Relationship Id="rId852" Type="http://schemas.openxmlformats.org/officeDocument/2006/relationships/hyperlink" Target="https://advance.lexis.com/api/document?collection=cases-ca&amp;id=urn:contentItem:5F81-VJS1-JN6B-S3M8-00000-00&amp;context=" TargetMode="External" /><Relationship Id="rId853" Type="http://schemas.openxmlformats.org/officeDocument/2006/relationships/hyperlink" Target="https://advance.lexis.com/api/document?collection=cases-ca&amp;id=urn:contentItem:5F8T-N3R1-JNS1-M12J-00000-00&amp;context=" TargetMode="External" /><Relationship Id="rId854" Type="http://schemas.openxmlformats.org/officeDocument/2006/relationships/hyperlink" Target="https://advance.lexis.com/api/document?collection=cases-ca&amp;id=urn:contentItem:5F8T-N3V1-JF75-M3KJ-00000-00&amp;context=" TargetMode="External" /><Relationship Id="rId855" Type="http://schemas.openxmlformats.org/officeDocument/2006/relationships/hyperlink" Target="https://advance.lexis.com/api/document?collection=cases-ca&amp;id=urn:contentItem:5F7T-S741-F528-G2HF-00000-00&amp;context=" TargetMode="External" /><Relationship Id="rId856" Type="http://schemas.openxmlformats.org/officeDocument/2006/relationships/hyperlink" Target="https://advance.lexis.com/api/document?collection=cases-ca&amp;id=urn:contentItem:5F8P-SD31-JSRM-62XP-00000-00&amp;context=" TargetMode="External" /><Relationship Id="rId857" Type="http://schemas.openxmlformats.org/officeDocument/2006/relationships/hyperlink" Target="https://advance.lexis.com/api/document?collection=cases-ca&amp;id=urn:contentItem:5F7T-S731-FG12-62K6-00000-00&amp;context=" TargetMode="External" /><Relationship Id="rId858" Type="http://schemas.openxmlformats.org/officeDocument/2006/relationships/hyperlink" Target="https://advance.lexis.com/api/document?collection=cases-ca&amp;id=urn:contentItem:5F7T-S741-DXPM-S0YP-00000-00&amp;context=" TargetMode="External" /><Relationship Id="rId859" Type="http://schemas.openxmlformats.org/officeDocument/2006/relationships/hyperlink" Target="https://advance.lexis.com/api/document?collection=cases-ca&amp;id=urn:contentItem:5F7T-S751-JNS1-M1PR-00000-00&amp;context=" TargetMode="External" /><Relationship Id="rId86" Type="http://schemas.openxmlformats.org/officeDocument/2006/relationships/footer" Target="footer16.xml" /><Relationship Id="rId860" Type="http://schemas.openxmlformats.org/officeDocument/2006/relationships/hyperlink" Target="https://advance.lexis.com/api/document?collection=cases-ca&amp;id=urn:contentItem:5F7T-S7H1-K054-G27V-00000-00&amp;context=" TargetMode="External" /><Relationship Id="rId861" Type="http://schemas.openxmlformats.org/officeDocument/2006/relationships/hyperlink" Target="https://advance.lexis.com/api/document?collection=cases-ca&amp;id=urn:contentItem:5F8N-K6V1-JNY7-X1M5-00000-00&amp;context=" TargetMode="External" /><Relationship Id="rId862" Type="http://schemas.openxmlformats.org/officeDocument/2006/relationships/hyperlink" Target="https://advance.lexis.com/api/document?collection=cases-ca&amp;id=urn:contentItem:5F7T-S6W1-F4GK-M1CF-00000-00&amp;context=" TargetMode="External" /><Relationship Id="rId863" Type="http://schemas.openxmlformats.org/officeDocument/2006/relationships/hyperlink" Target="https://advance.lexis.com/api/document?collection=cases-ca&amp;id=urn:contentItem:5F7T-S741-DY89-M3N2-00000-00&amp;context=" TargetMode="External" /><Relationship Id="rId864" Type="http://schemas.openxmlformats.org/officeDocument/2006/relationships/hyperlink" Target="https://advance.lexis.com/api/document?collection=cases-ca&amp;id=urn:contentItem:5F7T-S6S1-F8SS-61YV-00000-00&amp;context=" TargetMode="External" /><Relationship Id="rId865" Type="http://schemas.openxmlformats.org/officeDocument/2006/relationships/hyperlink" Target="https://advance.lexis.com/api/document?collection=cases-ca&amp;id=urn:contentItem:5F7T-S6T1-F361-M0DD-00000-00&amp;context=" TargetMode="External" /><Relationship Id="rId866" Type="http://schemas.openxmlformats.org/officeDocument/2006/relationships/hyperlink" Target="https://advance.lexis.com/api/document?collection=cases-ca&amp;id=urn:contentItem:5F7T-S6V1-JNS1-M0DR-00000-00&amp;context=" TargetMode="External" /><Relationship Id="rId867" Type="http://schemas.openxmlformats.org/officeDocument/2006/relationships/hyperlink" Target="https://advance.lexis.com/api/document?collection=cases-ca&amp;id=urn:contentItem:5F7H-KW71-JN14-G0V5-00000-00&amp;context=" TargetMode="External" /><Relationship Id="rId868" Type="http://schemas.openxmlformats.org/officeDocument/2006/relationships/hyperlink" Target="https://advance.lexis.com/api/document?collection=cases-ca&amp;id=urn:contentItem:5F8P-SD91-JTNR-M3T8-00000-00&amp;context=" TargetMode="External" /><Relationship Id="rId869" Type="http://schemas.openxmlformats.org/officeDocument/2006/relationships/hyperlink" Target="https://advance.lexis.com/api/document?collection=cases-ca&amp;id=urn:contentItem:5F7T-S721-JSC5-M3PW-00000-00&amp;context=" TargetMode="External" /><Relationship Id="rId87" Type="http://schemas.openxmlformats.org/officeDocument/2006/relationships/footer" Target="footer17.xml" /><Relationship Id="rId870" Type="http://schemas.openxmlformats.org/officeDocument/2006/relationships/hyperlink" Target="https://advance.lexis.com/api/document?collection=cases-ca&amp;id=urn:contentItem:5F16-9301-F8SS-63VC-00000-00&amp;context=" TargetMode="External" /><Relationship Id="rId871" Type="http://schemas.openxmlformats.org/officeDocument/2006/relationships/hyperlink" Target="https://advance.lexis.com/api/document?collection=cases-ca&amp;id=urn:contentItem:5F7T-S701-JF75-M4DT-00000-00&amp;context=" TargetMode="External" /><Relationship Id="rId872" Type="http://schemas.openxmlformats.org/officeDocument/2006/relationships/hyperlink" Target="https://advance.lexis.com/api/document?collection=cases-ca&amp;id=urn:contentItem:5F7T-S751-JCJ5-24N3-00000-00&amp;context=" TargetMode="External" /><Relationship Id="rId873" Type="http://schemas.openxmlformats.org/officeDocument/2006/relationships/header" Target="header109.xml" /><Relationship Id="rId874" Type="http://schemas.openxmlformats.org/officeDocument/2006/relationships/header" Target="header110.xml" /><Relationship Id="rId875" Type="http://schemas.openxmlformats.org/officeDocument/2006/relationships/footer" Target="footer109.xml" /><Relationship Id="rId876" Type="http://schemas.openxmlformats.org/officeDocument/2006/relationships/footer" Target="footer110.xml" /><Relationship Id="rId877" Type="http://schemas.openxmlformats.org/officeDocument/2006/relationships/header" Target="header111.xml" /><Relationship Id="rId878" Type="http://schemas.openxmlformats.org/officeDocument/2006/relationships/footer" Target="footer111.xml" /><Relationship Id="rId879" Type="http://schemas.openxmlformats.org/officeDocument/2006/relationships/hyperlink" Target="https://advance.lexis.com/api/document?collection=cases-ca&amp;id=urn:contentItem:5F7T-S781-FH4C-X2N5-00000-00&amp;context=" TargetMode="External" /><Relationship Id="rId88" Type="http://schemas.openxmlformats.org/officeDocument/2006/relationships/header" Target="header18.xml" /><Relationship Id="rId880" Type="http://schemas.openxmlformats.org/officeDocument/2006/relationships/header" Target="header112.xml" /><Relationship Id="rId881" Type="http://schemas.openxmlformats.org/officeDocument/2006/relationships/header" Target="header113.xml" /><Relationship Id="rId882" Type="http://schemas.openxmlformats.org/officeDocument/2006/relationships/footer" Target="footer112.xml" /><Relationship Id="rId883" Type="http://schemas.openxmlformats.org/officeDocument/2006/relationships/footer" Target="footer113.xml" /><Relationship Id="rId884" Type="http://schemas.openxmlformats.org/officeDocument/2006/relationships/header" Target="header114.xml" /><Relationship Id="rId885" Type="http://schemas.openxmlformats.org/officeDocument/2006/relationships/footer" Target="footer114.xml" /><Relationship Id="rId886" Type="http://schemas.openxmlformats.org/officeDocument/2006/relationships/hyperlink" Target="https://advance.lexis.com/api/document?collection=cases-ca&amp;id=urn:contentItem:5F7T-S771-JTGH-B1B1-00000-00&amp;context=" TargetMode="External" /><Relationship Id="rId887" Type="http://schemas.openxmlformats.org/officeDocument/2006/relationships/hyperlink" Target="https://advance.lexis.com/api/document?collection=cases-ca&amp;id=urn:contentItem:5F7T-S751-JP4G-61F6-00000-00&amp;context=" TargetMode="External" /><Relationship Id="rId888" Type="http://schemas.openxmlformats.org/officeDocument/2006/relationships/header" Target="header115.xml" /><Relationship Id="rId889" Type="http://schemas.openxmlformats.org/officeDocument/2006/relationships/header" Target="header116.xml" /><Relationship Id="rId89" Type="http://schemas.openxmlformats.org/officeDocument/2006/relationships/footer" Target="footer18.xml" /><Relationship Id="rId890" Type="http://schemas.openxmlformats.org/officeDocument/2006/relationships/footer" Target="footer115.xml" /><Relationship Id="rId891" Type="http://schemas.openxmlformats.org/officeDocument/2006/relationships/footer" Target="footer116.xml" /><Relationship Id="rId892" Type="http://schemas.openxmlformats.org/officeDocument/2006/relationships/header" Target="header117.xml" /><Relationship Id="rId893" Type="http://schemas.openxmlformats.org/officeDocument/2006/relationships/footer" Target="footer117.xml" /><Relationship Id="rId894" Type="http://schemas.openxmlformats.org/officeDocument/2006/relationships/hyperlink" Target="https://advance.lexis.com/api/document?collection=cases-ca&amp;id=urn:contentItem:5F7T-S7D1-F7ND-G0M6-00000-00&amp;context=" TargetMode="External" /><Relationship Id="rId895" Type="http://schemas.openxmlformats.org/officeDocument/2006/relationships/header" Target="header118.xml" /><Relationship Id="rId896" Type="http://schemas.openxmlformats.org/officeDocument/2006/relationships/header" Target="header119.xml" /><Relationship Id="rId897" Type="http://schemas.openxmlformats.org/officeDocument/2006/relationships/footer" Target="footer118.xml" /><Relationship Id="rId898" Type="http://schemas.openxmlformats.org/officeDocument/2006/relationships/footer" Target="footer119.xml" /><Relationship Id="rId899" Type="http://schemas.openxmlformats.org/officeDocument/2006/relationships/header" Target="header120.xml" /><Relationship Id="rId9" Type="http://schemas.openxmlformats.org/officeDocument/2006/relationships/footer" Target="footer3.xml" /><Relationship Id="rId90" Type="http://schemas.openxmlformats.org/officeDocument/2006/relationships/hyperlink" Target="https://advance.lexis.com/api/document?collection=cases-ca&amp;id=urn:contentItem:5PN3-9YF1-JG02-S3MV-00000-00&amp;context=" TargetMode="External" /><Relationship Id="rId900" Type="http://schemas.openxmlformats.org/officeDocument/2006/relationships/footer" Target="footer120.xml" /><Relationship Id="rId901" Type="http://schemas.openxmlformats.org/officeDocument/2006/relationships/hyperlink" Target="https://advance.lexis.com/api/document?collection=cases-ca&amp;id=urn:contentItem:5F7T-S7C1-FCSB-S26C-00000-00&amp;context=" TargetMode="External" /><Relationship Id="rId902" Type="http://schemas.openxmlformats.org/officeDocument/2006/relationships/hyperlink" Target="https://advance.lexis.com/api/document?collection=legislation-ca&amp;id=urn:contentItem:5F41-1FH1-JSRM-60KK-00000-00&amp;context=" TargetMode="External" /><Relationship Id="rId903" Type="http://schemas.openxmlformats.org/officeDocument/2006/relationships/hyperlink" Target="https://advance.lexis.com/api/document?collection=cases-ca&amp;id=urn:contentItem:5F7T-S741-F1H1-21DT-00000-00&amp;context=" TargetMode="External" /><Relationship Id="rId904" Type="http://schemas.openxmlformats.org/officeDocument/2006/relationships/hyperlink" Target="https://advance.lexis.com/api/document?collection=cases-ca&amp;id=urn:contentItem:5F8T-N3R1-FJDY-X3BM-00000-00&amp;context=" TargetMode="External" /><Relationship Id="rId905" Type="http://schemas.openxmlformats.org/officeDocument/2006/relationships/hyperlink" Target="https://advance.lexis.com/api/document?collection=cases-ca&amp;id=urn:contentItem:5F7T-S7H1-JFKM-62N8-00000-00&amp;context=" TargetMode="External" /><Relationship Id="rId906" Type="http://schemas.openxmlformats.org/officeDocument/2006/relationships/hyperlink" Target="https://advance.lexis.com/api/document?collection=cases-ca&amp;id=urn:contentItem:5F7T-S7G1-JBT7-X3YK-00000-00&amp;context=" TargetMode="External" /><Relationship Id="rId907" Type="http://schemas.openxmlformats.org/officeDocument/2006/relationships/header" Target="header121.xml" /><Relationship Id="rId908" Type="http://schemas.openxmlformats.org/officeDocument/2006/relationships/header" Target="header122.xml" /><Relationship Id="rId909" Type="http://schemas.openxmlformats.org/officeDocument/2006/relationships/footer" Target="footer121.xml" /><Relationship Id="rId91" Type="http://schemas.openxmlformats.org/officeDocument/2006/relationships/hyperlink" Target="https://advance.lexis.com/api/document?collection=cases-ca&amp;id=urn:contentItem:5RF8-TBH1-JWR6-S3GC-00000-00&amp;context=" TargetMode="External" /><Relationship Id="rId910" Type="http://schemas.openxmlformats.org/officeDocument/2006/relationships/footer" Target="footer122.xml" /><Relationship Id="rId911" Type="http://schemas.openxmlformats.org/officeDocument/2006/relationships/header" Target="header123.xml" /><Relationship Id="rId912" Type="http://schemas.openxmlformats.org/officeDocument/2006/relationships/footer" Target="footer123.xml" /><Relationship Id="rId913" Type="http://schemas.openxmlformats.org/officeDocument/2006/relationships/hyperlink" Target="https://advance.lexis.com/api/document?collection=cases-ca&amp;id=urn:contentItem:5F7T-S7D1-FC6N-X0PJ-00000-00&amp;context=" TargetMode="External" /><Relationship Id="rId914" Type="http://schemas.openxmlformats.org/officeDocument/2006/relationships/hyperlink" Target="https://advance.lexis.com/api/document?collection=cases-ca&amp;id=urn:contentItem:5F7T-S6T1-JTNR-M2BK-00000-00&amp;context=" TargetMode="External" /><Relationship Id="rId915" Type="http://schemas.openxmlformats.org/officeDocument/2006/relationships/hyperlink" Target="https://advance.lexis.com/api/document?collection=cases-ca&amp;id=urn:contentItem:5F7T-S771-JW5H-X243-00000-00&amp;context=" TargetMode="External" /><Relationship Id="rId916" Type="http://schemas.openxmlformats.org/officeDocument/2006/relationships/hyperlink" Target="https://advance.lexis.com/api/document?collection=cases-ca&amp;id=urn:contentItem:5F7T-S741-F7VM-S35S-00000-00&amp;context=" TargetMode="External" /><Relationship Id="rId917" Type="http://schemas.openxmlformats.org/officeDocument/2006/relationships/hyperlink" Target="https://advance.lexis.com/api/document?collection=cases-ca&amp;id=urn:contentItem:5F7T-S761-JGHR-M2MR-00000-00&amp;context=" TargetMode="External" /><Relationship Id="rId918" Type="http://schemas.openxmlformats.org/officeDocument/2006/relationships/hyperlink" Target="https://advance.lexis.com/api/document?collection=cases-ca&amp;id=urn:contentItem:5F7T-S7C1-JCJ5-20V5-00000-00&amp;context=" TargetMode="External" /><Relationship Id="rId919" Type="http://schemas.openxmlformats.org/officeDocument/2006/relationships/header" Target="header124.xml" /><Relationship Id="rId92" Type="http://schemas.openxmlformats.org/officeDocument/2006/relationships/hyperlink" Target="https://advance.lexis.com/api/document?collection=legislation-ca&amp;id=urn:contentItem:5F97-RC81-FD4T-B2C4-00000-00&amp;context=" TargetMode="External" /><Relationship Id="rId920" Type="http://schemas.openxmlformats.org/officeDocument/2006/relationships/header" Target="header125.xml" /><Relationship Id="rId921" Type="http://schemas.openxmlformats.org/officeDocument/2006/relationships/footer" Target="footer124.xml" /><Relationship Id="rId922" Type="http://schemas.openxmlformats.org/officeDocument/2006/relationships/footer" Target="footer125.xml" /><Relationship Id="rId923" Type="http://schemas.openxmlformats.org/officeDocument/2006/relationships/header" Target="header126.xml" /><Relationship Id="rId924" Type="http://schemas.openxmlformats.org/officeDocument/2006/relationships/footer" Target="footer126.xml" /><Relationship Id="rId925" Type="http://schemas.openxmlformats.org/officeDocument/2006/relationships/hyperlink" Target="https://advance.lexis.com/api/document?collection=cases-ca&amp;id=urn:contentItem:5F7T-S771-JSJC-X0KG-00000-00&amp;context=" TargetMode="External" /><Relationship Id="rId926" Type="http://schemas.openxmlformats.org/officeDocument/2006/relationships/hyperlink" Target="https://advance.lexis.com/api/document?collection=cases-ca&amp;id=urn:contentItem:5F7T-S741-F2F4-G2J0-00000-00&amp;context=" TargetMode="External" /><Relationship Id="rId927" Type="http://schemas.openxmlformats.org/officeDocument/2006/relationships/header" Target="header127.xml" /><Relationship Id="rId928" Type="http://schemas.openxmlformats.org/officeDocument/2006/relationships/header" Target="header128.xml" /><Relationship Id="rId929" Type="http://schemas.openxmlformats.org/officeDocument/2006/relationships/footer" Target="footer127.xml" /><Relationship Id="rId93" Type="http://schemas.openxmlformats.org/officeDocument/2006/relationships/hyperlink" Target="https://advance.lexis.com/api/document?collection=legislation-ca&amp;id=urn:contentItem:5W2C-X5J1-JJ1H-X0F6-00000-00&amp;context=" TargetMode="External" /><Relationship Id="rId930" Type="http://schemas.openxmlformats.org/officeDocument/2006/relationships/footer" Target="footer128.xml" /><Relationship Id="rId931" Type="http://schemas.openxmlformats.org/officeDocument/2006/relationships/header" Target="header129.xml" /><Relationship Id="rId932" Type="http://schemas.openxmlformats.org/officeDocument/2006/relationships/footer" Target="footer129.xml" /><Relationship Id="rId933" Type="http://schemas.openxmlformats.org/officeDocument/2006/relationships/hyperlink" Target="https://advance.lexis.com/api/document?collection=cases-ca&amp;id=urn:contentItem:5F7T-S781-F900-G16X-00000-00&amp;context=" TargetMode="External" /><Relationship Id="rId934" Type="http://schemas.openxmlformats.org/officeDocument/2006/relationships/hyperlink" Target="https://advance.lexis.com/api/document?collection=cases-ca&amp;id=urn:contentItem:5F7T-S6W1-JB7K-21C9-00000-00&amp;context=" TargetMode="External" /><Relationship Id="rId935" Type="http://schemas.openxmlformats.org/officeDocument/2006/relationships/header" Target="header130.xml" /><Relationship Id="rId936" Type="http://schemas.openxmlformats.org/officeDocument/2006/relationships/header" Target="header131.xml" /><Relationship Id="rId937" Type="http://schemas.openxmlformats.org/officeDocument/2006/relationships/footer" Target="footer130.xml" /><Relationship Id="rId938" Type="http://schemas.openxmlformats.org/officeDocument/2006/relationships/footer" Target="footer131.xml" /><Relationship Id="rId939" Type="http://schemas.openxmlformats.org/officeDocument/2006/relationships/header" Target="header132.xml" /><Relationship Id="rId94" Type="http://schemas.openxmlformats.org/officeDocument/2006/relationships/hyperlink" Target="https://advance.lexis.com/api/document?collection=cases-ca&amp;id=urn:contentItem:5F7T-S771-F361-M1KW-00000-00&amp;context=" TargetMode="External" /><Relationship Id="rId940" Type="http://schemas.openxmlformats.org/officeDocument/2006/relationships/footer" Target="footer132.xml" /><Relationship Id="rId941" Type="http://schemas.openxmlformats.org/officeDocument/2006/relationships/hyperlink" Target="https://advance.lexis.com/api/document?collection=cases-ca&amp;id=urn:contentItem:5F7T-S7D1-F7ND-G0DW-00000-00&amp;context=" TargetMode="External" /><Relationship Id="rId942" Type="http://schemas.openxmlformats.org/officeDocument/2006/relationships/hyperlink" Target="https://advance.lexis.com/api/document?collection=cases-ca&amp;id=urn:contentItem:5F81-YH41-JX8W-M05P-00000-00&amp;context=" TargetMode="External" /><Relationship Id="rId943" Type="http://schemas.openxmlformats.org/officeDocument/2006/relationships/hyperlink" Target="https://advance.lexis.com/api/document?collection=cases-ca&amp;id=urn:contentItem:5F7T-S771-JTGH-B15M-00000-00&amp;context=" TargetMode="External" /><Relationship Id="rId944" Type="http://schemas.openxmlformats.org/officeDocument/2006/relationships/header" Target="header133.xml" /><Relationship Id="rId945" Type="http://schemas.openxmlformats.org/officeDocument/2006/relationships/header" Target="header134.xml" /><Relationship Id="rId946" Type="http://schemas.openxmlformats.org/officeDocument/2006/relationships/footer" Target="footer133.xml" /><Relationship Id="rId947" Type="http://schemas.openxmlformats.org/officeDocument/2006/relationships/footer" Target="footer134.xml" /><Relationship Id="rId948" Type="http://schemas.openxmlformats.org/officeDocument/2006/relationships/header" Target="header135.xml" /><Relationship Id="rId949" Type="http://schemas.openxmlformats.org/officeDocument/2006/relationships/footer" Target="footer135.xml" /><Relationship Id="rId95" Type="http://schemas.openxmlformats.org/officeDocument/2006/relationships/hyperlink" Target="https://advance.lexis.com/api/document?collection=cases-ca&amp;id=urn:contentItem:5F8T-N3V1-JTGH-B1D5-00000-00&amp;context=" TargetMode="External" /><Relationship Id="rId950" Type="http://schemas.openxmlformats.org/officeDocument/2006/relationships/hyperlink" Target="https://advance.lexis.com/api/document?collection=cases-ca&amp;id=urn:contentItem:5F7T-S771-JN14-G2R6-00000-00&amp;context=" TargetMode="External" /><Relationship Id="rId951" Type="http://schemas.openxmlformats.org/officeDocument/2006/relationships/hyperlink" Target="https://advance.lexis.com/api/document?collection=cases-ca&amp;id=urn:contentItem:5F8P-SD81-JX8W-M4BP-00000-00&amp;context=" TargetMode="External" /><Relationship Id="rId952" Type="http://schemas.openxmlformats.org/officeDocument/2006/relationships/hyperlink" Target="https://advance.lexis.com/api/document?collection=cases-ca&amp;id=urn:contentItem:5F81-VJX1-JP9P-G486-00000-00&amp;context=" TargetMode="External" /><Relationship Id="rId953" Type="http://schemas.openxmlformats.org/officeDocument/2006/relationships/hyperlink" Target="https://advance.lexis.com/api/document?collection=cases-ca&amp;id=urn:contentItem:5F7T-S741-FJM6-61TS-00000-00&amp;context=" TargetMode="External" /><Relationship Id="rId954" Type="http://schemas.openxmlformats.org/officeDocument/2006/relationships/header" Target="header136.xml" /><Relationship Id="rId955" Type="http://schemas.openxmlformats.org/officeDocument/2006/relationships/header" Target="header137.xml" /><Relationship Id="rId956" Type="http://schemas.openxmlformats.org/officeDocument/2006/relationships/footer" Target="footer136.xml" /><Relationship Id="rId957" Type="http://schemas.openxmlformats.org/officeDocument/2006/relationships/footer" Target="footer137.xml" /><Relationship Id="rId958" Type="http://schemas.openxmlformats.org/officeDocument/2006/relationships/header" Target="header138.xml" /><Relationship Id="rId959" Type="http://schemas.openxmlformats.org/officeDocument/2006/relationships/footer" Target="footer138.xml" /><Relationship Id="rId96" Type="http://schemas.openxmlformats.org/officeDocument/2006/relationships/hyperlink" Target="https://advance.lexis.com/api/document?collection=cases-ca&amp;id=urn:contentItem:5F7T-S7D1-JS5Y-B278-00000-00&amp;context=" TargetMode="External" /><Relationship Id="rId960" Type="http://schemas.openxmlformats.org/officeDocument/2006/relationships/hyperlink" Target="https://advance.lexis.com/api/document?collection=cases-ca&amp;id=urn:contentItem:5F7T-S7F1-FBN1-21V7-00000-00&amp;context=" TargetMode="External" /><Relationship Id="rId961" Type="http://schemas.openxmlformats.org/officeDocument/2006/relationships/hyperlink" Target="https://advance.lexis.com/api/document?collection=cases-ca&amp;id=urn:contentItem:5F7T-S7F1-DXWW-244B-00000-00&amp;context=" TargetMode="External" /><Relationship Id="rId962" Type="http://schemas.openxmlformats.org/officeDocument/2006/relationships/hyperlink" Target="https://advance.lexis.com/api/document?collection=cases-ca&amp;id=urn:contentItem:5F8T-N3V1-FC1F-M4C6-00000-00&amp;context=" TargetMode="External" /><Relationship Id="rId963" Type="http://schemas.openxmlformats.org/officeDocument/2006/relationships/hyperlink" Target="https://advance.lexis.com/api/document?collection=cases-ca&amp;id=urn:contentItem:5F7T-S7F1-JFKM-6216-00000-00&amp;context=" TargetMode="External" /><Relationship Id="rId964" Type="http://schemas.openxmlformats.org/officeDocument/2006/relationships/hyperlink" Target="https://advance.lexis.com/api/document?collection=cases-ca&amp;id=urn:contentItem:5F7T-S7C1-F30T-B2F4-00000-00&amp;context=" TargetMode="External" /><Relationship Id="rId965" Type="http://schemas.openxmlformats.org/officeDocument/2006/relationships/hyperlink" Target="https://advance.lexis.com/api/document?collection=cases-ca&amp;id=urn:contentItem:5F8T-N3V1-JTGH-B16P-00000-00&amp;context=" TargetMode="External" /><Relationship Id="rId966" Type="http://schemas.openxmlformats.org/officeDocument/2006/relationships/hyperlink" Target="https://advance.lexis.com/api/document?collection=cases-ca&amp;id=urn:contentItem:5F7T-S721-F06F-23D1-00000-00&amp;context=" TargetMode="External" /><Relationship Id="rId967" Type="http://schemas.openxmlformats.org/officeDocument/2006/relationships/hyperlink" Target="https://advance.lexis.com/api/document?collection=cases-ca&amp;id=urn:contentItem:5F7T-S761-JCBX-S0D0-00000-00&amp;context=" TargetMode="External" /><Relationship Id="rId968" Type="http://schemas.openxmlformats.org/officeDocument/2006/relationships/hyperlink" Target="https://advance.lexis.com/api/document?collection=cases-ca&amp;id=urn:contentItem:5F7T-S721-FD4T-B0MF-00000-00&amp;context=" TargetMode="External" /><Relationship Id="rId969" Type="http://schemas.openxmlformats.org/officeDocument/2006/relationships/hyperlink" Target="https://advance.lexis.com/api/document?collection=cases-ca&amp;id=urn:contentItem:5F7T-S7D1-DY89-M44X-00000-00&amp;context=" TargetMode="External" /><Relationship Id="rId97" Type="http://schemas.openxmlformats.org/officeDocument/2006/relationships/hyperlink" Target="https://advance.lexis.com/api/document?collection=cases-ca&amp;id=urn:contentItem:5F7T-S701-FJDY-X2F8-00000-00&amp;context=" TargetMode="External" /><Relationship Id="rId970" Type="http://schemas.openxmlformats.org/officeDocument/2006/relationships/hyperlink" Target="https://advance.lexis.com/api/document?collection=cases-ca&amp;id=urn:contentItem:5F7T-S7C1-JSRM-60NC-00000-00&amp;context=" TargetMode="External" /><Relationship Id="rId971" Type="http://schemas.openxmlformats.org/officeDocument/2006/relationships/hyperlink" Target="https://advance.lexis.com/api/document?collection=cases-ca&amp;id=urn:contentItem:5F7T-S7F1-DXWW-2416-00000-00&amp;context=" TargetMode="External" /><Relationship Id="rId972" Type="http://schemas.openxmlformats.org/officeDocument/2006/relationships/hyperlink" Target="https://advance.lexis.com/api/document?collection=cases-ca&amp;id=urn:contentItem:5F7T-S7F1-DXWW-24HM-00000-00&amp;context=" TargetMode="External" /><Relationship Id="rId973" Type="http://schemas.openxmlformats.org/officeDocument/2006/relationships/hyperlink" Target="https://advance.lexis.com/api/document?collection=cases-ca&amp;id=urn:contentItem:5F7T-S741-DY89-M3P5-00000-00&amp;context=" TargetMode="External" /><Relationship Id="rId974" Type="http://schemas.openxmlformats.org/officeDocument/2006/relationships/hyperlink" Target="https://advance.lexis.com/api/document?collection=cases-ca&amp;id=urn:contentItem:5F7T-S731-DY33-B0W2-00000-00&amp;context=" TargetMode="External" /><Relationship Id="rId975" Type="http://schemas.openxmlformats.org/officeDocument/2006/relationships/hyperlink" Target="https://advance.lexis.com/api/document?collection=cases-ca&amp;id=urn:contentItem:5F7T-S7C1-JSRM-60V7-00000-00&amp;context=" TargetMode="External" /><Relationship Id="rId976" Type="http://schemas.openxmlformats.org/officeDocument/2006/relationships/hyperlink" Target="https://advance.lexis.com/api/document?collection=cases-ca&amp;id=urn:contentItem:5F7T-S7C1-F4NT-X3NB-00000-00&amp;context=" TargetMode="External" /><Relationship Id="rId977" Type="http://schemas.openxmlformats.org/officeDocument/2006/relationships/hyperlink" Target="https://advance.lexis.com/api/document?collection=cases-ca&amp;id=urn:contentItem:5F7T-S7C1-JSRM-6115-00000-00&amp;context=" TargetMode="External" /><Relationship Id="rId978" Type="http://schemas.openxmlformats.org/officeDocument/2006/relationships/hyperlink" Target="https://advance.lexis.com/api/document?collection=cases-ca&amp;id=urn:contentItem:5F7T-S731-F60C-X11W-00000-00&amp;context=" TargetMode="External" /><Relationship Id="rId979" Type="http://schemas.openxmlformats.org/officeDocument/2006/relationships/hyperlink" Target="https://advance.lexis.com/api/document?collection=cases-ca&amp;id=urn:contentItem:5F7T-S781-JSC5-M408-00000-00&amp;context=" TargetMode="External" /><Relationship Id="rId98" Type="http://schemas.openxmlformats.org/officeDocument/2006/relationships/hyperlink" Target="https://advance.lexis.com/api/document?collection=cases-ca&amp;id=urn:contentItem:5F7T-S7H1-F016-S3Y6-00000-00&amp;context=" TargetMode="External" /><Relationship Id="rId980" Type="http://schemas.openxmlformats.org/officeDocument/2006/relationships/hyperlink" Target="https://advance.lexis.com/api/document?collection=cases-ca&amp;id=urn:contentItem:5F7T-S781-FH4C-X2KY-00000-00&amp;context=" TargetMode="External" /><Relationship Id="rId981" Type="http://schemas.openxmlformats.org/officeDocument/2006/relationships/header" Target="header139.xml" /><Relationship Id="rId982" Type="http://schemas.openxmlformats.org/officeDocument/2006/relationships/header" Target="header140.xml" /><Relationship Id="rId983" Type="http://schemas.openxmlformats.org/officeDocument/2006/relationships/footer" Target="footer139.xml" /><Relationship Id="rId984" Type="http://schemas.openxmlformats.org/officeDocument/2006/relationships/footer" Target="footer140.xml" /><Relationship Id="rId985" Type="http://schemas.openxmlformats.org/officeDocument/2006/relationships/header" Target="header141.xml" /><Relationship Id="rId986" Type="http://schemas.openxmlformats.org/officeDocument/2006/relationships/footer" Target="footer141.xml" /><Relationship Id="rId987" Type="http://schemas.openxmlformats.org/officeDocument/2006/relationships/hyperlink" Target="https://advance.lexis.com/api/document?collection=cases-ca&amp;id=urn:contentItem:5F7T-S7D1-FCSB-S324-00000-00&amp;context=" TargetMode="External" /><Relationship Id="rId988" Type="http://schemas.openxmlformats.org/officeDocument/2006/relationships/hyperlink" Target="https://advance.lexis.com/api/document?collection=legislation-ca&amp;id=urn:contentItem:5F41-1FJ1-JBDT-B069-00000-00&amp;context=" TargetMode="External" /><Relationship Id="rId989" Type="http://schemas.openxmlformats.org/officeDocument/2006/relationships/hyperlink" Target="https://advance.lexis.com/api/document?collection=legislation-ca&amp;id=urn:contentItem:5F41-1FJ1-F5DR-206Y-00000-00&amp;context=" TargetMode="External" /><Relationship Id="rId99" Type="http://schemas.openxmlformats.org/officeDocument/2006/relationships/header" Target="header19.xml" /><Relationship Id="rId990" Type="http://schemas.openxmlformats.org/officeDocument/2006/relationships/hyperlink" Target="https://advance.lexis.com/api/document?collection=cases-ca&amp;id=urn:contentItem:5F7T-S771-JN14-G2DF-00000-00&amp;context=" TargetMode="External" /><Relationship Id="rId991" Type="http://schemas.openxmlformats.org/officeDocument/2006/relationships/hyperlink" Target="https://advance.lexis.com/api/document?collection=cases-ca&amp;id=urn:contentItem:5F7T-S741-F528-G21K-00000-00&amp;context=" TargetMode="External" /><Relationship Id="rId992" Type="http://schemas.openxmlformats.org/officeDocument/2006/relationships/hyperlink" Target="https://advance.lexis.com/api/document?collection=cases-ca&amp;id=urn:contentItem:5F7T-S751-JBM1-M227-00000-00&amp;context=" TargetMode="External" /><Relationship Id="rId993" Type="http://schemas.openxmlformats.org/officeDocument/2006/relationships/hyperlink" Target="https://advance.lexis.com/api/document?collection=cases-ca&amp;id=urn:contentItem:5F7T-S6X1-F7ND-G3V4-00000-00&amp;context=" TargetMode="External" /><Relationship Id="rId994" Type="http://schemas.openxmlformats.org/officeDocument/2006/relationships/hyperlink" Target="https://advance.lexis.com/api/document?collection=cases-ca&amp;id=urn:contentItem:5F7T-S6Y1-F4GK-M1MX-00000-00&amp;context=" TargetMode="External" /><Relationship Id="rId995" Type="http://schemas.openxmlformats.org/officeDocument/2006/relationships/hyperlink" Target="https://advance.lexis.com/api/document?collection=cases-ca&amp;id=urn:contentItem:5F7T-S741-F7VM-S324-00000-00&amp;context=" TargetMode="External" /><Relationship Id="rId996" Type="http://schemas.openxmlformats.org/officeDocument/2006/relationships/hyperlink" Target="https://advance.lexis.com/api/document?collection=cases-ca&amp;id=urn:contentItem:5F7T-S6W1-JYYX-61WY-00000-00&amp;context=" TargetMode="External" /><Relationship Id="rId997" Type="http://schemas.openxmlformats.org/officeDocument/2006/relationships/hyperlink" Target="https://advance.lexis.com/api/document?collection=cases-ca&amp;id=urn:contentItem:5F7T-S781-JC5P-G193-00000-00&amp;context=" TargetMode="External" /><Relationship Id="rId998" Type="http://schemas.openxmlformats.org/officeDocument/2006/relationships/hyperlink" Target="https://advance.lexis.com/api/document?collection=cases-ca&amp;id=urn:contentItem:5F7T-S761-F81W-21X3-00000-00&amp;context=" TargetMode="External" /><Relationship Id="rId999" Type="http://schemas.openxmlformats.org/officeDocument/2006/relationships/hyperlink" Target="https://advance.lexis.com/api/document?collection=cases-ca&amp;id=urn:contentItem:5F7T-S771-JW5H-X26S-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Clower v. Poeckert, [2007] B.C.J. No. 616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115048429</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